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8.12 -->
  <w:body>
    <w:p>
      <w:pPr>
        <w:jc w:val="center"/>
        <w:rPr>
          <w:rFonts w:ascii="Times New Roman" w:hAnsi="Times New Roman" w:cs="Times New Roman"/>
          <w:b/>
          <w:caps/>
          <w:spacing w:val="20"/>
        </w:rPr>
      </w:pPr>
      <w:r>
        <w:rPr>
          <w:rFonts w:ascii="Times New Roman" w:hAnsi="Times New Roman" w:cs="Times New Roman"/>
          <w:b/>
          <w:caps/>
          <w:spacing w:val="20"/>
        </w:rPr>
        <w:t>Dôvodová správa</w:t>
      </w:r>
    </w:p>
    <w:p>
      <w:pPr>
        <w:jc w:val="both"/>
        <w:rPr>
          <w:rFonts w:ascii="Times New Roman" w:hAnsi="Times New Roman" w:cs="Times New Roman"/>
        </w:rPr>
      </w:pPr>
    </w:p>
    <w:p>
      <w:pPr>
        <w:jc w:val="both"/>
        <w:rPr>
          <w:rFonts w:ascii="Times New Roman" w:hAnsi="Times New Roman" w:cs="Times New Roman"/>
          <w:b/>
        </w:rPr>
      </w:pPr>
      <w:r>
        <w:rPr>
          <w:rFonts w:ascii="Times New Roman" w:hAnsi="Times New Roman" w:cs="Times New Roman"/>
          <w:b/>
        </w:rPr>
        <w:tab/>
        <w:t>A. Všeobecná časť</w:t>
      </w:r>
    </w:p>
    <w:p>
      <w:pPr>
        <w:jc w:val="both"/>
        <w:rPr>
          <w:rFonts w:ascii="Times New Roman" w:hAnsi="Times New Roman" w:cs="Times New Roman"/>
        </w:rPr>
      </w:pPr>
    </w:p>
    <w:p>
      <w:pPr>
        <w:jc w:val="both"/>
        <w:rPr>
          <w:rFonts w:ascii="Times New Roman" w:hAnsi="Times New Roman" w:cs="Times New Roman"/>
        </w:rPr>
      </w:pPr>
    </w:p>
    <w:p>
      <w:pPr>
        <w:jc w:val="both"/>
        <w:rPr>
          <w:rFonts w:ascii="Times New Roman" w:hAnsi="Times New Roman" w:cs="Times New Roman"/>
        </w:rPr>
      </w:pPr>
      <w:r>
        <w:rPr>
          <w:rFonts w:ascii="Times New Roman" w:hAnsi="Times New Roman" w:cs="Times New Roman"/>
        </w:rPr>
        <w:tab/>
        <w:t xml:space="preserve"> Návrh zákona, ktorým sa mení a dopĺňa zákon č. 98/1987 Zb. o osobitnom príspevku baníkom v znení neskorších predpisov a o doplnení zákona č. 461/2003 Z. z. o sociálnom poistení v znení neskorších predpisov je návrhom právneho predpisu, ktorý reaguje na tú skutočnosť, že baníci sú tou skupinou zamestnancov, ktorá sa štatisticky dožíva nižšieho veku než zvyšná časť populácie. Navrhovanou novelou zákona č. 98/1987 Zb. o osobitnom príspevku baníkom sa táto disproporcia sčasti vyvažuje a to priznávaním osobitnej dávky baníkom v preddôchodkovom veku, ktorí odpracovali 15 rokov v podzemí hlbinných baní a dosiahli vek 55 rokov (tzv. „osobitný príspevok baníkom“). Je potrebné uviesť, že napriek existencii splnomocňovacieho ustanovenia pre vládu neboli tieto  nárokovateľné sumy  už takmer dvadsať rokov zvyšované. Návrh novely okrem iného mierne zvyšuje aj nároky tých, ktorí v dôsledku dosiahnutia </w:t>
      </w:r>
      <w:r>
        <w:rPr>
          <w:rFonts w:ascii="Times New Roman" w:hAnsi="Times New Roman" w:cs="Times New Roman"/>
          <w:color w:val="000000"/>
        </w:rPr>
        <w:t xml:space="preserve">najvyššej prípustnej expozície alebo pre ohrozenie chorobou z povolania z doterajšieho zamestnania v baníctve so stálym pracoviskom pod zemou v hlbinných baniach na území Slovenskej republiky prestali vykonávať túto prácu. Zvýšenie pre túto skupinu osôb je však výrazne nižšie, keďže ide o osoby, ktoré sú spôsobilé vykonávať ľahšiu prácu. </w:t>
      </w:r>
    </w:p>
    <w:p>
      <w:pPr>
        <w:ind w:firstLine="708"/>
        <w:jc w:val="both"/>
        <w:rPr>
          <w:rFonts w:ascii="Times New Roman" w:hAnsi="Times New Roman" w:cs="Times New Roman"/>
        </w:rPr>
      </w:pPr>
    </w:p>
    <w:p>
      <w:pPr>
        <w:ind w:firstLine="708"/>
        <w:jc w:val="both"/>
        <w:rPr>
          <w:rFonts w:ascii="Times New Roman" w:hAnsi="Times New Roman" w:cs="Times New Roman"/>
        </w:rPr>
      </w:pPr>
      <w:r>
        <w:rPr>
          <w:rFonts w:ascii="Times New Roman" w:hAnsi="Times New Roman" w:cs="Times New Roman"/>
        </w:rPr>
        <w:t xml:space="preserve">Okrem zvyšovania návrh novely zákona odstraňuje aj vývojom prekonané pojmy a ustanovenia, či ustanovenia odvolávajúce sa na dnes už zrušené právne predpisy. Návrh novely je vypracovaný v súlade so zásadou adresnosti, preto v § 3 a v § 5 ods. 2 sa vysporiadava s otázkou súbehu osobitného príspevku baníkom ako dávky za fyzické, duševné a iné opotrebenie osoby baníka s inými dávkami podľa zákona o sociálnom poistení. V nadväznosti na to návrh zákona novelizuje zákon č. 461/2003 Z. z. o sociálnom poistení </w:t>
      </w:r>
      <w:r>
        <w:rPr>
          <w:rFonts w:ascii="Times New Roman" w:hAnsi="Times New Roman" w:cs="Times New Roman"/>
          <w:color w:val="000000"/>
        </w:rPr>
        <w:t>v z</w:t>
      </w:r>
      <w:r>
        <w:rPr>
          <w:rFonts w:ascii="Times New Roman" w:hAnsi="Times New Roman" w:cs="Times New Roman"/>
          <w:color w:val="000000"/>
        </w:rPr>
        <w:t>není</w:t>
      </w:r>
      <w:r>
        <w:rPr>
          <w:rFonts w:ascii="Times New Roman" w:hAnsi="Times New Roman" w:cs="Times New Roman"/>
        </w:rPr>
        <w:t xml:space="preserve"> neskorších predpisov a to tak, že ukladá Sociálnej poisťovni povinnosť</w:t>
      </w:r>
      <w:r>
        <w:rPr>
          <w:rFonts w:ascii="Times New Roman" w:hAnsi="Times New Roman" w:cs="Times New Roman"/>
          <w:color w:val="000000"/>
        </w:rPr>
        <w:t xml:space="preserve"> poskytovať vyplácajúcej inštitúcii informácie potrebné na posudzovanie nároku na osobitný príspevok baníkom.</w:t>
      </w:r>
      <w:r>
        <w:rPr>
          <w:rFonts w:ascii="Times New Roman" w:hAnsi="Times New Roman" w:cs="Times New Roman"/>
        </w:rPr>
        <w:t xml:space="preserve"> </w:t>
      </w:r>
    </w:p>
    <w:p>
      <w:pPr>
        <w:ind w:firstLine="708"/>
        <w:jc w:val="both"/>
        <w:rPr>
          <w:rFonts w:ascii="Times New Roman" w:hAnsi="Times New Roman" w:cs="Times New Roman"/>
        </w:rPr>
      </w:pPr>
    </w:p>
    <w:p>
      <w:pPr>
        <w:jc w:val="center"/>
        <w:rPr>
          <w:rFonts w:ascii="Times New Roman" w:hAnsi="Times New Roman" w:cs="Times New Roman"/>
          <w:b/>
        </w:rPr>
      </w:pPr>
    </w:p>
    <w:p>
      <w:pPr>
        <w:jc w:val="center"/>
        <w:rPr>
          <w:rFonts w:ascii="Times New Roman" w:hAnsi="Times New Roman" w:cs="Times New Roman"/>
          <w:b/>
        </w:rPr>
      </w:pPr>
    </w:p>
    <w:p>
      <w:pPr>
        <w:jc w:val="center"/>
        <w:rPr>
          <w:rFonts w:ascii="Times New Roman" w:hAnsi="Times New Roman" w:cs="Times New Roman"/>
          <w:b/>
        </w:rPr>
      </w:pPr>
    </w:p>
    <w:p>
      <w:pPr>
        <w:jc w:val="center"/>
        <w:rPr>
          <w:rFonts w:ascii="Times New Roman" w:hAnsi="Times New Roman" w:cs="Times New Roman"/>
          <w:b/>
        </w:rPr>
      </w:pPr>
    </w:p>
    <w:p>
      <w:pPr>
        <w:jc w:val="center"/>
        <w:rPr>
          <w:rFonts w:ascii="Times New Roman" w:hAnsi="Times New Roman" w:cs="Times New Roman"/>
          <w:b/>
        </w:rPr>
      </w:pPr>
    </w:p>
    <w:p>
      <w:pPr>
        <w:jc w:val="center"/>
        <w:rPr>
          <w:rFonts w:ascii="Times New Roman" w:hAnsi="Times New Roman" w:cs="Times New Roman"/>
          <w:b/>
        </w:rPr>
      </w:pPr>
    </w:p>
    <w:p>
      <w:pPr>
        <w:jc w:val="center"/>
        <w:rPr>
          <w:rFonts w:ascii="Times New Roman" w:hAnsi="Times New Roman" w:cs="Times New Roman"/>
          <w:b/>
        </w:rPr>
      </w:pPr>
    </w:p>
    <w:p>
      <w:pPr>
        <w:jc w:val="center"/>
        <w:rPr>
          <w:rFonts w:ascii="Times New Roman" w:hAnsi="Times New Roman" w:cs="Times New Roman"/>
          <w:b/>
        </w:rPr>
      </w:pPr>
    </w:p>
    <w:p>
      <w:pPr>
        <w:jc w:val="center"/>
        <w:rPr>
          <w:rFonts w:ascii="Times New Roman" w:hAnsi="Times New Roman" w:cs="Times New Roman"/>
          <w:b/>
        </w:rPr>
      </w:pPr>
    </w:p>
    <w:p>
      <w:pPr>
        <w:jc w:val="center"/>
        <w:rPr>
          <w:rFonts w:ascii="Times New Roman" w:hAnsi="Times New Roman" w:cs="Times New Roman"/>
          <w:b/>
        </w:rPr>
      </w:pPr>
    </w:p>
    <w:p>
      <w:pPr>
        <w:jc w:val="center"/>
        <w:rPr>
          <w:rFonts w:ascii="Times New Roman" w:hAnsi="Times New Roman" w:cs="Times New Roman"/>
          <w:b/>
        </w:rPr>
      </w:pPr>
    </w:p>
    <w:p>
      <w:pPr>
        <w:jc w:val="center"/>
        <w:rPr>
          <w:rFonts w:ascii="Times New Roman" w:hAnsi="Times New Roman" w:cs="Times New Roman"/>
          <w:b/>
        </w:rPr>
      </w:pPr>
    </w:p>
    <w:p>
      <w:pPr>
        <w:jc w:val="center"/>
        <w:rPr>
          <w:rFonts w:ascii="Times New Roman" w:hAnsi="Times New Roman" w:cs="Times New Roman"/>
          <w:b/>
        </w:rPr>
      </w:pPr>
    </w:p>
    <w:p>
      <w:pPr>
        <w:jc w:val="center"/>
        <w:rPr>
          <w:rFonts w:ascii="Times New Roman" w:hAnsi="Times New Roman" w:cs="Times New Roman"/>
          <w:b/>
        </w:rPr>
      </w:pPr>
    </w:p>
    <w:p>
      <w:pPr>
        <w:jc w:val="center"/>
        <w:rPr>
          <w:rFonts w:ascii="Times New Roman" w:hAnsi="Times New Roman" w:cs="Times New Roman"/>
          <w:b/>
        </w:rPr>
      </w:pPr>
    </w:p>
    <w:p>
      <w:pPr>
        <w:jc w:val="center"/>
        <w:rPr>
          <w:rFonts w:ascii="Times New Roman" w:hAnsi="Times New Roman" w:cs="Times New Roman"/>
          <w:b/>
        </w:rPr>
      </w:pPr>
    </w:p>
    <w:p>
      <w:pPr>
        <w:jc w:val="center"/>
        <w:rPr>
          <w:rFonts w:ascii="Times New Roman" w:hAnsi="Times New Roman" w:cs="Times New Roman"/>
          <w:b/>
        </w:rPr>
      </w:pPr>
    </w:p>
    <w:p>
      <w:pPr>
        <w:jc w:val="center"/>
        <w:rPr>
          <w:rFonts w:ascii="Times New Roman" w:hAnsi="Times New Roman" w:cs="Times New Roman"/>
          <w:b/>
        </w:rPr>
      </w:pPr>
    </w:p>
    <w:p>
      <w:pPr>
        <w:jc w:val="center"/>
        <w:rPr>
          <w:rFonts w:ascii="Times New Roman" w:hAnsi="Times New Roman" w:cs="Times New Roman"/>
          <w:b/>
        </w:rPr>
      </w:pPr>
    </w:p>
    <w:p>
      <w:pPr>
        <w:jc w:val="center"/>
        <w:rPr>
          <w:rFonts w:ascii="Times New Roman" w:hAnsi="Times New Roman" w:cs="Times New Roman"/>
          <w:b/>
        </w:rPr>
      </w:pPr>
      <w:r>
        <w:rPr>
          <w:rFonts w:ascii="Times New Roman" w:hAnsi="Times New Roman" w:cs="Times New Roman"/>
          <w:b/>
        </w:rPr>
        <w:t>DOLOŽKA</w:t>
      </w:r>
    </w:p>
    <w:p>
      <w:pPr>
        <w:jc w:val="center"/>
        <w:rPr>
          <w:rFonts w:ascii="Times New Roman" w:hAnsi="Times New Roman" w:cs="Times New Roman"/>
          <w:b/>
        </w:rPr>
      </w:pPr>
      <w:r>
        <w:rPr>
          <w:rFonts w:ascii="Times New Roman" w:hAnsi="Times New Roman" w:cs="Times New Roman"/>
          <w:b/>
        </w:rPr>
        <w:t>finančných, ekonomických, enviromentálnych vplyvov, vplyvov na zamestnanosť a podnikateľské prostredie</w:t>
      </w:r>
    </w:p>
    <w:p>
      <w:pPr>
        <w:jc w:val="center"/>
        <w:rPr>
          <w:rFonts w:ascii="Times New Roman" w:hAnsi="Times New Roman" w:cs="Times New Roman"/>
          <w:b/>
          <w:bCs/>
        </w:rPr>
      </w:pPr>
    </w:p>
    <w:p>
      <w:pPr>
        <w:jc w:val="center"/>
        <w:rPr>
          <w:rFonts w:ascii="Times New Roman" w:hAnsi="Times New Roman" w:cs="Times New Roman"/>
          <w:b/>
          <w:bCs/>
        </w:rPr>
      </w:pPr>
    </w:p>
    <w:p>
      <w:pPr>
        <w:numPr>
          <w:ilvl w:val="0"/>
          <w:numId w:val="3"/>
        </w:numPr>
        <w:tabs>
          <w:tab w:val="left" w:pos="0"/>
          <w:tab w:val="clear" w:pos="1080"/>
        </w:tabs>
        <w:ind w:left="0" w:firstLine="360"/>
        <w:jc w:val="both"/>
        <w:rPr>
          <w:rFonts w:ascii="Times New Roman" w:hAnsi="Times New Roman" w:cs="Times New Roman"/>
          <w:b/>
          <w:bCs/>
        </w:rPr>
      </w:pPr>
      <w:r>
        <w:rPr>
          <w:rFonts w:ascii="Times New Roman" w:hAnsi="Times New Roman" w:cs="Times New Roman"/>
          <w:b/>
          <w:bCs/>
        </w:rPr>
        <w:t>Odhad dopadov na verejné financie</w:t>
      </w:r>
    </w:p>
    <w:p>
      <w:pPr>
        <w:jc w:val="both"/>
        <w:rPr>
          <w:rFonts w:ascii="Times New Roman" w:hAnsi="Times New Roman" w:cs="Times New Roman"/>
          <w:b/>
          <w:bCs/>
        </w:rPr>
      </w:pPr>
    </w:p>
    <w:p>
      <w:pPr>
        <w:ind w:firstLine="360"/>
        <w:jc w:val="both"/>
        <w:rPr>
          <w:rFonts w:ascii="Times New Roman" w:hAnsi="Times New Roman" w:cs="Times New Roman"/>
        </w:rPr>
      </w:pPr>
      <w:r>
        <w:rPr>
          <w:rFonts w:ascii="Times New Roman" w:hAnsi="Times New Roman" w:cs="Times New Roman"/>
        </w:rPr>
        <w:t>V doložke sú posudzované dopady týkajúce sa zmien v návrhu zákona, ktorým sa mení a dopĺňa zákon č. 98/1987 Zb. o osobitnom príspevku baníkom v znení neskorších predpisov a o doplnení zákona č. 461/2003 Z. z. o sociálnom poistení v znení neskorších predpisov. Predmetným návrhom zákona sa upravuje poskytnutie osobitného príspevku baníkom, ktorý bude mať formu osobitnej dávky za fyzické, duševné a iné opotrebenie</w:t>
      </w:r>
      <w:r>
        <w:rPr>
          <w:rFonts w:ascii="Times New Roman" w:hAnsi="Times New Roman" w:cs="Times New Roman"/>
        </w:rPr>
        <w:t xml:space="preserve"> osoby baníka.</w:t>
      </w:r>
    </w:p>
    <w:p>
      <w:pPr>
        <w:ind w:firstLine="360"/>
        <w:jc w:val="both"/>
        <w:rPr>
          <w:rFonts w:ascii="Times New Roman" w:hAnsi="Times New Roman" w:cs="Times New Roman"/>
        </w:rPr>
      </w:pPr>
    </w:p>
    <w:p>
      <w:pPr>
        <w:ind w:firstLine="360"/>
        <w:jc w:val="both"/>
        <w:rPr>
          <w:rFonts w:ascii="Times New Roman" w:hAnsi="Times New Roman" w:cs="Times New Roman"/>
          <w:bCs/>
        </w:rPr>
      </w:pPr>
      <w:r>
        <w:rPr>
          <w:rFonts w:ascii="Times New Roman" w:hAnsi="Times New Roman" w:cs="Times New Roman"/>
        </w:rPr>
        <w:t xml:space="preserve">Návrh zákona, ktorým sa mení a dopĺňa zákon č. 98/1987 Zb. o osobitnom príspevku baníkom v znení neskorších predpisov a o doplnení zákona č. 461/2003 Z. z. o sociálnom poistení v znení neskorších predpisov bude mať dopad na štátny rozpočet. Uvedený návrh zákona nebude mať dopad na rozpočty obcí a rozpočty vyšších územných celkov. </w:t>
      </w:r>
    </w:p>
    <w:p>
      <w:pPr>
        <w:ind w:firstLine="360"/>
        <w:jc w:val="both"/>
        <w:rPr>
          <w:rFonts w:ascii="Times New Roman" w:hAnsi="Times New Roman" w:cs="Times New Roman"/>
        </w:rPr>
      </w:pPr>
      <w:r>
        <w:rPr>
          <w:rFonts w:ascii="Times New Roman" w:hAnsi="Times New Roman" w:cs="Times New Roman"/>
        </w:rPr>
        <w:t xml:space="preserve"> </w:t>
      </w:r>
    </w:p>
    <w:p>
      <w:pPr>
        <w:ind w:firstLine="360"/>
        <w:jc w:val="both"/>
        <w:rPr>
          <w:rFonts w:ascii="Times New Roman" w:hAnsi="Times New Roman" w:cs="Times New Roman"/>
        </w:rPr>
      </w:pPr>
    </w:p>
    <w:p>
      <w:pPr>
        <w:ind w:firstLine="360"/>
        <w:jc w:val="both"/>
        <w:outlineLvl w:val="0"/>
        <w:rPr>
          <w:rFonts w:ascii="Times New Roman" w:hAnsi="Times New Roman" w:cs="Times New Roman"/>
          <w:b/>
          <w:bCs/>
        </w:rPr>
      </w:pPr>
      <w:r>
        <w:rPr>
          <w:rFonts w:ascii="Times New Roman" w:hAnsi="Times New Roman" w:cs="Times New Roman"/>
          <w:b/>
          <w:bCs/>
        </w:rPr>
        <w:t>I.I. Odhad dopadov na štátny rozpočet</w:t>
      </w:r>
    </w:p>
    <w:p>
      <w:pPr>
        <w:ind w:firstLine="360"/>
        <w:jc w:val="both"/>
        <w:rPr>
          <w:rFonts w:ascii="Times New Roman" w:hAnsi="Times New Roman" w:cs="Times New Roman"/>
        </w:rPr>
      </w:pPr>
    </w:p>
    <w:p>
      <w:pPr>
        <w:ind w:firstLine="360"/>
        <w:jc w:val="both"/>
        <w:rPr>
          <w:rFonts w:ascii="Times New Roman" w:hAnsi="Times New Roman" w:cs="Times New Roman"/>
        </w:rPr>
      </w:pPr>
      <w:r>
        <w:rPr>
          <w:rFonts w:ascii="Times New Roman" w:hAnsi="Times New Roman" w:cs="Times New Roman"/>
        </w:rPr>
        <w:t>V nasledujúcej tabuľke sú kvantifikované dopady z titulu úprav osobitného príspevku baníkom (v mil. Sk a v mil. €). Pri prepočte dopadov na štátny rozpočet zo slovenskej koruny na menu euro bol použitý konverzný kurz 1 € = 30,1260 Sk.</w:t>
      </w:r>
    </w:p>
    <w:p>
      <w:pPr>
        <w:jc w:val="both"/>
        <w:rPr>
          <w:rFonts w:ascii="Times New Roman" w:hAnsi="Times New Roman" w:cs="Times New Roman"/>
        </w:rPr>
      </w:pPr>
    </w:p>
    <w:p>
      <w:pPr>
        <w:jc w:val="both"/>
        <w:rPr>
          <w:rFonts w:ascii="Times New Roman" w:hAnsi="Times New Roman" w:cs="Times New Roman"/>
        </w:rPr>
      </w:pPr>
      <w:r>
        <w:rPr>
          <w:rFonts w:ascii="Times New Roman" w:hAnsi="Times New Roman" w:cs="Times New Roman"/>
        </w:rPr>
        <w:t xml:space="preserve">                                                                                          Tabuľka 1</w:t>
      </w:r>
    </w:p>
    <w:tbl>
      <w:tblPr>
        <w:tblW w:w="3960" w:type="dxa"/>
        <w:tblInd w:w="26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
      <w:tblGrid>
        <w:gridCol w:w="1260"/>
        <w:gridCol w:w="900"/>
        <w:gridCol w:w="900"/>
        <w:gridCol w:w="900"/>
      </w:tblGrid>
      <w:tr>
        <w:tblPrEx>
          <w:tblW w:w="3960" w:type="dxa"/>
          <w:tblInd w:w="26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
        <w:trPr>
          <w:trHeight w:hRule="auto" w:val="0"/>
        </w:trPr>
        <w:tc>
          <w:tcPr>
            <w:tcW w:w="1260" w:type="dxa"/>
            <w:tcBorders>
              <w:top w:val="single" w:sz="4" w:space="0" w:color="auto"/>
              <w:left w:val="single" w:sz="4" w:space="0" w:color="auto"/>
              <w:bottom w:val="single" w:sz="4" w:space="0" w:color="auto"/>
              <w:right w:val="single" w:sz="4" w:space="0" w:color="auto"/>
              <w:tl2br w:val="nil"/>
              <w:tr2bl w:val="nil"/>
            </w:tcBorders>
            <w:textDirection w:val="lrTb"/>
            <w:vAlign w:val="top"/>
          </w:tcPr>
          <w:p>
            <w:pPr>
              <w:jc w:val="center"/>
              <w:rPr>
                <w:rFonts w:ascii="Times New Roman" w:hAnsi="Times New Roman" w:cs="Times New Roman"/>
              </w:rPr>
            </w:pPr>
            <w:r>
              <w:rPr>
                <w:rFonts w:ascii="Times New Roman" w:hAnsi="Times New Roman" w:cs="Times New Roman"/>
              </w:rPr>
              <w:t>rok</w:t>
            </w:r>
          </w:p>
        </w:tc>
        <w:tc>
          <w:tcPr>
            <w:tcW w:w="900" w:type="dxa"/>
            <w:tcBorders>
              <w:top w:val="single" w:sz="4" w:space="0" w:color="auto"/>
              <w:left w:val="single" w:sz="4" w:space="0" w:color="auto"/>
              <w:bottom w:val="single" w:sz="4" w:space="0" w:color="auto"/>
              <w:right w:val="single" w:sz="4" w:space="0" w:color="auto"/>
              <w:tl2br w:val="nil"/>
              <w:tr2bl w:val="nil"/>
            </w:tcBorders>
            <w:textDirection w:val="lrTb"/>
            <w:vAlign w:val="top"/>
          </w:tcPr>
          <w:p>
            <w:pPr>
              <w:jc w:val="center"/>
              <w:rPr>
                <w:rFonts w:ascii="Times New Roman" w:hAnsi="Times New Roman" w:cs="Times New Roman"/>
              </w:rPr>
            </w:pPr>
            <w:r>
              <w:rPr>
                <w:rFonts w:ascii="Times New Roman" w:hAnsi="Times New Roman" w:cs="Times New Roman"/>
              </w:rPr>
              <w:t>2009</w:t>
            </w:r>
          </w:p>
        </w:tc>
        <w:tc>
          <w:tcPr>
            <w:tcW w:w="900" w:type="dxa"/>
            <w:tcBorders>
              <w:top w:val="single" w:sz="4" w:space="0" w:color="auto"/>
              <w:left w:val="single" w:sz="4" w:space="0" w:color="auto"/>
              <w:bottom w:val="single" w:sz="4" w:space="0" w:color="auto"/>
              <w:right w:val="single" w:sz="4" w:space="0" w:color="auto"/>
              <w:tl2br w:val="nil"/>
              <w:tr2bl w:val="nil"/>
            </w:tcBorders>
            <w:textDirection w:val="lrTb"/>
            <w:vAlign w:val="top"/>
          </w:tcPr>
          <w:p>
            <w:pPr>
              <w:jc w:val="center"/>
              <w:rPr>
                <w:rFonts w:ascii="Times New Roman" w:hAnsi="Times New Roman" w:cs="Times New Roman"/>
              </w:rPr>
            </w:pPr>
            <w:r>
              <w:rPr>
                <w:rFonts w:ascii="Times New Roman" w:hAnsi="Times New Roman" w:cs="Times New Roman"/>
              </w:rPr>
              <w:t>2010</w:t>
            </w:r>
          </w:p>
        </w:tc>
        <w:tc>
          <w:tcPr>
            <w:tcW w:w="900" w:type="dxa"/>
            <w:tcBorders>
              <w:top w:val="single" w:sz="4" w:space="0" w:color="auto"/>
              <w:left w:val="single" w:sz="4" w:space="0" w:color="auto"/>
              <w:bottom w:val="single" w:sz="4" w:space="0" w:color="auto"/>
              <w:right w:val="single" w:sz="4" w:space="0" w:color="auto"/>
              <w:tl2br w:val="nil"/>
              <w:tr2bl w:val="nil"/>
            </w:tcBorders>
            <w:textDirection w:val="lrTb"/>
            <w:vAlign w:val="top"/>
          </w:tcPr>
          <w:p>
            <w:pPr>
              <w:jc w:val="center"/>
              <w:rPr>
                <w:rFonts w:ascii="Times New Roman" w:hAnsi="Times New Roman" w:cs="Times New Roman"/>
              </w:rPr>
            </w:pPr>
            <w:r>
              <w:rPr>
                <w:rFonts w:ascii="Times New Roman" w:hAnsi="Times New Roman" w:cs="Times New Roman"/>
              </w:rPr>
              <w:t>2011</w:t>
            </w:r>
          </w:p>
        </w:tc>
      </w:tr>
      <w:tr>
        <w:tblPrEx>
          <w:tblW w:w="3960" w:type="dxa"/>
          <w:tblInd w:w="2628" w:type="dxa"/>
          <w:tblLayout w:type="fixed"/>
        </w:tblPrEx>
        <w:trPr>
          <w:trHeight w:hRule="auto" w:val="0"/>
        </w:trPr>
        <w:tc>
          <w:tcPr>
            <w:tcW w:w="1260" w:type="dxa"/>
            <w:tcBorders>
              <w:top w:val="single" w:sz="4" w:space="0" w:color="auto"/>
              <w:left w:val="single" w:sz="4" w:space="0" w:color="auto"/>
              <w:bottom w:val="single" w:sz="4" w:space="0" w:color="auto"/>
              <w:right w:val="single" w:sz="4" w:space="0" w:color="auto"/>
              <w:tl2br w:val="nil"/>
              <w:tr2bl w:val="nil"/>
            </w:tcBorders>
            <w:textDirection w:val="lrTb"/>
            <w:vAlign w:val="top"/>
          </w:tcPr>
          <w:p>
            <w:pPr>
              <w:jc w:val="center"/>
              <w:rPr>
                <w:rFonts w:ascii="Times New Roman" w:hAnsi="Times New Roman" w:cs="Times New Roman"/>
              </w:rPr>
            </w:pPr>
            <w:r>
              <w:rPr>
                <w:rFonts w:ascii="Times New Roman" w:hAnsi="Times New Roman" w:cs="Times New Roman"/>
              </w:rPr>
              <w:t>zvýšenie</w:t>
            </w:r>
          </w:p>
          <w:p>
            <w:pPr>
              <w:jc w:val="center"/>
              <w:rPr>
                <w:rFonts w:ascii="Times New Roman" w:hAnsi="Times New Roman" w:cs="Times New Roman"/>
              </w:rPr>
            </w:pPr>
            <w:r>
              <w:rPr>
                <w:rFonts w:ascii="Times New Roman" w:hAnsi="Times New Roman" w:cs="Times New Roman"/>
              </w:rPr>
              <w:t>(v mil. Sk)</w:t>
            </w:r>
          </w:p>
        </w:tc>
        <w:tc>
          <w:tcPr>
            <w:tcW w:w="900" w:type="dxa"/>
            <w:tcBorders>
              <w:top w:val="single" w:sz="4" w:space="0" w:color="auto"/>
              <w:left w:val="single" w:sz="4" w:space="0" w:color="auto"/>
              <w:bottom w:val="single" w:sz="4" w:space="0" w:color="auto"/>
              <w:right w:val="single" w:sz="4" w:space="0" w:color="auto"/>
              <w:tl2br w:val="nil"/>
              <w:tr2bl w:val="nil"/>
            </w:tcBorders>
            <w:textDirection w:val="lrTb"/>
            <w:vAlign w:val="top"/>
          </w:tcPr>
          <w:p>
            <w:pPr>
              <w:jc w:val="center"/>
              <w:rPr>
                <w:rFonts w:ascii="Times New Roman" w:hAnsi="Times New Roman" w:cs="Times New Roman"/>
              </w:rPr>
            </w:pPr>
            <w:r>
              <w:rPr>
                <w:rFonts w:ascii="Times New Roman" w:hAnsi="Times New Roman" w:cs="Times New Roman"/>
              </w:rPr>
              <w:t>73,6</w:t>
            </w:r>
          </w:p>
        </w:tc>
        <w:tc>
          <w:tcPr>
            <w:tcW w:w="900" w:type="dxa"/>
            <w:tcBorders>
              <w:top w:val="single" w:sz="4" w:space="0" w:color="auto"/>
              <w:left w:val="single" w:sz="4" w:space="0" w:color="auto"/>
              <w:bottom w:val="single" w:sz="4" w:space="0" w:color="auto"/>
              <w:right w:val="single" w:sz="4" w:space="0" w:color="auto"/>
              <w:tl2br w:val="nil"/>
              <w:tr2bl w:val="nil"/>
            </w:tcBorders>
            <w:textDirection w:val="lrTb"/>
            <w:vAlign w:val="top"/>
          </w:tcPr>
          <w:p>
            <w:pPr>
              <w:jc w:val="center"/>
              <w:rPr>
                <w:rFonts w:ascii="Times New Roman" w:hAnsi="Times New Roman" w:cs="Times New Roman"/>
              </w:rPr>
            </w:pPr>
            <w:r>
              <w:rPr>
                <w:rFonts w:ascii="Times New Roman" w:hAnsi="Times New Roman" w:cs="Times New Roman"/>
              </w:rPr>
              <w:t>73,6</w:t>
            </w:r>
          </w:p>
        </w:tc>
        <w:tc>
          <w:tcPr>
            <w:tcW w:w="900" w:type="dxa"/>
            <w:tcBorders>
              <w:top w:val="single" w:sz="4" w:space="0" w:color="auto"/>
              <w:left w:val="single" w:sz="4" w:space="0" w:color="auto"/>
              <w:bottom w:val="single" w:sz="4" w:space="0" w:color="auto"/>
              <w:right w:val="single" w:sz="4" w:space="0" w:color="auto"/>
              <w:tl2br w:val="nil"/>
              <w:tr2bl w:val="nil"/>
            </w:tcBorders>
            <w:textDirection w:val="lrTb"/>
            <w:vAlign w:val="top"/>
          </w:tcPr>
          <w:p>
            <w:pPr>
              <w:jc w:val="center"/>
              <w:rPr>
                <w:rFonts w:ascii="Times New Roman" w:hAnsi="Times New Roman" w:cs="Times New Roman"/>
              </w:rPr>
            </w:pPr>
            <w:r>
              <w:rPr>
                <w:rFonts w:ascii="Times New Roman" w:hAnsi="Times New Roman" w:cs="Times New Roman"/>
              </w:rPr>
              <w:t>73,6</w:t>
            </w:r>
          </w:p>
        </w:tc>
      </w:tr>
    </w:tbl>
    <w:p>
      <w:pPr>
        <w:jc w:val="both"/>
        <w:rPr>
          <w:rFonts w:ascii="Times New Roman" w:hAnsi="Times New Roman" w:cs="Times New Roman"/>
        </w:rPr>
      </w:pPr>
      <w:r>
        <w:rPr>
          <w:rFonts w:ascii="Times New Roman" w:hAnsi="Times New Roman" w:cs="Times New Roman"/>
        </w:rPr>
        <w:t xml:space="preserve">                                                                                          </w:t>
      </w:r>
    </w:p>
    <w:p>
      <w:pPr>
        <w:jc w:val="both"/>
        <w:rPr>
          <w:rFonts w:ascii="Times New Roman" w:hAnsi="Times New Roman" w:cs="Times New Roman"/>
        </w:rPr>
      </w:pPr>
      <w:r>
        <w:rPr>
          <w:rFonts w:ascii="Times New Roman" w:hAnsi="Times New Roman" w:cs="Times New Roman"/>
        </w:rPr>
        <w:t xml:space="preserve">                                                                                          Tabuľka 2</w:t>
        <w:tab/>
        <w:tab/>
        <w:tab/>
      </w:r>
    </w:p>
    <w:tbl>
      <w:tblPr>
        <w:tblW w:w="3960" w:type="dxa"/>
        <w:tblInd w:w="26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
      <w:tblGrid>
        <w:gridCol w:w="1260"/>
        <w:gridCol w:w="900"/>
        <w:gridCol w:w="900"/>
        <w:gridCol w:w="900"/>
      </w:tblGrid>
      <w:tr>
        <w:tblPrEx>
          <w:tblW w:w="3960" w:type="dxa"/>
          <w:tblInd w:w="26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
        <w:trPr>
          <w:trHeight w:hRule="auto" w:val="0"/>
        </w:trPr>
        <w:tc>
          <w:tcPr>
            <w:tcW w:w="1260" w:type="dxa"/>
            <w:tcBorders>
              <w:top w:val="single" w:sz="4" w:space="0" w:color="auto"/>
              <w:left w:val="single" w:sz="4" w:space="0" w:color="auto"/>
              <w:bottom w:val="single" w:sz="4" w:space="0" w:color="auto"/>
              <w:right w:val="single" w:sz="4" w:space="0" w:color="auto"/>
              <w:tl2br w:val="nil"/>
              <w:tr2bl w:val="nil"/>
            </w:tcBorders>
            <w:textDirection w:val="lrTb"/>
            <w:vAlign w:val="top"/>
          </w:tcPr>
          <w:p>
            <w:pPr>
              <w:jc w:val="center"/>
              <w:rPr>
                <w:rFonts w:ascii="Times New Roman" w:hAnsi="Times New Roman" w:cs="Times New Roman"/>
              </w:rPr>
            </w:pPr>
            <w:r>
              <w:rPr>
                <w:rFonts w:ascii="Times New Roman" w:hAnsi="Times New Roman" w:cs="Times New Roman"/>
              </w:rPr>
              <w:t>Rok</w:t>
            </w:r>
          </w:p>
        </w:tc>
        <w:tc>
          <w:tcPr>
            <w:tcW w:w="900" w:type="dxa"/>
            <w:tcBorders>
              <w:top w:val="single" w:sz="4" w:space="0" w:color="auto"/>
              <w:left w:val="single" w:sz="4" w:space="0" w:color="auto"/>
              <w:bottom w:val="single" w:sz="4" w:space="0" w:color="auto"/>
              <w:right w:val="single" w:sz="4" w:space="0" w:color="auto"/>
              <w:tl2br w:val="nil"/>
              <w:tr2bl w:val="nil"/>
            </w:tcBorders>
            <w:textDirection w:val="lrTb"/>
            <w:vAlign w:val="top"/>
          </w:tcPr>
          <w:p>
            <w:pPr>
              <w:jc w:val="center"/>
              <w:rPr>
                <w:rFonts w:ascii="Times New Roman" w:hAnsi="Times New Roman" w:cs="Times New Roman"/>
              </w:rPr>
            </w:pPr>
            <w:r>
              <w:rPr>
                <w:rFonts w:ascii="Times New Roman" w:hAnsi="Times New Roman" w:cs="Times New Roman"/>
              </w:rPr>
              <w:t>2009</w:t>
            </w:r>
          </w:p>
        </w:tc>
        <w:tc>
          <w:tcPr>
            <w:tcW w:w="900" w:type="dxa"/>
            <w:tcBorders>
              <w:top w:val="single" w:sz="4" w:space="0" w:color="auto"/>
              <w:left w:val="single" w:sz="4" w:space="0" w:color="auto"/>
              <w:bottom w:val="single" w:sz="4" w:space="0" w:color="auto"/>
              <w:right w:val="single" w:sz="4" w:space="0" w:color="auto"/>
              <w:tl2br w:val="nil"/>
              <w:tr2bl w:val="nil"/>
            </w:tcBorders>
            <w:textDirection w:val="lrTb"/>
            <w:vAlign w:val="top"/>
          </w:tcPr>
          <w:p>
            <w:pPr>
              <w:jc w:val="center"/>
              <w:rPr>
                <w:rFonts w:ascii="Times New Roman" w:hAnsi="Times New Roman" w:cs="Times New Roman"/>
              </w:rPr>
            </w:pPr>
            <w:r>
              <w:rPr>
                <w:rFonts w:ascii="Times New Roman" w:hAnsi="Times New Roman" w:cs="Times New Roman"/>
              </w:rPr>
              <w:t>2010</w:t>
            </w:r>
          </w:p>
        </w:tc>
        <w:tc>
          <w:tcPr>
            <w:tcW w:w="900" w:type="dxa"/>
            <w:tcBorders>
              <w:top w:val="single" w:sz="4" w:space="0" w:color="auto"/>
              <w:left w:val="single" w:sz="4" w:space="0" w:color="auto"/>
              <w:bottom w:val="single" w:sz="4" w:space="0" w:color="auto"/>
              <w:right w:val="single" w:sz="4" w:space="0" w:color="auto"/>
              <w:tl2br w:val="nil"/>
              <w:tr2bl w:val="nil"/>
            </w:tcBorders>
            <w:textDirection w:val="lrTb"/>
            <w:vAlign w:val="top"/>
          </w:tcPr>
          <w:p>
            <w:pPr>
              <w:jc w:val="center"/>
              <w:rPr>
                <w:rFonts w:ascii="Times New Roman" w:hAnsi="Times New Roman" w:cs="Times New Roman"/>
              </w:rPr>
            </w:pPr>
            <w:r>
              <w:rPr>
                <w:rFonts w:ascii="Times New Roman" w:hAnsi="Times New Roman" w:cs="Times New Roman"/>
              </w:rPr>
              <w:t>2011</w:t>
            </w:r>
          </w:p>
        </w:tc>
      </w:tr>
      <w:tr>
        <w:tblPrEx>
          <w:tblW w:w="3960" w:type="dxa"/>
          <w:tblInd w:w="2628" w:type="dxa"/>
          <w:tblLayout w:type="fixed"/>
        </w:tblPrEx>
        <w:trPr>
          <w:trHeight w:hRule="auto" w:val="0"/>
        </w:trPr>
        <w:tc>
          <w:tcPr>
            <w:tcW w:w="1260" w:type="dxa"/>
            <w:tcBorders>
              <w:top w:val="single" w:sz="4" w:space="0" w:color="auto"/>
              <w:left w:val="single" w:sz="4" w:space="0" w:color="auto"/>
              <w:bottom w:val="single" w:sz="4" w:space="0" w:color="auto"/>
              <w:right w:val="single" w:sz="4" w:space="0" w:color="auto"/>
              <w:tl2br w:val="nil"/>
              <w:tr2bl w:val="nil"/>
            </w:tcBorders>
            <w:textDirection w:val="lrTb"/>
            <w:vAlign w:val="top"/>
          </w:tcPr>
          <w:p>
            <w:pPr>
              <w:jc w:val="center"/>
              <w:rPr>
                <w:rFonts w:ascii="Times New Roman" w:hAnsi="Times New Roman" w:cs="Times New Roman"/>
              </w:rPr>
            </w:pPr>
            <w:r>
              <w:rPr>
                <w:rFonts w:ascii="Times New Roman" w:hAnsi="Times New Roman" w:cs="Times New Roman"/>
              </w:rPr>
              <w:t>zvýšenie</w:t>
            </w:r>
          </w:p>
          <w:p>
            <w:pPr>
              <w:jc w:val="center"/>
              <w:rPr>
                <w:rFonts w:ascii="Times New Roman" w:hAnsi="Times New Roman" w:cs="Times New Roman"/>
              </w:rPr>
            </w:pPr>
            <w:r>
              <w:rPr>
                <w:rFonts w:ascii="Times New Roman" w:hAnsi="Times New Roman" w:cs="Times New Roman"/>
              </w:rPr>
              <w:t>(v mil. €)</w:t>
            </w:r>
          </w:p>
        </w:tc>
        <w:tc>
          <w:tcPr>
            <w:tcW w:w="900" w:type="dxa"/>
            <w:tcBorders>
              <w:top w:val="single" w:sz="4" w:space="0" w:color="auto"/>
              <w:left w:val="single" w:sz="4" w:space="0" w:color="auto"/>
              <w:bottom w:val="single" w:sz="4" w:space="0" w:color="auto"/>
              <w:right w:val="single" w:sz="4" w:space="0" w:color="auto"/>
              <w:tl2br w:val="nil"/>
              <w:tr2bl w:val="nil"/>
            </w:tcBorders>
            <w:textDirection w:val="lrTb"/>
            <w:vAlign w:val="top"/>
          </w:tcPr>
          <w:p>
            <w:pPr>
              <w:jc w:val="center"/>
              <w:rPr>
                <w:rFonts w:ascii="Times New Roman" w:hAnsi="Times New Roman" w:cs="Times New Roman"/>
              </w:rPr>
            </w:pPr>
            <w:r>
              <w:rPr>
                <w:rFonts w:ascii="Times New Roman" w:hAnsi="Times New Roman" w:cs="Times New Roman"/>
              </w:rPr>
              <w:t>2,4</w:t>
            </w:r>
          </w:p>
        </w:tc>
        <w:tc>
          <w:tcPr>
            <w:tcW w:w="900" w:type="dxa"/>
            <w:tcBorders>
              <w:top w:val="single" w:sz="4" w:space="0" w:color="auto"/>
              <w:left w:val="single" w:sz="4" w:space="0" w:color="auto"/>
              <w:bottom w:val="single" w:sz="4" w:space="0" w:color="auto"/>
              <w:right w:val="single" w:sz="4" w:space="0" w:color="auto"/>
              <w:tl2br w:val="nil"/>
              <w:tr2bl w:val="nil"/>
            </w:tcBorders>
            <w:textDirection w:val="lrTb"/>
            <w:vAlign w:val="top"/>
          </w:tcPr>
          <w:p>
            <w:pPr>
              <w:jc w:val="center"/>
              <w:rPr>
                <w:rFonts w:ascii="Times New Roman" w:hAnsi="Times New Roman" w:cs="Times New Roman"/>
              </w:rPr>
            </w:pPr>
            <w:r>
              <w:rPr>
                <w:rFonts w:ascii="Times New Roman" w:hAnsi="Times New Roman" w:cs="Times New Roman"/>
              </w:rPr>
              <w:t>2,</w:t>
            </w:r>
            <w:r>
              <w:rPr>
                <w:rFonts w:ascii="Times New Roman" w:hAnsi="Times New Roman" w:cs="Times New Roman"/>
              </w:rPr>
              <w:t>4</w:t>
            </w:r>
          </w:p>
        </w:tc>
        <w:tc>
          <w:tcPr>
            <w:tcW w:w="900" w:type="dxa"/>
            <w:tcBorders>
              <w:top w:val="single" w:sz="4" w:space="0" w:color="auto"/>
              <w:left w:val="single" w:sz="4" w:space="0" w:color="auto"/>
              <w:bottom w:val="single" w:sz="4" w:space="0" w:color="auto"/>
              <w:right w:val="single" w:sz="4" w:space="0" w:color="auto"/>
              <w:tl2br w:val="nil"/>
              <w:tr2bl w:val="nil"/>
            </w:tcBorders>
            <w:textDirection w:val="lrTb"/>
            <w:vAlign w:val="top"/>
          </w:tcPr>
          <w:p>
            <w:pPr>
              <w:jc w:val="center"/>
              <w:rPr>
                <w:rFonts w:ascii="Times New Roman" w:hAnsi="Times New Roman" w:cs="Times New Roman"/>
              </w:rPr>
            </w:pPr>
            <w:r>
              <w:rPr>
                <w:rFonts w:ascii="Times New Roman" w:hAnsi="Times New Roman" w:cs="Times New Roman"/>
              </w:rPr>
              <w:t>2,4</w:t>
            </w:r>
          </w:p>
        </w:tc>
      </w:tr>
    </w:tbl>
    <w:p>
      <w:pPr>
        <w:ind w:firstLine="360"/>
        <w:jc w:val="both"/>
        <w:rPr>
          <w:rFonts w:ascii="Times New Roman" w:hAnsi="Times New Roman" w:cs="Times New Roman"/>
        </w:rPr>
      </w:pPr>
    </w:p>
    <w:p>
      <w:pPr>
        <w:ind w:firstLine="360"/>
        <w:jc w:val="both"/>
        <w:rPr>
          <w:rFonts w:ascii="Times New Roman" w:hAnsi="Times New Roman" w:cs="Times New Roman"/>
        </w:rPr>
      </w:pPr>
    </w:p>
    <w:p>
      <w:pPr>
        <w:ind w:firstLine="360"/>
        <w:jc w:val="both"/>
        <w:rPr>
          <w:rFonts w:ascii="Times New Roman" w:hAnsi="Times New Roman" w:cs="Times New Roman"/>
        </w:rPr>
      </w:pPr>
      <w:r>
        <w:rPr>
          <w:rFonts w:ascii="Times New Roman" w:hAnsi="Times New Roman" w:cs="Times New Roman"/>
        </w:rPr>
        <w:t xml:space="preserve">Osobitný príspevok baníkom bude poskytovaný  v diferencovanej výške, a to                  80 EUR/2 410 Sk mesačne (získanie nároku z titulu dosiahnutia najvyššej prípustnej expozície, resp. ohrozenia chorobou z povolania) alebo 350 EUR/10 544 Sk mesačne (získanie nároku z titulu odpracovania potrebného počtu rokov a dosiahnutia veku 55 rokov). Kvantifikácie vychádzajú z predpokladu, že osobitný príspevok bude poskytnutý približne 1 196 oprávneným osobám, z toho 550 osobám s vekom aspoň 55 rokov (vrátane 350 nových poberateľov s vekom aspoň 55 rokov). V rámci celkového počtu poberateľov je približne 153 oprávnených poberateľov, ktorým v súčasnosti uhrádza osobitný príspevok zamestnávateľ a podľa návrhu zákona bude tento príspevok uhrádzaný zo štátneho rozpočtu.  </w:t>
      </w:r>
    </w:p>
    <w:p>
      <w:pPr>
        <w:jc w:val="both"/>
        <w:rPr>
          <w:rFonts w:ascii="Times New Roman" w:hAnsi="Times New Roman" w:cs="Times New Roman"/>
          <w:b/>
          <w:bCs/>
        </w:rPr>
      </w:pPr>
    </w:p>
    <w:p>
      <w:pPr>
        <w:ind w:firstLine="360"/>
        <w:jc w:val="both"/>
        <w:rPr>
          <w:rFonts w:ascii="Times New Roman" w:hAnsi="Times New Roman" w:cs="Times New Roman"/>
        </w:rPr>
      </w:pPr>
      <w:r>
        <w:rPr>
          <w:rFonts w:ascii="Times New Roman" w:hAnsi="Times New Roman" w:cs="Times New Roman"/>
        </w:rPr>
        <w:t xml:space="preserve">Zvýšené výdavky štátneho rozpočtu uvedené v tabuľke 1, resp. v tabuľke 2 budú v rokoch 2009 až 2011 finančne kryté v rámci návrhu rozpočtu kapitoly Ministerstva hospodárstva SR na roky 2009 – 2011 za podmienky, že dôjde k zvýšeniu navrhnutého limitu kapitoly Ministerstva hospodárstva SR v uvedených rokoch každoročne o sumu 73,6 mil. Sk, resp. 2,4 mil. eur.  </w:t>
      </w:r>
    </w:p>
    <w:p>
      <w:pPr>
        <w:jc w:val="both"/>
        <w:rPr>
          <w:rFonts w:ascii="Times New Roman" w:hAnsi="Times New Roman" w:cs="Times New Roman"/>
          <w:b/>
          <w:bCs/>
        </w:rPr>
      </w:pPr>
    </w:p>
    <w:p>
      <w:pPr>
        <w:numPr>
          <w:ilvl w:val="0"/>
          <w:numId w:val="4"/>
        </w:numPr>
        <w:tabs>
          <w:tab w:val="left" w:pos="1110"/>
        </w:tabs>
        <w:jc w:val="both"/>
        <w:outlineLvl w:val="0"/>
        <w:rPr>
          <w:rFonts w:ascii="Times New Roman" w:hAnsi="Times New Roman" w:cs="Times New Roman"/>
          <w:b/>
          <w:bCs/>
        </w:rPr>
      </w:pPr>
      <w:r>
        <w:rPr>
          <w:rFonts w:ascii="Times New Roman" w:hAnsi="Times New Roman" w:cs="Times New Roman"/>
          <w:b/>
          <w:bCs/>
        </w:rPr>
        <w:t>Odhad dopadov na obyvateľstvo, hospodárenie podnikateľskej sféry a iných právnických osôb</w:t>
      </w:r>
    </w:p>
    <w:p>
      <w:pPr>
        <w:ind w:firstLine="360"/>
        <w:jc w:val="both"/>
        <w:outlineLvl w:val="0"/>
        <w:rPr>
          <w:rFonts w:ascii="Times New Roman" w:hAnsi="Times New Roman" w:cs="Times New Roman"/>
          <w:b/>
          <w:bCs/>
        </w:rPr>
      </w:pPr>
    </w:p>
    <w:p>
      <w:pPr>
        <w:ind w:firstLine="360"/>
        <w:jc w:val="both"/>
        <w:outlineLvl w:val="0"/>
        <w:rPr>
          <w:rFonts w:ascii="Times New Roman" w:hAnsi="Times New Roman" w:cs="Times New Roman"/>
          <w:b/>
          <w:bCs/>
        </w:rPr>
      </w:pPr>
      <w:r>
        <w:rPr>
          <w:rFonts w:ascii="Times New Roman" w:hAnsi="Times New Roman" w:cs="Times New Roman"/>
          <w:b/>
          <w:bCs/>
        </w:rPr>
        <w:t>II.I. Odhad dopadov na obyvateľstvo</w:t>
      </w:r>
    </w:p>
    <w:p>
      <w:pPr>
        <w:ind w:firstLine="360"/>
        <w:jc w:val="both"/>
        <w:outlineLvl w:val="0"/>
        <w:rPr>
          <w:rFonts w:ascii="Times New Roman" w:hAnsi="Times New Roman" w:cs="Times New Roman"/>
          <w:b/>
          <w:bCs/>
        </w:rPr>
      </w:pPr>
    </w:p>
    <w:p>
      <w:pPr>
        <w:ind w:firstLine="360"/>
        <w:jc w:val="both"/>
        <w:rPr>
          <w:rFonts w:ascii="Times New Roman" w:hAnsi="Times New Roman" w:cs="Times New Roman"/>
        </w:rPr>
      </w:pPr>
      <w:r>
        <w:rPr>
          <w:rFonts w:ascii="Times New Roman" w:hAnsi="Times New Roman" w:cs="Times New Roman"/>
        </w:rPr>
        <w:t>Návrh zákona má priaznivý dopad na dotknutú skupinu poberateľov osobitného príspevku, nakoľko v porovnaní so súčasným právnym stavom dochádza k zvýšeniu sumy osobitného príspevku baníkom z 1 900 Sk (63 EUR) na 2 410 Sk (80 EUR), resp. 10 544 Sk (350 EUR) po spln</w:t>
      </w:r>
      <w:r>
        <w:rPr>
          <w:rFonts w:ascii="Times New Roman" w:hAnsi="Times New Roman" w:cs="Times New Roman"/>
        </w:rPr>
        <w:t xml:space="preserve">ení zákonom stanovených podmienok.  </w:t>
      </w:r>
    </w:p>
    <w:p>
      <w:pPr>
        <w:ind w:firstLine="360"/>
        <w:jc w:val="both"/>
        <w:outlineLvl w:val="0"/>
        <w:rPr>
          <w:rFonts w:ascii="Times New Roman" w:hAnsi="Times New Roman" w:cs="Times New Roman"/>
          <w:b/>
          <w:bCs/>
        </w:rPr>
      </w:pPr>
    </w:p>
    <w:p>
      <w:pPr>
        <w:ind w:firstLine="360"/>
        <w:jc w:val="both"/>
        <w:outlineLvl w:val="0"/>
        <w:rPr>
          <w:rFonts w:ascii="Times New Roman" w:hAnsi="Times New Roman" w:cs="Times New Roman"/>
          <w:b/>
          <w:bCs/>
        </w:rPr>
      </w:pPr>
      <w:r>
        <w:rPr>
          <w:rFonts w:ascii="Times New Roman" w:hAnsi="Times New Roman" w:cs="Times New Roman"/>
          <w:b/>
          <w:bCs/>
        </w:rPr>
        <w:t>II.II. Odhad dopadov na podnikateľskú sféru</w:t>
      </w:r>
    </w:p>
    <w:p>
      <w:pPr>
        <w:jc w:val="both"/>
        <w:rPr>
          <w:rFonts w:ascii="Times New Roman" w:hAnsi="Times New Roman" w:cs="Times New Roman"/>
        </w:rPr>
      </w:pPr>
    </w:p>
    <w:p>
      <w:pPr>
        <w:ind w:firstLine="360"/>
        <w:jc w:val="both"/>
        <w:rPr>
          <w:rFonts w:ascii="Times New Roman" w:hAnsi="Times New Roman" w:cs="Times New Roman"/>
        </w:rPr>
      </w:pPr>
      <w:r>
        <w:rPr>
          <w:rFonts w:ascii="Times New Roman" w:hAnsi="Times New Roman" w:cs="Times New Roman"/>
        </w:rPr>
        <w:t xml:space="preserve">Návrh zákona má priaznivý dopad na zamestnávateľov, ktorí podľa zákona č. 98/1987 Zb. o osobitnom príspevku baníkom v znení neskorších predpisov vyplácajú v súčasnosti osobitný príspevok baníkom. Od účinnosti zákona, ktorým sa mení a dopĺňa zákon č. 98/1987 Zb. o osobitnom príspevku baníkom v znení neskorších predpisov a o doplnení zákona č. 461/2003 Z. z. o sociálnom poistení v znení neskorších predpisov bude uvedený osobitný príspevok baníkom vyplácať štát. </w:t>
      </w:r>
    </w:p>
    <w:p>
      <w:pPr>
        <w:jc w:val="both"/>
        <w:rPr>
          <w:rFonts w:ascii="Times New Roman" w:hAnsi="Times New Roman" w:cs="Times New Roman"/>
        </w:rPr>
      </w:pPr>
    </w:p>
    <w:p>
      <w:pPr>
        <w:numPr>
          <w:ilvl w:val="0"/>
          <w:numId w:val="4"/>
        </w:numPr>
        <w:tabs>
          <w:tab w:val="left" w:pos="1110"/>
        </w:tabs>
        <w:jc w:val="both"/>
        <w:outlineLvl w:val="0"/>
        <w:rPr>
          <w:rFonts w:ascii="Times New Roman" w:hAnsi="Times New Roman" w:cs="Times New Roman"/>
          <w:b/>
          <w:bCs/>
        </w:rPr>
      </w:pPr>
      <w:r>
        <w:rPr>
          <w:rFonts w:ascii="Times New Roman" w:hAnsi="Times New Roman" w:cs="Times New Roman"/>
          <w:b/>
          <w:bCs/>
        </w:rPr>
        <w:t>Odhad dopadov na životné prostredie</w:t>
      </w:r>
    </w:p>
    <w:p>
      <w:pPr>
        <w:ind w:left="360"/>
        <w:jc w:val="both"/>
        <w:outlineLvl w:val="0"/>
        <w:rPr>
          <w:rFonts w:ascii="Times New Roman" w:hAnsi="Times New Roman" w:cs="Times New Roman"/>
          <w:b/>
          <w:bCs/>
        </w:rPr>
      </w:pPr>
    </w:p>
    <w:p>
      <w:pPr>
        <w:ind w:firstLine="360"/>
        <w:jc w:val="both"/>
        <w:outlineLvl w:val="0"/>
        <w:rPr>
          <w:rFonts w:ascii="Times New Roman" w:hAnsi="Times New Roman" w:cs="Times New Roman"/>
        </w:rPr>
      </w:pPr>
      <w:r>
        <w:rPr>
          <w:rFonts w:ascii="Times New Roman" w:hAnsi="Times New Roman" w:cs="Times New Roman"/>
        </w:rPr>
        <w:t>Návrh zákona nemá dopad na životné prostredie.</w:t>
      </w:r>
    </w:p>
    <w:p>
      <w:pPr>
        <w:jc w:val="both"/>
        <w:outlineLvl w:val="0"/>
        <w:rPr>
          <w:rFonts w:ascii="Times New Roman" w:hAnsi="Times New Roman" w:cs="Times New Roman"/>
          <w:b/>
          <w:bCs/>
        </w:rPr>
      </w:pPr>
    </w:p>
    <w:p>
      <w:pPr>
        <w:numPr>
          <w:ilvl w:val="0"/>
          <w:numId w:val="4"/>
        </w:numPr>
        <w:tabs>
          <w:tab w:val="left" w:pos="1110"/>
        </w:tabs>
        <w:jc w:val="both"/>
        <w:outlineLvl w:val="0"/>
        <w:rPr>
          <w:rFonts w:ascii="Times New Roman" w:hAnsi="Times New Roman" w:cs="Times New Roman"/>
          <w:b/>
          <w:bCs/>
        </w:rPr>
      </w:pPr>
      <w:r>
        <w:rPr>
          <w:rFonts w:ascii="Times New Roman" w:hAnsi="Times New Roman" w:cs="Times New Roman"/>
          <w:b/>
          <w:bCs/>
        </w:rPr>
        <w:t>Odhad dopadov na zamestnanosť</w:t>
      </w:r>
    </w:p>
    <w:p>
      <w:pPr>
        <w:ind w:left="360"/>
        <w:jc w:val="both"/>
        <w:rPr>
          <w:rFonts w:ascii="Times New Roman" w:hAnsi="Times New Roman" w:cs="Times New Roman"/>
        </w:rPr>
      </w:pPr>
    </w:p>
    <w:p>
      <w:pPr>
        <w:ind w:firstLine="360"/>
        <w:jc w:val="both"/>
        <w:rPr>
          <w:rFonts w:ascii="Times New Roman" w:hAnsi="Times New Roman" w:cs="Times New Roman"/>
        </w:rPr>
      </w:pPr>
      <w:r>
        <w:rPr>
          <w:rFonts w:ascii="Times New Roman" w:hAnsi="Times New Roman" w:cs="Times New Roman"/>
        </w:rPr>
        <w:t>Návrh zákona nemá dopad na zamestnanosť.</w:t>
      </w:r>
    </w:p>
    <w:p>
      <w:pPr>
        <w:ind w:firstLine="360"/>
        <w:jc w:val="both"/>
        <w:rPr>
          <w:rFonts w:ascii="Times New Roman" w:hAnsi="Times New Roman" w:cs="Times New Roman"/>
        </w:rPr>
      </w:pPr>
    </w:p>
    <w:p>
      <w:pPr>
        <w:ind w:firstLine="360"/>
        <w:jc w:val="both"/>
        <w:rPr>
          <w:rFonts w:ascii="Times New Roman" w:hAnsi="Times New Roman" w:cs="Times New Roman"/>
        </w:rPr>
      </w:pPr>
    </w:p>
    <w:p>
      <w:pPr>
        <w:ind w:firstLine="360"/>
        <w:jc w:val="both"/>
        <w:rPr>
          <w:rFonts w:ascii="Times New Roman" w:hAnsi="Times New Roman" w:cs="Times New Roman"/>
        </w:rPr>
      </w:pPr>
    </w:p>
    <w:p>
      <w:pPr>
        <w:ind w:firstLine="360"/>
        <w:jc w:val="both"/>
        <w:rPr>
          <w:rFonts w:ascii="Times New Roman" w:hAnsi="Times New Roman" w:cs="Times New Roman"/>
        </w:rPr>
      </w:pPr>
    </w:p>
    <w:p>
      <w:pPr>
        <w:ind w:firstLine="360"/>
        <w:jc w:val="both"/>
        <w:rPr>
          <w:rFonts w:ascii="Times New Roman" w:hAnsi="Times New Roman" w:cs="Times New Roman"/>
        </w:rPr>
      </w:pPr>
    </w:p>
    <w:p>
      <w:pPr>
        <w:ind w:firstLine="360"/>
        <w:jc w:val="both"/>
        <w:rPr>
          <w:rFonts w:ascii="Times New Roman" w:hAnsi="Times New Roman" w:cs="Times New Roman"/>
        </w:rPr>
      </w:pPr>
    </w:p>
    <w:p>
      <w:pPr>
        <w:ind w:firstLine="360"/>
        <w:jc w:val="both"/>
        <w:rPr>
          <w:rFonts w:ascii="Times New Roman" w:hAnsi="Times New Roman" w:cs="Times New Roman"/>
        </w:rPr>
      </w:pPr>
    </w:p>
    <w:p>
      <w:pPr>
        <w:ind w:firstLine="360"/>
        <w:jc w:val="both"/>
        <w:rPr>
          <w:rFonts w:ascii="Times New Roman" w:hAnsi="Times New Roman" w:cs="Times New Roman"/>
        </w:rPr>
      </w:pPr>
    </w:p>
    <w:p>
      <w:pPr>
        <w:ind w:firstLine="360"/>
        <w:jc w:val="both"/>
        <w:rPr>
          <w:rFonts w:ascii="Times New Roman" w:hAnsi="Times New Roman" w:cs="Times New Roman"/>
        </w:rPr>
      </w:pPr>
    </w:p>
    <w:p>
      <w:pPr>
        <w:ind w:firstLine="360"/>
        <w:jc w:val="both"/>
        <w:rPr>
          <w:rFonts w:ascii="Times New Roman" w:hAnsi="Times New Roman" w:cs="Times New Roman"/>
        </w:rPr>
      </w:pPr>
    </w:p>
    <w:p>
      <w:pPr>
        <w:ind w:firstLine="360"/>
        <w:jc w:val="both"/>
        <w:rPr>
          <w:rFonts w:ascii="Times New Roman" w:hAnsi="Times New Roman" w:cs="Times New Roman"/>
        </w:rPr>
      </w:pPr>
    </w:p>
    <w:p>
      <w:pPr>
        <w:ind w:firstLine="360"/>
        <w:jc w:val="both"/>
        <w:rPr>
          <w:rFonts w:ascii="Times New Roman" w:hAnsi="Times New Roman" w:cs="Times New Roman"/>
        </w:rPr>
      </w:pPr>
    </w:p>
    <w:p>
      <w:pPr>
        <w:ind w:firstLine="360"/>
        <w:jc w:val="both"/>
        <w:rPr>
          <w:rFonts w:ascii="Times New Roman" w:hAnsi="Times New Roman" w:cs="Times New Roman"/>
        </w:rPr>
      </w:pPr>
    </w:p>
    <w:p>
      <w:pPr>
        <w:ind w:firstLine="360"/>
        <w:jc w:val="both"/>
        <w:rPr>
          <w:rFonts w:ascii="Times New Roman" w:hAnsi="Times New Roman" w:cs="Times New Roman"/>
        </w:rPr>
      </w:pPr>
    </w:p>
    <w:p>
      <w:pPr>
        <w:ind w:firstLine="360"/>
        <w:jc w:val="both"/>
        <w:rPr>
          <w:rFonts w:ascii="Times New Roman" w:hAnsi="Times New Roman" w:cs="Times New Roman"/>
        </w:rPr>
      </w:pPr>
    </w:p>
    <w:p>
      <w:pPr>
        <w:ind w:firstLine="360"/>
        <w:jc w:val="both"/>
        <w:rPr>
          <w:rFonts w:ascii="Times New Roman" w:hAnsi="Times New Roman" w:cs="Times New Roman"/>
        </w:rPr>
      </w:pPr>
    </w:p>
    <w:p>
      <w:pPr>
        <w:ind w:firstLine="360"/>
        <w:jc w:val="both"/>
        <w:rPr>
          <w:rFonts w:ascii="Times New Roman" w:hAnsi="Times New Roman" w:cs="Times New Roman"/>
        </w:rPr>
      </w:pPr>
    </w:p>
    <w:p>
      <w:pPr>
        <w:ind w:firstLine="360"/>
        <w:jc w:val="both"/>
        <w:rPr>
          <w:rFonts w:ascii="Times New Roman" w:hAnsi="Times New Roman" w:cs="Times New Roman"/>
        </w:rPr>
      </w:pPr>
    </w:p>
    <w:p>
      <w:pPr>
        <w:ind w:firstLine="360"/>
        <w:jc w:val="both"/>
        <w:rPr>
          <w:rFonts w:ascii="Times New Roman" w:hAnsi="Times New Roman" w:cs="Times New Roman"/>
        </w:rPr>
      </w:pPr>
    </w:p>
    <w:p>
      <w:pPr>
        <w:ind w:firstLine="360"/>
        <w:jc w:val="both"/>
        <w:rPr>
          <w:rFonts w:ascii="Times New Roman" w:hAnsi="Times New Roman" w:cs="Times New Roman"/>
        </w:rPr>
      </w:pPr>
    </w:p>
    <w:p>
      <w:pPr>
        <w:ind w:firstLine="360"/>
        <w:jc w:val="both"/>
        <w:rPr>
          <w:rFonts w:ascii="Times New Roman" w:hAnsi="Times New Roman" w:cs="Times New Roman"/>
        </w:rPr>
      </w:pPr>
    </w:p>
    <w:p>
      <w:pPr>
        <w:ind w:firstLine="360"/>
        <w:jc w:val="both"/>
        <w:rPr>
          <w:rFonts w:ascii="Times New Roman" w:hAnsi="Times New Roman" w:cs="Times New Roman"/>
        </w:rPr>
      </w:pPr>
    </w:p>
    <w:p>
      <w:pPr>
        <w:jc w:val="center"/>
        <w:rPr>
          <w:rFonts w:ascii="Times New Roman" w:hAnsi="Times New Roman" w:cs="Times New Roman"/>
          <w:b/>
        </w:rPr>
      </w:pPr>
      <w:r>
        <w:rPr>
          <w:rFonts w:ascii="Times New Roman" w:hAnsi="Times New Roman" w:cs="Times New Roman"/>
          <w:b/>
        </w:rPr>
        <w:t>DOLOŽKA ZLUČITEĽNOSTI</w:t>
      </w:r>
    </w:p>
    <w:p>
      <w:pPr>
        <w:jc w:val="center"/>
        <w:rPr>
          <w:rFonts w:ascii="Times New Roman" w:hAnsi="Times New Roman" w:cs="Times New Roman"/>
          <w:b/>
        </w:rPr>
      </w:pPr>
      <w:r>
        <w:rPr>
          <w:rFonts w:ascii="Times New Roman" w:hAnsi="Times New Roman" w:cs="Times New Roman"/>
          <w:b/>
        </w:rPr>
        <w:t>právneho predpisu</w:t>
      </w:r>
    </w:p>
    <w:p>
      <w:pPr>
        <w:jc w:val="center"/>
        <w:rPr>
          <w:rFonts w:ascii="Times New Roman" w:hAnsi="Times New Roman" w:cs="Times New Roman"/>
          <w:b/>
        </w:rPr>
      </w:pPr>
      <w:r>
        <w:rPr>
          <w:rFonts w:ascii="Times New Roman" w:hAnsi="Times New Roman" w:cs="Times New Roman"/>
          <w:b/>
        </w:rPr>
        <w:t>s právom Európskych spoločenstiev s právom Európskej únie</w:t>
      </w:r>
    </w:p>
    <w:p>
      <w:pPr>
        <w:jc w:val="center"/>
        <w:rPr>
          <w:rFonts w:ascii="Times New Roman" w:hAnsi="Times New Roman" w:cs="Times New Roman"/>
          <w:b/>
        </w:rPr>
      </w:pPr>
    </w:p>
    <w:p>
      <w:pPr>
        <w:jc w:val="center"/>
        <w:rPr>
          <w:rFonts w:ascii="Times New Roman" w:hAnsi="Times New Roman" w:cs="Times New Roman"/>
          <w:b/>
        </w:rPr>
      </w:pPr>
    </w:p>
    <w:p>
      <w:pPr>
        <w:numPr>
          <w:ilvl w:val="0"/>
          <w:numId w:val="1"/>
        </w:numPr>
        <w:tabs>
          <w:tab w:val="left" w:pos="720"/>
        </w:tabs>
        <w:jc w:val="both"/>
        <w:rPr>
          <w:rFonts w:ascii="Times New Roman" w:hAnsi="Times New Roman" w:cs="Times New Roman"/>
          <w:b/>
        </w:rPr>
      </w:pPr>
      <w:r>
        <w:rPr>
          <w:rFonts w:ascii="Times New Roman" w:hAnsi="Times New Roman" w:cs="Times New Roman"/>
          <w:b/>
        </w:rPr>
        <w:t>Predkladateľ právneho predpisu:</w:t>
      </w:r>
    </w:p>
    <w:p>
      <w:pPr>
        <w:ind w:left="708"/>
        <w:jc w:val="both"/>
        <w:rPr>
          <w:rFonts w:ascii="Times New Roman" w:hAnsi="Times New Roman" w:cs="Times New Roman"/>
        </w:rPr>
      </w:pPr>
      <w:r>
        <w:rPr>
          <w:rFonts w:ascii="Times New Roman" w:hAnsi="Times New Roman" w:cs="Times New Roman"/>
        </w:rPr>
        <w:t xml:space="preserve">Poslanci Národnej rady Slovenskej republiky </w:t>
      </w:r>
    </w:p>
    <w:p>
      <w:pPr>
        <w:ind w:left="708"/>
        <w:jc w:val="both"/>
        <w:rPr>
          <w:rFonts w:ascii="Times New Roman" w:hAnsi="Times New Roman" w:cs="Times New Roman"/>
          <w:b/>
        </w:rPr>
      </w:pPr>
    </w:p>
    <w:p>
      <w:pPr>
        <w:numPr>
          <w:ilvl w:val="0"/>
          <w:numId w:val="1"/>
        </w:numPr>
        <w:tabs>
          <w:tab w:val="left" w:pos="720"/>
        </w:tabs>
        <w:jc w:val="both"/>
        <w:rPr>
          <w:rFonts w:ascii="Times New Roman" w:hAnsi="Times New Roman" w:cs="Times New Roman"/>
          <w:b/>
        </w:rPr>
      </w:pPr>
      <w:r>
        <w:rPr>
          <w:rFonts w:ascii="Times New Roman" w:hAnsi="Times New Roman" w:cs="Times New Roman"/>
          <w:b/>
        </w:rPr>
        <w:t>Názov právneho predpisu:</w:t>
      </w:r>
    </w:p>
    <w:p>
      <w:pPr>
        <w:rPr>
          <w:rFonts w:ascii="Times New Roman" w:hAnsi="Times New Roman" w:cs="Times New Roman"/>
          <w:bCs/>
        </w:rPr>
      </w:pPr>
      <w:r>
        <w:rPr>
          <w:rFonts w:ascii="Times New Roman" w:hAnsi="Times New Roman" w:cs="Times New Roman"/>
        </w:rPr>
        <w:tab/>
        <w:t xml:space="preserve">Návrh zákona ktorým sa mení a dopĺňa zákon č. 98/1987 Zb. o osobitnom príspevku </w:t>
        <w:tab/>
        <w:t xml:space="preserve">baníkom v znení neskorších predpisov a o doplnení zákona č. 461/2003 Z. z. </w:t>
        <w:tab/>
        <w:t>o sociálnom poistení v znení neskorších predpisov</w:t>
      </w:r>
    </w:p>
    <w:p>
      <w:pPr>
        <w:ind w:left="708"/>
        <w:jc w:val="both"/>
        <w:rPr>
          <w:rFonts w:ascii="Times New Roman" w:hAnsi="Times New Roman" w:cs="Times New Roman"/>
          <w:b/>
        </w:rPr>
      </w:pPr>
    </w:p>
    <w:p>
      <w:pPr>
        <w:numPr>
          <w:ilvl w:val="0"/>
          <w:numId w:val="1"/>
        </w:numPr>
        <w:tabs>
          <w:tab w:val="left" w:pos="720"/>
        </w:tabs>
        <w:jc w:val="both"/>
        <w:rPr>
          <w:rFonts w:ascii="Times New Roman" w:hAnsi="Times New Roman" w:cs="Times New Roman"/>
          <w:b/>
        </w:rPr>
      </w:pPr>
      <w:r>
        <w:rPr>
          <w:rFonts w:ascii="Times New Roman" w:hAnsi="Times New Roman" w:cs="Times New Roman"/>
          <w:b/>
        </w:rPr>
        <w:t>Problematika návrhu právneho predpisu:</w:t>
      </w:r>
    </w:p>
    <w:p>
      <w:pPr>
        <w:jc w:val="both"/>
        <w:rPr>
          <w:rFonts w:ascii="Times New Roman" w:hAnsi="Times New Roman" w:cs="Times New Roman"/>
          <w:b/>
        </w:rPr>
      </w:pPr>
    </w:p>
    <w:p>
      <w:pPr>
        <w:numPr>
          <w:ilvl w:val="1"/>
          <w:numId w:val="1"/>
        </w:numPr>
        <w:tabs>
          <w:tab w:val="left" w:pos="1080"/>
          <w:tab w:val="clear" w:pos="1440"/>
        </w:tabs>
        <w:ind w:hanging="720"/>
        <w:jc w:val="both"/>
        <w:rPr>
          <w:rFonts w:ascii="Times New Roman" w:hAnsi="Times New Roman" w:cs="Times New Roman"/>
        </w:rPr>
      </w:pPr>
      <w:r>
        <w:rPr>
          <w:rFonts w:ascii="Times New Roman" w:hAnsi="Times New Roman" w:cs="Times New Roman"/>
        </w:rPr>
        <w:t>nie je upravená v práve Európskych spoločenstiev:</w:t>
      </w:r>
    </w:p>
    <w:p>
      <w:pPr>
        <w:numPr>
          <w:ilvl w:val="2"/>
          <w:numId w:val="1"/>
        </w:numPr>
        <w:tabs>
          <w:tab w:val="left" w:pos="1440"/>
          <w:tab w:val="clear" w:pos="2340"/>
        </w:tabs>
        <w:ind w:hanging="1260"/>
        <w:jc w:val="both"/>
        <w:rPr>
          <w:rFonts w:ascii="Times New Roman" w:hAnsi="Times New Roman" w:cs="Times New Roman"/>
        </w:rPr>
      </w:pPr>
      <w:r>
        <w:rPr>
          <w:rFonts w:ascii="Times New Roman" w:hAnsi="Times New Roman" w:cs="Times New Roman"/>
        </w:rPr>
        <w:t>primárnom</w:t>
      </w:r>
    </w:p>
    <w:p>
      <w:pPr>
        <w:numPr>
          <w:ilvl w:val="2"/>
          <w:numId w:val="1"/>
        </w:numPr>
        <w:tabs>
          <w:tab w:val="left" w:pos="1440"/>
          <w:tab w:val="clear" w:pos="2340"/>
        </w:tabs>
        <w:ind w:hanging="1260"/>
        <w:jc w:val="both"/>
        <w:rPr>
          <w:rFonts w:ascii="Times New Roman" w:hAnsi="Times New Roman" w:cs="Times New Roman"/>
        </w:rPr>
      </w:pPr>
      <w:r>
        <w:rPr>
          <w:rFonts w:ascii="Times New Roman" w:hAnsi="Times New Roman" w:cs="Times New Roman"/>
        </w:rPr>
        <w:t>sekundárnom</w:t>
      </w:r>
    </w:p>
    <w:p>
      <w:pPr>
        <w:jc w:val="both"/>
        <w:rPr>
          <w:rFonts w:ascii="Times New Roman" w:hAnsi="Times New Roman" w:cs="Times New Roman"/>
        </w:rPr>
      </w:pPr>
    </w:p>
    <w:p>
      <w:pPr>
        <w:numPr>
          <w:ilvl w:val="1"/>
          <w:numId w:val="1"/>
        </w:numPr>
        <w:tabs>
          <w:tab w:val="left" w:pos="1080"/>
          <w:tab w:val="clear" w:pos="1440"/>
        </w:tabs>
        <w:ind w:hanging="720"/>
        <w:jc w:val="both"/>
        <w:rPr>
          <w:rFonts w:ascii="Times New Roman" w:hAnsi="Times New Roman" w:cs="Times New Roman"/>
        </w:rPr>
      </w:pPr>
      <w:r>
        <w:rPr>
          <w:rFonts w:ascii="Times New Roman" w:hAnsi="Times New Roman" w:cs="Times New Roman"/>
        </w:rPr>
        <w:t>nie je upravená v práve Eur</w:t>
      </w:r>
      <w:r>
        <w:rPr>
          <w:rFonts w:ascii="Times New Roman" w:hAnsi="Times New Roman" w:cs="Times New Roman"/>
        </w:rPr>
        <w:t>ópskej únie:</w:t>
      </w:r>
    </w:p>
    <w:p>
      <w:pPr>
        <w:numPr>
          <w:ilvl w:val="2"/>
          <w:numId w:val="1"/>
        </w:numPr>
        <w:tabs>
          <w:tab w:val="left" w:pos="1440"/>
          <w:tab w:val="clear" w:pos="2340"/>
        </w:tabs>
        <w:ind w:hanging="1260"/>
        <w:jc w:val="both"/>
        <w:rPr>
          <w:rFonts w:ascii="Times New Roman" w:hAnsi="Times New Roman" w:cs="Times New Roman"/>
        </w:rPr>
      </w:pPr>
      <w:r>
        <w:rPr>
          <w:rFonts w:ascii="Times New Roman" w:hAnsi="Times New Roman" w:cs="Times New Roman"/>
        </w:rPr>
        <w:t>primárnom</w:t>
      </w:r>
    </w:p>
    <w:p>
      <w:pPr>
        <w:numPr>
          <w:ilvl w:val="2"/>
          <w:numId w:val="1"/>
        </w:numPr>
        <w:tabs>
          <w:tab w:val="left" w:pos="1440"/>
          <w:tab w:val="clear" w:pos="2340"/>
        </w:tabs>
        <w:ind w:hanging="1260"/>
        <w:jc w:val="both"/>
        <w:rPr>
          <w:rFonts w:ascii="Times New Roman" w:hAnsi="Times New Roman" w:cs="Times New Roman"/>
        </w:rPr>
      </w:pPr>
      <w:r>
        <w:rPr>
          <w:rFonts w:ascii="Times New Roman" w:hAnsi="Times New Roman" w:cs="Times New Roman"/>
        </w:rPr>
        <w:t>sekundárnom</w:t>
      </w:r>
    </w:p>
    <w:p>
      <w:pPr>
        <w:jc w:val="both"/>
        <w:rPr>
          <w:rFonts w:ascii="Times New Roman" w:hAnsi="Times New Roman" w:cs="Times New Roman"/>
        </w:rPr>
      </w:pPr>
    </w:p>
    <w:p>
      <w:pPr>
        <w:ind w:left="900" w:hanging="192"/>
        <w:jc w:val="both"/>
        <w:rPr>
          <w:rFonts w:ascii="Times New Roman" w:hAnsi="Times New Roman" w:cs="Times New Roman"/>
        </w:rPr>
      </w:pPr>
      <w:r>
        <w:rPr>
          <w:rFonts w:ascii="Times New Roman" w:hAnsi="Times New Roman" w:cs="Times New Roman"/>
        </w:rPr>
        <w:t xml:space="preserve">c)  nie je obsiahnutá v judikatúre Súdneho dvora Európskych spoločenstiev alebo Súdu   </w:t>
      </w:r>
    </w:p>
    <w:p>
      <w:pPr>
        <w:ind w:left="1080" w:hanging="192"/>
        <w:jc w:val="both"/>
        <w:rPr>
          <w:rFonts w:ascii="Times New Roman" w:hAnsi="Times New Roman" w:cs="Times New Roman"/>
        </w:rPr>
      </w:pPr>
      <w:r>
        <w:rPr>
          <w:rFonts w:ascii="Times New Roman" w:hAnsi="Times New Roman" w:cs="Times New Roman"/>
        </w:rPr>
        <w:t xml:space="preserve">  prvého stupňa Európskych spoločenstiev.</w:t>
      </w:r>
    </w:p>
    <w:p>
      <w:pPr>
        <w:jc w:val="both"/>
        <w:rPr>
          <w:rFonts w:ascii="Times New Roman" w:hAnsi="Times New Roman" w:cs="Times New Roman"/>
        </w:rPr>
      </w:pPr>
    </w:p>
    <w:p>
      <w:pPr>
        <w:ind w:left="360"/>
        <w:jc w:val="both"/>
        <w:rPr>
          <w:rFonts w:ascii="Times New Roman" w:hAnsi="Times New Roman" w:cs="Times New Roman"/>
        </w:rPr>
      </w:pPr>
      <w:r>
        <w:rPr>
          <w:rFonts w:ascii="Times New Roman" w:hAnsi="Times New Roman" w:cs="Times New Roman"/>
        </w:rPr>
        <w:t>Vzhľadom na vnútroštátny charakter navrhovaného právneho predpisu je bezpredmetné vyjadrovať sa k bodu 4., 5. a 6. doložky zlučiteľnosti.</w:t>
      </w:r>
    </w:p>
    <w:p>
      <w:pPr>
        <w:ind w:left="1080"/>
        <w:jc w:val="both"/>
        <w:rPr>
          <w:rFonts w:ascii="Times New Roman" w:hAnsi="Times New Roman" w:cs="Times New Roman"/>
        </w:rPr>
      </w:pPr>
    </w:p>
    <w:p>
      <w:pPr>
        <w:ind w:left="1080"/>
        <w:jc w:val="both"/>
        <w:rPr>
          <w:rFonts w:ascii="Times New Roman" w:hAnsi="Times New Roman" w:cs="Times New Roman"/>
        </w:rPr>
      </w:pPr>
    </w:p>
    <w:p>
      <w:pPr>
        <w:ind w:firstLine="360"/>
        <w:rPr>
          <w:rFonts w:ascii="Times New Roman" w:hAnsi="Times New Roman" w:cs="Times New Roman"/>
        </w:rPr>
      </w:pPr>
    </w:p>
    <w:p>
      <w:pPr>
        <w:ind w:firstLine="360"/>
        <w:rPr>
          <w:rFonts w:ascii="Times New Roman" w:hAnsi="Times New Roman" w:cs="Times New Roman"/>
        </w:rPr>
      </w:pPr>
    </w:p>
    <w:p>
      <w:pPr>
        <w:ind w:firstLine="360"/>
        <w:rPr>
          <w:rFonts w:ascii="Times New Roman" w:hAnsi="Times New Roman" w:cs="Times New Roman"/>
        </w:rPr>
      </w:pPr>
    </w:p>
    <w:p>
      <w:pPr>
        <w:ind w:firstLine="360"/>
        <w:rPr>
          <w:rFonts w:ascii="Times New Roman" w:hAnsi="Times New Roman" w:cs="Times New Roman"/>
        </w:rPr>
      </w:pPr>
    </w:p>
    <w:p>
      <w:pPr>
        <w:ind w:firstLine="360"/>
        <w:rPr>
          <w:rFonts w:ascii="Times New Roman" w:hAnsi="Times New Roman" w:cs="Times New Roman"/>
        </w:rPr>
      </w:pPr>
    </w:p>
    <w:p>
      <w:pPr>
        <w:ind w:firstLine="360"/>
        <w:rPr>
          <w:rFonts w:ascii="Times New Roman" w:hAnsi="Times New Roman" w:cs="Times New Roman"/>
        </w:rPr>
      </w:pPr>
    </w:p>
    <w:p>
      <w:pPr>
        <w:ind w:firstLine="360"/>
        <w:rPr>
          <w:rFonts w:ascii="Times New Roman" w:hAnsi="Times New Roman" w:cs="Times New Roman"/>
        </w:rPr>
      </w:pPr>
    </w:p>
    <w:p>
      <w:pPr>
        <w:ind w:firstLine="360"/>
        <w:rPr>
          <w:rFonts w:ascii="Times New Roman" w:hAnsi="Times New Roman" w:cs="Times New Roman"/>
        </w:rPr>
      </w:pPr>
    </w:p>
    <w:p>
      <w:pPr>
        <w:ind w:firstLine="360"/>
        <w:rPr>
          <w:rFonts w:ascii="Times New Roman" w:hAnsi="Times New Roman" w:cs="Times New Roman"/>
        </w:rPr>
      </w:pPr>
    </w:p>
    <w:p>
      <w:pPr>
        <w:ind w:firstLine="360"/>
        <w:rPr>
          <w:rFonts w:ascii="Times New Roman" w:hAnsi="Times New Roman" w:cs="Times New Roman"/>
        </w:rPr>
      </w:pPr>
    </w:p>
    <w:p>
      <w:pPr>
        <w:ind w:firstLine="360"/>
        <w:rPr>
          <w:rFonts w:ascii="Times New Roman" w:hAnsi="Times New Roman" w:cs="Times New Roman"/>
        </w:rPr>
      </w:pPr>
    </w:p>
    <w:p>
      <w:pPr>
        <w:ind w:firstLine="360"/>
        <w:rPr>
          <w:rFonts w:ascii="Times New Roman" w:hAnsi="Times New Roman" w:cs="Times New Roman"/>
        </w:rPr>
      </w:pPr>
    </w:p>
    <w:p>
      <w:pPr>
        <w:ind w:firstLine="360"/>
        <w:rPr>
          <w:rFonts w:ascii="Times New Roman" w:hAnsi="Times New Roman" w:cs="Times New Roman"/>
        </w:rPr>
      </w:pPr>
    </w:p>
    <w:p>
      <w:pPr>
        <w:ind w:firstLine="360"/>
        <w:rPr>
          <w:rFonts w:ascii="Times New Roman" w:hAnsi="Times New Roman" w:cs="Times New Roman"/>
        </w:rPr>
      </w:pPr>
    </w:p>
    <w:p>
      <w:pPr>
        <w:ind w:firstLine="360"/>
        <w:rPr>
          <w:rFonts w:ascii="Times New Roman" w:hAnsi="Times New Roman" w:cs="Times New Roman"/>
        </w:rPr>
      </w:pPr>
    </w:p>
    <w:p>
      <w:pPr>
        <w:ind w:firstLine="360"/>
        <w:rPr>
          <w:rFonts w:ascii="Times New Roman" w:hAnsi="Times New Roman" w:cs="Times New Roman"/>
        </w:rPr>
      </w:pPr>
    </w:p>
    <w:p>
      <w:pPr>
        <w:ind w:firstLine="360"/>
        <w:rPr>
          <w:rFonts w:ascii="Times New Roman" w:hAnsi="Times New Roman" w:cs="Times New Roman"/>
        </w:rPr>
      </w:pPr>
    </w:p>
    <w:p>
      <w:pPr>
        <w:ind w:firstLine="360"/>
        <w:rPr>
          <w:rFonts w:ascii="Times New Roman" w:hAnsi="Times New Roman" w:cs="Times New Roman"/>
        </w:rPr>
      </w:pPr>
    </w:p>
    <w:p>
      <w:pPr>
        <w:ind w:firstLine="708"/>
        <w:jc w:val="both"/>
        <w:rPr>
          <w:rFonts w:ascii="Times New Roman" w:hAnsi="Times New Roman" w:cs="Times New Roman"/>
          <w:b/>
        </w:rPr>
      </w:pPr>
    </w:p>
    <w:p>
      <w:pPr>
        <w:ind w:firstLine="708"/>
        <w:jc w:val="both"/>
        <w:rPr>
          <w:rFonts w:ascii="Times New Roman" w:hAnsi="Times New Roman" w:cs="Times New Roman"/>
          <w:b/>
        </w:rPr>
      </w:pPr>
      <w:r>
        <w:rPr>
          <w:rFonts w:ascii="Times New Roman" w:hAnsi="Times New Roman" w:cs="Times New Roman"/>
          <w:b/>
        </w:rPr>
        <w:t>B. Osobitná časť</w:t>
      </w:r>
    </w:p>
    <w:p>
      <w:pPr>
        <w:jc w:val="both"/>
        <w:rPr>
          <w:rFonts w:ascii="Times New Roman" w:hAnsi="Times New Roman" w:cs="Times New Roman"/>
          <w:b/>
        </w:rPr>
      </w:pPr>
    </w:p>
    <w:p>
      <w:pPr>
        <w:jc w:val="both"/>
        <w:rPr>
          <w:rFonts w:ascii="Times New Roman" w:hAnsi="Times New Roman" w:cs="Times New Roman"/>
          <w:b/>
        </w:rPr>
      </w:pPr>
      <w:r>
        <w:rPr>
          <w:rFonts w:ascii="Times New Roman" w:hAnsi="Times New Roman" w:cs="Times New Roman"/>
          <w:b/>
        </w:rPr>
        <w:t>K čl. I.</w:t>
      </w:r>
    </w:p>
    <w:p>
      <w:pPr>
        <w:ind w:firstLine="708"/>
        <w:jc w:val="both"/>
        <w:rPr>
          <w:rFonts w:ascii="Times New Roman" w:hAnsi="Times New Roman" w:cs="Times New Roman"/>
        </w:rPr>
      </w:pPr>
    </w:p>
    <w:p>
      <w:pPr>
        <w:ind w:firstLine="708"/>
        <w:jc w:val="both"/>
        <w:rPr>
          <w:rFonts w:ascii="Times New Roman" w:hAnsi="Times New Roman" w:cs="Times New Roman"/>
          <w:b/>
        </w:rPr>
      </w:pPr>
      <w:r>
        <w:rPr>
          <w:rFonts w:ascii="Times New Roman" w:hAnsi="Times New Roman" w:cs="Times New Roman"/>
          <w:b/>
        </w:rPr>
        <w:t>K bodu 1</w:t>
      </w:r>
    </w:p>
    <w:p>
      <w:pPr>
        <w:ind w:firstLine="708"/>
        <w:jc w:val="both"/>
        <w:rPr>
          <w:rFonts w:ascii="Times New Roman" w:hAnsi="Times New Roman" w:cs="Times New Roman"/>
        </w:rPr>
      </w:pPr>
    </w:p>
    <w:p>
      <w:pPr>
        <w:ind w:firstLine="708"/>
        <w:jc w:val="both"/>
        <w:rPr>
          <w:rFonts w:ascii="Times New Roman" w:hAnsi="Times New Roman" w:cs="Times New Roman"/>
        </w:rPr>
      </w:pPr>
      <w:r>
        <w:rPr>
          <w:rFonts w:ascii="Times New Roman" w:hAnsi="Times New Roman" w:cs="Times New Roman"/>
        </w:rPr>
        <w:t xml:space="preserve">V porovnaní s predchádzajúcou úpravou dochádza k zjednodušeniu jednotlivých ustanovení; podľa § 2 ods. 1 sa vznik nároku viaže na dosiahnutie najvyššej prípustnej expozície, resp. zistenie ohrozenia chorobou z povolania v spojitosti s ukončením práce v baníctve so stálym pracoviskom </w:t>
      </w:r>
      <w:r>
        <w:rPr>
          <w:rFonts w:ascii="Times New Roman" w:hAnsi="Times New Roman" w:cs="Times New Roman"/>
          <w:color w:val="000000"/>
        </w:rPr>
        <w:t xml:space="preserve">pod zemou v hlbinných baniach. Zároveň dochádza k vypusteniu ustanovenia o uvoľnení na výkon verejnej funkcie ako relevantnej skutočnosti pre vznik nároku na osobitný príspevok. </w:t>
      </w:r>
      <w:r>
        <w:rPr>
          <w:rFonts w:ascii="Times New Roman" w:hAnsi="Times New Roman" w:cs="Times New Roman"/>
        </w:rPr>
        <w:t xml:space="preserve"> </w:t>
      </w:r>
    </w:p>
    <w:p>
      <w:pPr>
        <w:ind w:firstLine="708"/>
        <w:jc w:val="both"/>
        <w:rPr>
          <w:rFonts w:ascii="Times New Roman" w:hAnsi="Times New Roman" w:cs="Times New Roman"/>
          <w:color w:val="000000"/>
        </w:rPr>
      </w:pPr>
    </w:p>
    <w:p>
      <w:pPr>
        <w:ind w:firstLine="708"/>
        <w:jc w:val="both"/>
        <w:rPr>
          <w:rFonts w:ascii="Times New Roman" w:hAnsi="Times New Roman" w:cs="Times New Roman"/>
          <w:color w:val="000000"/>
        </w:rPr>
      </w:pPr>
      <w:r>
        <w:rPr>
          <w:rFonts w:ascii="Times New Roman" w:hAnsi="Times New Roman" w:cs="Times New Roman"/>
          <w:color w:val="000000"/>
        </w:rPr>
        <w:t>V § 2 ods. 2 sa v porovnaní s predchádzajúcou úpravou sprísňuje podmienka dosiahnutia veku z doterajších 50 na 55 rokov veku. Zároveň sa vypúšťa podmienka, aby dosiahnutie veku muselo nastať poča</w:t>
      </w:r>
      <w:r>
        <w:rPr>
          <w:rFonts w:ascii="Times New Roman" w:hAnsi="Times New Roman" w:cs="Times New Roman"/>
          <w:color w:val="000000"/>
        </w:rPr>
        <w:t>s trvania predmetného zamestnania.</w:t>
      </w:r>
    </w:p>
    <w:p>
      <w:pPr>
        <w:ind w:firstLine="708"/>
        <w:jc w:val="both"/>
        <w:rPr>
          <w:rFonts w:ascii="Times New Roman" w:hAnsi="Times New Roman" w:cs="Times New Roman"/>
          <w:color w:val="000000"/>
        </w:rPr>
      </w:pPr>
    </w:p>
    <w:p>
      <w:pPr>
        <w:ind w:firstLine="708"/>
        <w:jc w:val="both"/>
        <w:rPr>
          <w:rFonts w:ascii="Times New Roman" w:hAnsi="Times New Roman" w:cs="Times New Roman"/>
          <w:color w:val="000000"/>
        </w:rPr>
      </w:pPr>
      <w:r>
        <w:rPr>
          <w:rFonts w:ascii="Times New Roman" w:hAnsi="Times New Roman" w:cs="Times New Roman"/>
          <w:color w:val="000000"/>
        </w:rPr>
        <w:t xml:space="preserve">V § 2 ods. 3 sa ustanovujú podmienky pre poberanie osobitného príspevku  baníkmi, ktorí boli dotknutí útlmovými programami schválenými vládou Slovenskej republiky. </w:t>
      </w:r>
    </w:p>
    <w:p>
      <w:pPr>
        <w:ind w:firstLine="708"/>
        <w:jc w:val="both"/>
        <w:rPr>
          <w:rFonts w:ascii="Times New Roman" w:hAnsi="Times New Roman" w:cs="Times New Roman"/>
          <w:color w:val="000000"/>
        </w:rPr>
      </w:pPr>
    </w:p>
    <w:p>
      <w:pPr>
        <w:jc w:val="both"/>
        <w:rPr>
          <w:rFonts w:ascii="Times New Roman" w:hAnsi="Times New Roman" w:cs="Times New Roman"/>
        </w:rPr>
      </w:pPr>
      <w:r>
        <w:rPr>
          <w:rFonts w:ascii="Times New Roman" w:hAnsi="Times New Roman" w:cs="Times New Roman"/>
        </w:rPr>
        <w:tab/>
        <w:t>V § 3 sa aktualizujú jednotlivé ustanovenia aj vzhľadom na zmeny v právnom poriadku, ktoré nastali po nateraz poslednej novele v roku 1992. Účelom je predovšetkým snaha o dosiahnutie čo najväčšej adresnosti osobitného príspevku baníkom ako osobitnej dávky, v súvislosti s čím sa do zákona zakotvuje vylúčenie súbehu jednotlivých druhov dávok. Vzhľadom na charakter osobitného príspevku baníkom ako osobitnej dávky vyplácanej z prostriedkov štátneho rozpočtu sa tento príspevok nepriznáva osobám, ktoré nemajú bydlisko na území Slovenskej republiky.</w:t>
      </w:r>
    </w:p>
    <w:p>
      <w:pPr>
        <w:jc w:val="both"/>
        <w:rPr>
          <w:rFonts w:ascii="Times New Roman" w:hAnsi="Times New Roman" w:cs="Times New Roman"/>
        </w:rPr>
      </w:pPr>
    </w:p>
    <w:p>
      <w:pPr>
        <w:jc w:val="both"/>
        <w:rPr>
          <w:rFonts w:ascii="Times New Roman" w:hAnsi="Times New Roman" w:cs="Times New Roman"/>
        </w:rPr>
      </w:pPr>
      <w:r>
        <w:rPr>
          <w:rFonts w:ascii="Times New Roman" w:hAnsi="Times New Roman" w:cs="Times New Roman"/>
        </w:rPr>
        <w:tab/>
        <w:t>V § 4 sa určuje subjekt, ktorý svojím záväzným posudkom určuje n</w:t>
      </w:r>
      <w:r>
        <w:rPr>
          <w:rFonts w:ascii="Times New Roman" w:hAnsi="Times New Roman" w:cs="Times New Roman"/>
          <w:color w:val="000000"/>
        </w:rPr>
        <w:t>ajvyššiu prípustnú expozíciu pre práce na jednotlivých pracoviskách v podzemí hlbinných baní; je ním príslušný orgán verejného zdravotníctva. Subjektom, ktorý vykonáva zaraďovanie prác do kategórie rizika a sledovanie expozície u jednotlivých zamestnancov v podzemí hlbinných baní by mal byť podľa novej úpravy zamestnávateľ.</w:t>
      </w:r>
      <w:r>
        <w:rPr>
          <w:rFonts w:ascii="Times New Roman" w:hAnsi="Times New Roman" w:cs="Times New Roman"/>
        </w:rPr>
        <w:tab/>
      </w:r>
    </w:p>
    <w:p>
      <w:pPr>
        <w:jc w:val="both"/>
        <w:rPr>
          <w:rFonts w:ascii="Times New Roman" w:hAnsi="Times New Roman" w:cs="Times New Roman"/>
        </w:rPr>
      </w:pPr>
      <w:r>
        <w:rPr>
          <w:rFonts w:ascii="Times New Roman" w:hAnsi="Times New Roman" w:cs="Times New Roman"/>
        </w:rPr>
        <w:tab/>
      </w:r>
    </w:p>
    <w:p>
      <w:pPr>
        <w:jc w:val="both"/>
        <w:rPr>
          <w:rFonts w:ascii="Times New Roman" w:hAnsi="Times New Roman" w:cs="Times New Roman"/>
        </w:rPr>
      </w:pPr>
      <w:r>
        <w:rPr>
          <w:rFonts w:ascii="Times New Roman" w:hAnsi="Times New Roman" w:cs="Times New Roman"/>
        </w:rPr>
        <w:tab/>
        <w:t xml:space="preserve">V § 4 ods. 2 sa definuje zamestnanie mimo podzemia hlbinných baní. </w:t>
      </w:r>
      <w:r>
        <w:rPr>
          <w:rFonts w:ascii="Times New Roman" w:hAnsi="Times New Roman" w:cs="Times New Roman"/>
          <w:color w:val="000000"/>
        </w:rPr>
        <w:t>Používa sa negatívne vymedzenie vo vzťahu k zamestnaniam v baníct</w:t>
      </w:r>
      <w:r>
        <w:rPr>
          <w:rFonts w:ascii="Times New Roman" w:hAnsi="Times New Roman" w:cs="Times New Roman"/>
          <w:color w:val="000000"/>
        </w:rPr>
        <w:t>ve so stálym pracoviskom pod zemou v hlbinných baniach a k ostatným zamestnaniam v baníctve vykonávaným pod zemou v hlbinných baniach.</w:t>
      </w:r>
    </w:p>
    <w:p>
      <w:pPr>
        <w:jc w:val="both"/>
        <w:rPr>
          <w:rFonts w:ascii="Times New Roman" w:hAnsi="Times New Roman" w:cs="Times New Roman"/>
        </w:rPr>
      </w:pPr>
    </w:p>
    <w:p>
      <w:pPr>
        <w:jc w:val="both"/>
        <w:rPr>
          <w:rFonts w:ascii="Times New Roman" w:hAnsi="Times New Roman" w:cs="Times New Roman"/>
        </w:rPr>
      </w:pPr>
      <w:r>
        <w:rPr>
          <w:rFonts w:ascii="Times New Roman" w:hAnsi="Times New Roman" w:cs="Times New Roman"/>
        </w:rPr>
        <w:tab/>
        <w:t xml:space="preserve">Poznámky pod čiarou sa vypúšťajú ako vývojom prekonané. </w:t>
      </w:r>
    </w:p>
    <w:p>
      <w:pPr>
        <w:ind w:firstLine="708"/>
        <w:jc w:val="both"/>
        <w:rPr>
          <w:rFonts w:ascii="Times New Roman" w:hAnsi="Times New Roman" w:cs="Times New Roman"/>
          <w:b/>
        </w:rPr>
      </w:pPr>
    </w:p>
    <w:p>
      <w:pPr>
        <w:ind w:firstLine="708"/>
        <w:jc w:val="both"/>
        <w:rPr>
          <w:rFonts w:ascii="Times New Roman" w:hAnsi="Times New Roman" w:cs="Times New Roman"/>
          <w:b/>
        </w:rPr>
      </w:pPr>
      <w:r>
        <w:rPr>
          <w:rFonts w:ascii="Times New Roman" w:hAnsi="Times New Roman" w:cs="Times New Roman"/>
          <w:b/>
        </w:rPr>
        <w:t>K bodu 2</w:t>
      </w:r>
    </w:p>
    <w:p>
      <w:pPr>
        <w:ind w:firstLine="708"/>
        <w:jc w:val="both"/>
        <w:rPr>
          <w:rFonts w:ascii="Times New Roman" w:hAnsi="Times New Roman" w:cs="Times New Roman"/>
          <w:b/>
        </w:rPr>
      </w:pPr>
    </w:p>
    <w:p>
      <w:pPr>
        <w:ind w:firstLine="708"/>
        <w:jc w:val="both"/>
        <w:rPr>
          <w:rFonts w:ascii="Times New Roman" w:hAnsi="Times New Roman" w:cs="Times New Roman"/>
        </w:rPr>
      </w:pPr>
      <w:r>
        <w:rPr>
          <w:rFonts w:ascii="Times New Roman" w:hAnsi="Times New Roman" w:cs="Times New Roman"/>
        </w:rPr>
        <w:t>Navrhuje sa diferencovaná výška osobitného príspevk</w:t>
      </w:r>
      <w:r>
        <w:rPr>
          <w:rFonts w:ascii="Times New Roman" w:hAnsi="Times New Roman" w:cs="Times New Roman"/>
        </w:rPr>
        <w:t>u baníkom v závislosti od toho, z akého titulu uvedený nárok vzniká. V odseku 1 je ustanovený osobitný príspevok vo výške 80 EUR, ak ide osoby, ktoré dosiahli najvyššiu prípustnú expozíciu alebo sú ohrozené chorobou z povolania. Pri osobách, ktoré dosiahli</w:t>
      </w:r>
      <w:r>
        <w:rPr>
          <w:rFonts w:ascii="Times New Roman" w:hAnsi="Times New Roman" w:cs="Times New Roman"/>
        </w:rPr>
        <w:t xml:space="preserve"> najvyššiu prípustnú expozíciu sa po dovŕšení veku 55 rokov tento príspevok zvyšuje na 350 EUR mesačne (odsek 2). </w:t>
      </w:r>
    </w:p>
    <w:p>
      <w:pPr>
        <w:ind w:firstLine="708"/>
        <w:jc w:val="both"/>
        <w:rPr>
          <w:rFonts w:ascii="Times New Roman" w:hAnsi="Times New Roman" w:cs="Times New Roman"/>
        </w:rPr>
      </w:pPr>
    </w:p>
    <w:p>
      <w:pPr>
        <w:ind w:firstLine="708"/>
        <w:jc w:val="both"/>
        <w:rPr>
          <w:rFonts w:ascii="Times New Roman" w:hAnsi="Times New Roman" w:cs="Times New Roman"/>
        </w:rPr>
      </w:pPr>
      <w:r>
        <w:rPr>
          <w:rFonts w:ascii="Times New Roman" w:hAnsi="Times New Roman" w:cs="Times New Roman"/>
        </w:rPr>
        <w:t xml:space="preserve">V odseku 3 sú upravené nároky osôb, ktoré odpracovali 20, resp. 15 rokov (ak ide o prácu v baníctve so stálym pracoviskom v podzemných baniach, v ktorom je možné získať najvyššiu prípustnú expozíciu); týmto osobám vzniká nárok na poberanie osobitného príspevku vo výške 350 EUR.  </w:t>
      </w:r>
    </w:p>
    <w:p>
      <w:pPr>
        <w:ind w:firstLine="708"/>
        <w:jc w:val="both"/>
        <w:rPr>
          <w:rFonts w:ascii="Times New Roman" w:hAnsi="Times New Roman" w:cs="Times New Roman"/>
        </w:rPr>
      </w:pPr>
    </w:p>
    <w:p>
      <w:pPr>
        <w:ind w:firstLine="708"/>
        <w:jc w:val="both"/>
        <w:rPr>
          <w:rFonts w:ascii="Times New Roman" w:hAnsi="Times New Roman" w:cs="Times New Roman"/>
        </w:rPr>
      </w:pPr>
      <w:r>
        <w:rPr>
          <w:rFonts w:ascii="Times New Roman" w:hAnsi="Times New Roman" w:cs="Times New Roman"/>
        </w:rPr>
        <w:t>V odsekoch 4 a 5 sa upravuje výška a doba poskytovania osobitného príspevku pre baníkov, ktorí boli dotknutí útlmo</w:t>
      </w:r>
      <w:r>
        <w:rPr>
          <w:rFonts w:ascii="Times New Roman" w:hAnsi="Times New Roman" w:cs="Times New Roman"/>
        </w:rPr>
        <w:t xml:space="preserve">vými programami schválenými vládou Slovenskej republiky. </w:t>
      </w:r>
    </w:p>
    <w:p>
      <w:pPr>
        <w:ind w:firstLine="708"/>
        <w:jc w:val="both"/>
        <w:rPr>
          <w:rFonts w:ascii="Times New Roman" w:hAnsi="Times New Roman" w:cs="Times New Roman"/>
          <w:b/>
        </w:rPr>
      </w:pPr>
    </w:p>
    <w:p>
      <w:pPr>
        <w:ind w:firstLine="708"/>
        <w:jc w:val="both"/>
        <w:rPr>
          <w:rFonts w:ascii="Times New Roman" w:hAnsi="Times New Roman" w:cs="Times New Roman"/>
          <w:b/>
        </w:rPr>
      </w:pPr>
      <w:r>
        <w:rPr>
          <w:rFonts w:ascii="Times New Roman" w:hAnsi="Times New Roman" w:cs="Times New Roman"/>
          <w:b/>
        </w:rPr>
        <w:t>K bodu 3</w:t>
      </w:r>
    </w:p>
    <w:p>
      <w:pPr>
        <w:ind w:firstLine="708"/>
        <w:jc w:val="both"/>
        <w:rPr>
          <w:rFonts w:ascii="Times New Roman" w:hAnsi="Times New Roman" w:cs="Times New Roman"/>
          <w:b/>
        </w:rPr>
      </w:pPr>
    </w:p>
    <w:p>
      <w:pPr>
        <w:ind w:firstLine="708"/>
        <w:jc w:val="both"/>
        <w:rPr>
          <w:rFonts w:ascii="Times New Roman" w:hAnsi="Times New Roman" w:cs="Times New Roman"/>
        </w:rPr>
      </w:pPr>
      <w:r>
        <w:rPr>
          <w:rFonts w:ascii="Times New Roman" w:hAnsi="Times New Roman" w:cs="Times New Roman"/>
        </w:rPr>
        <w:t xml:space="preserve">V súlade so zásadou adresnosti sa navrhuje riešenie súbehu osobitného príspevku baníkom s invalidným dôchodkom a úrazovou dávkou a to tak, aby sa osobitný príspevok baníkom vyplácal len </w:t>
      </w:r>
      <w:r>
        <w:rPr>
          <w:rFonts w:ascii="Times New Roman" w:hAnsi="Times New Roman" w:cs="Times New Roman"/>
          <w:color w:val="000000"/>
        </w:rPr>
        <w:t>vo výške rozdielu medzi ním a invalidným dôchodkom alebo medzi ním a úrazovou rentou.</w:t>
      </w:r>
    </w:p>
    <w:p>
      <w:pPr>
        <w:ind w:firstLine="708"/>
        <w:jc w:val="both"/>
        <w:rPr>
          <w:rFonts w:ascii="Times New Roman" w:hAnsi="Times New Roman" w:cs="Times New Roman"/>
          <w:b/>
        </w:rPr>
      </w:pPr>
    </w:p>
    <w:p>
      <w:pPr>
        <w:ind w:firstLine="708"/>
        <w:jc w:val="both"/>
        <w:rPr>
          <w:rFonts w:ascii="Times New Roman" w:hAnsi="Times New Roman" w:cs="Times New Roman"/>
          <w:b/>
        </w:rPr>
      </w:pPr>
      <w:r>
        <w:rPr>
          <w:rFonts w:ascii="Times New Roman" w:hAnsi="Times New Roman" w:cs="Times New Roman"/>
          <w:b/>
        </w:rPr>
        <w:t>K bodu 4</w:t>
      </w:r>
    </w:p>
    <w:p>
      <w:pPr>
        <w:ind w:firstLine="708"/>
        <w:jc w:val="both"/>
        <w:rPr>
          <w:rFonts w:ascii="Times New Roman" w:hAnsi="Times New Roman" w:cs="Times New Roman"/>
          <w:b/>
        </w:rPr>
      </w:pPr>
    </w:p>
    <w:p>
      <w:pPr>
        <w:ind w:firstLine="708"/>
        <w:jc w:val="both"/>
        <w:rPr>
          <w:rFonts w:ascii="Times New Roman" w:hAnsi="Times New Roman" w:cs="Times New Roman"/>
        </w:rPr>
      </w:pPr>
      <w:r>
        <w:rPr>
          <w:rFonts w:ascii="Times New Roman" w:hAnsi="Times New Roman" w:cs="Times New Roman"/>
        </w:rPr>
        <w:t xml:space="preserve">S ohľadom na vývin právnej terminológie sa navrhuje nahradenie zastaraného pojmu „pracujúci“ pojmom „oprávnený“. </w:t>
      </w:r>
    </w:p>
    <w:p>
      <w:pPr>
        <w:ind w:firstLine="708"/>
        <w:jc w:val="both"/>
        <w:rPr>
          <w:rFonts w:ascii="Times New Roman" w:hAnsi="Times New Roman" w:cs="Times New Roman"/>
          <w:b/>
        </w:rPr>
      </w:pPr>
    </w:p>
    <w:p>
      <w:pPr>
        <w:ind w:firstLine="708"/>
        <w:jc w:val="both"/>
        <w:rPr>
          <w:rFonts w:ascii="Times New Roman" w:hAnsi="Times New Roman" w:cs="Times New Roman"/>
          <w:b/>
        </w:rPr>
      </w:pPr>
      <w:r>
        <w:rPr>
          <w:rFonts w:ascii="Times New Roman" w:hAnsi="Times New Roman" w:cs="Times New Roman"/>
          <w:b/>
        </w:rPr>
        <w:t>K bodu 5</w:t>
      </w:r>
    </w:p>
    <w:p>
      <w:pPr>
        <w:ind w:firstLine="708"/>
        <w:jc w:val="both"/>
        <w:rPr>
          <w:rFonts w:ascii="Times New Roman" w:hAnsi="Times New Roman" w:cs="Times New Roman"/>
        </w:rPr>
      </w:pPr>
    </w:p>
    <w:p>
      <w:pPr>
        <w:ind w:firstLine="708"/>
        <w:jc w:val="both"/>
        <w:rPr>
          <w:rFonts w:ascii="Times New Roman" w:hAnsi="Times New Roman" w:cs="Times New Roman"/>
        </w:rPr>
      </w:pPr>
      <w:r>
        <w:rPr>
          <w:rFonts w:ascii="Times New Roman" w:hAnsi="Times New Roman" w:cs="Times New Roman"/>
        </w:rPr>
        <w:t>Navrhovaná úprava splnomocňovacieho ustanovenia reaguje najmä na zmeny v štátoprávnom usporiadaní po r. 1993.</w:t>
      </w:r>
    </w:p>
    <w:p>
      <w:pPr>
        <w:ind w:firstLine="708"/>
        <w:jc w:val="both"/>
        <w:rPr>
          <w:rFonts w:ascii="Times New Roman" w:hAnsi="Times New Roman" w:cs="Times New Roman"/>
          <w:b/>
        </w:rPr>
      </w:pPr>
    </w:p>
    <w:p>
      <w:pPr>
        <w:ind w:firstLine="708"/>
        <w:jc w:val="both"/>
        <w:rPr>
          <w:rFonts w:ascii="Times New Roman" w:hAnsi="Times New Roman" w:cs="Times New Roman"/>
          <w:b/>
        </w:rPr>
      </w:pPr>
      <w:r>
        <w:rPr>
          <w:rFonts w:ascii="Times New Roman" w:hAnsi="Times New Roman" w:cs="Times New Roman"/>
          <w:b/>
        </w:rPr>
        <w:t>K bodu 6</w:t>
      </w:r>
    </w:p>
    <w:p>
      <w:pPr>
        <w:ind w:firstLine="708"/>
        <w:jc w:val="both"/>
        <w:rPr>
          <w:rFonts w:ascii="Times New Roman" w:hAnsi="Times New Roman" w:cs="Times New Roman"/>
          <w:b/>
        </w:rPr>
      </w:pPr>
    </w:p>
    <w:p>
      <w:pPr>
        <w:ind w:firstLine="708"/>
        <w:jc w:val="both"/>
        <w:rPr>
          <w:rFonts w:ascii="Times New Roman" w:hAnsi="Times New Roman" w:cs="Times New Roman"/>
        </w:rPr>
      </w:pPr>
      <w:r>
        <w:rPr>
          <w:rFonts w:ascii="Times New Roman" w:hAnsi="Times New Roman" w:cs="Times New Roman"/>
        </w:rPr>
        <w:t xml:space="preserve">Navrhované splnomocňovacie ustanovenie pre Ministerstvo hospodárstva umožňuje pružnosť prípadných zmien v inštitucionálnych otázkach posudzovania nárokov na osobitný príspevok baníkom a jeho vyplácania. </w:t>
      </w:r>
    </w:p>
    <w:p>
      <w:pPr>
        <w:ind w:firstLine="708"/>
        <w:jc w:val="both"/>
        <w:rPr>
          <w:rFonts w:ascii="Times New Roman" w:hAnsi="Times New Roman" w:cs="Times New Roman"/>
          <w:b/>
        </w:rPr>
      </w:pPr>
    </w:p>
    <w:p>
      <w:pPr>
        <w:ind w:firstLine="708"/>
        <w:jc w:val="both"/>
        <w:rPr>
          <w:rFonts w:ascii="Times New Roman" w:hAnsi="Times New Roman" w:cs="Times New Roman"/>
          <w:b/>
        </w:rPr>
      </w:pPr>
      <w:r>
        <w:rPr>
          <w:rFonts w:ascii="Times New Roman" w:hAnsi="Times New Roman" w:cs="Times New Roman"/>
          <w:b/>
        </w:rPr>
        <w:t>K bodu 7</w:t>
      </w:r>
    </w:p>
    <w:p>
      <w:pPr>
        <w:ind w:firstLine="708"/>
        <w:jc w:val="both"/>
        <w:rPr>
          <w:rFonts w:ascii="Times New Roman" w:hAnsi="Times New Roman" w:cs="Times New Roman"/>
          <w:b/>
        </w:rPr>
      </w:pPr>
    </w:p>
    <w:p>
      <w:pPr>
        <w:ind w:firstLine="708"/>
        <w:jc w:val="both"/>
        <w:rPr>
          <w:rFonts w:ascii="Times New Roman" w:hAnsi="Times New Roman" w:cs="Times New Roman"/>
        </w:rPr>
      </w:pPr>
      <w:r>
        <w:rPr>
          <w:rFonts w:ascii="Times New Roman" w:hAnsi="Times New Roman" w:cs="Times New Roman"/>
        </w:rPr>
        <w:t>Navrhovaná úprava nadväzuje na zmenu obsahu jednotl</w:t>
      </w:r>
      <w:r>
        <w:rPr>
          <w:rFonts w:ascii="Times New Roman" w:hAnsi="Times New Roman" w:cs="Times New Roman"/>
        </w:rPr>
        <w:t xml:space="preserve">ivých odsekov v § 2. </w:t>
      </w:r>
    </w:p>
    <w:p>
      <w:pPr>
        <w:ind w:firstLine="708"/>
        <w:jc w:val="both"/>
        <w:rPr>
          <w:rFonts w:ascii="Times New Roman" w:hAnsi="Times New Roman" w:cs="Times New Roman"/>
          <w:b/>
        </w:rPr>
      </w:pPr>
    </w:p>
    <w:p>
      <w:pPr>
        <w:ind w:firstLine="708"/>
        <w:jc w:val="both"/>
        <w:rPr>
          <w:rFonts w:ascii="Times New Roman" w:hAnsi="Times New Roman" w:cs="Times New Roman"/>
          <w:b/>
        </w:rPr>
      </w:pPr>
      <w:r>
        <w:rPr>
          <w:rFonts w:ascii="Times New Roman" w:hAnsi="Times New Roman" w:cs="Times New Roman"/>
          <w:b/>
        </w:rPr>
        <w:t>K bodom 8 a 10</w:t>
      </w:r>
    </w:p>
    <w:p>
      <w:pPr>
        <w:ind w:firstLine="708"/>
        <w:jc w:val="both"/>
        <w:rPr>
          <w:rFonts w:ascii="Times New Roman" w:hAnsi="Times New Roman" w:cs="Times New Roman"/>
          <w:b/>
        </w:rPr>
      </w:pPr>
    </w:p>
    <w:p>
      <w:pPr>
        <w:ind w:firstLine="708"/>
        <w:jc w:val="both"/>
        <w:rPr>
          <w:rFonts w:ascii="Times New Roman" w:hAnsi="Times New Roman" w:cs="Times New Roman"/>
        </w:rPr>
      </w:pPr>
      <w:r>
        <w:rPr>
          <w:rFonts w:ascii="Times New Roman" w:hAnsi="Times New Roman" w:cs="Times New Roman"/>
        </w:rPr>
        <w:t>Navrhuje sa vypustenie odkazu na § 6 ods. 1, keďže bola zavedená legislatívna skratka.</w:t>
      </w:r>
    </w:p>
    <w:p>
      <w:pPr>
        <w:ind w:firstLine="708"/>
        <w:jc w:val="both"/>
        <w:rPr>
          <w:rFonts w:ascii="Times New Roman" w:hAnsi="Times New Roman" w:cs="Times New Roman"/>
        </w:rPr>
      </w:pPr>
    </w:p>
    <w:p>
      <w:pPr>
        <w:ind w:firstLine="708"/>
        <w:jc w:val="both"/>
        <w:rPr>
          <w:rFonts w:ascii="Times New Roman" w:hAnsi="Times New Roman" w:cs="Times New Roman"/>
          <w:b/>
        </w:rPr>
      </w:pPr>
      <w:r>
        <w:rPr>
          <w:rFonts w:ascii="Times New Roman" w:hAnsi="Times New Roman" w:cs="Times New Roman"/>
          <w:b/>
        </w:rPr>
        <w:t>K bodu 9</w:t>
      </w:r>
    </w:p>
    <w:p>
      <w:pPr>
        <w:ind w:firstLine="708"/>
        <w:jc w:val="both"/>
        <w:rPr>
          <w:rFonts w:ascii="Times New Roman" w:hAnsi="Times New Roman" w:cs="Times New Roman"/>
        </w:rPr>
      </w:pPr>
    </w:p>
    <w:p>
      <w:pPr>
        <w:ind w:firstLine="708"/>
        <w:jc w:val="both"/>
        <w:rPr>
          <w:rFonts w:ascii="Times New Roman" w:hAnsi="Times New Roman" w:cs="Times New Roman"/>
        </w:rPr>
      </w:pPr>
      <w:r>
        <w:rPr>
          <w:rFonts w:ascii="Times New Roman" w:hAnsi="Times New Roman" w:cs="Times New Roman"/>
        </w:rPr>
        <w:t xml:space="preserve">Navrhuje sa vypustenie odsekov 2 a 3. Odsek 3 sa vypúšťa z dôvodu, že zakladá diskrimináciu osôb s pobytom v cudzine. </w:t>
      </w:r>
    </w:p>
    <w:p>
      <w:pPr>
        <w:ind w:firstLine="708"/>
        <w:jc w:val="both"/>
        <w:rPr>
          <w:rFonts w:ascii="Times New Roman" w:hAnsi="Times New Roman" w:cs="Times New Roman"/>
          <w:b/>
        </w:rPr>
      </w:pPr>
    </w:p>
    <w:p>
      <w:pPr>
        <w:ind w:firstLine="708"/>
        <w:jc w:val="both"/>
        <w:rPr>
          <w:rFonts w:ascii="Times New Roman" w:hAnsi="Times New Roman" w:cs="Times New Roman"/>
          <w:b/>
        </w:rPr>
      </w:pPr>
      <w:r>
        <w:rPr>
          <w:rFonts w:ascii="Times New Roman" w:hAnsi="Times New Roman" w:cs="Times New Roman"/>
          <w:b/>
        </w:rPr>
        <w:t>K bodu 11</w:t>
      </w:r>
    </w:p>
    <w:p>
      <w:pPr>
        <w:ind w:firstLine="708"/>
        <w:jc w:val="both"/>
        <w:rPr>
          <w:rFonts w:ascii="Times New Roman" w:hAnsi="Times New Roman" w:cs="Times New Roman"/>
          <w:b/>
        </w:rPr>
      </w:pPr>
    </w:p>
    <w:p>
      <w:pPr>
        <w:ind w:firstLine="708"/>
        <w:jc w:val="both"/>
        <w:rPr>
          <w:rFonts w:ascii="Times New Roman" w:hAnsi="Times New Roman" w:cs="Times New Roman"/>
        </w:rPr>
      </w:pPr>
      <w:r>
        <w:rPr>
          <w:rFonts w:ascii="Times New Roman" w:hAnsi="Times New Roman" w:cs="Times New Roman"/>
        </w:rPr>
        <w:t xml:space="preserve">Navrhuje sa vypustiť nadpis pod § 13 ako nepotrebný a terminologicky nevhodný. </w:t>
      </w:r>
    </w:p>
    <w:p>
      <w:pPr>
        <w:ind w:firstLine="708"/>
        <w:jc w:val="both"/>
        <w:rPr>
          <w:rFonts w:ascii="Times New Roman" w:hAnsi="Times New Roman" w:cs="Times New Roman"/>
          <w:b/>
        </w:rPr>
      </w:pPr>
    </w:p>
    <w:p>
      <w:pPr>
        <w:ind w:firstLine="708"/>
        <w:jc w:val="both"/>
        <w:rPr>
          <w:rFonts w:ascii="Times New Roman" w:hAnsi="Times New Roman" w:cs="Times New Roman"/>
          <w:b/>
        </w:rPr>
      </w:pPr>
      <w:r>
        <w:rPr>
          <w:rFonts w:ascii="Times New Roman" w:hAnsi="Times New Roman" w:cs="Times New Roman"/>
          <w:b/>
        </w:rPr>
        <w:t>K bodu 12</w:t>
      </w:r>
    </w:p>
    <w:p>
      <w:pPr>
        <w:ind w:firstLine="708"/>
        <w:jc w:val="both"/>
        <w:rPr>
          <w:rFonts w:ascii="Times New Roman" w:hAnsi="Times New Roman" w:cs="Times New Roman"/>
          <w:b/>
        </w:rPr>
      </w:pPr>
    </w:p>
    <w:p>
      <w:pPr>
        <w:ind w:firstLine="708"/>
        <w:jc w:val="both"/>
        <w:rPr>
          <w:rFonts w:ascii="Times New Roman" w:hAnsi="Times New Roman" w:cs="Times New Roman"/>
        </w:rPr>
      </w:pPr>
      <w:r>
        <w:rPr>
          <w:rFonts w:ascii="Times New Roman" w:hAnsi="Times New Roman" w:cs="Times New Roman"/>
        </w:rPr>
        <w:t>Navrhuje sa nahradenie nevhodného pojmu „požívateľ“ pojmom „poberateľ“ a vypustenie odkazu na § 8 odseky 2 a 3, keďže tieto odseky boli z § 8 vypustené.</w:t>
      </w:r>
      <w:r>
        <w:rPr>
          <w:rFonts w:ascii="Times New Roman" w:hAnsi="Times New Roman" w:cs="Times New Roman"/>
        </w:rPr>
        <w:t xml:space="preserve"> </w:t>
      </w:r>
    </w:p>
    <w:p>
      <w:pPr>
        <w:ind w:firstLine="708"/>
        <w:jc w:val="both"/>
        <w:rPr>
          <w:rFonts w:ascii="Times New Roman" w:hAnsi="Times New Roman" w:cs="Times New Roman"/>
        </w:rPr>
      </w:pPr>
    </w:p>
    <w:p>
      <w:pPr>
        <w:ind w:firstLine="708"/>
        <w:jc w:val="both"/>
        <w:rPr>
          <w:rFonts w:ascii="Times New Roman" w:hAnsi="Times New Roman" w:cs="Times New Roman"/>
          <w:b/>
        </w:rPr>
      </w:pPr>
      <w:r>
        <w:rPr>
          <w:rFonts w:ascii="Times New Roman" w:hAnsi="Times New Roman" w:cs="Times New Roman"/>
          <w:b/>
        </w:rPr>
        <w:t>K bodu 13</w:t>
      </w:r>
    </w:p>
    <w:p>
      <w:pPr>
        <w:ind w:firstLine="708"/>
        <w:jc w:val="both"/>
        <w:rPr>
          <w:rFonts w:ascii="Times New Roman" w:hAnsi="Times New Roman" w:cs="Times New Roman"/>
          <w:b/>
        </w:rPr>
      </w:pPr>
    </w:p>
    <w:p>
      <w:pPr>
        <w:ind w:firstLine="708"/>
        <w:jc w:val="both"/>
        <w:rPr>
          <w:rFonts w:ascii="Times New Roman" w:hAnsi="Times New Roman" w:cs="Times New Roman"/>
        </w:rPr>
      </w:pPr>
      <w:r>
        <w:rPr>
          <w:rFonts w:ascii="Times New Roman" w:hAnsi="Times New Roman" w:cs="Times New Roman"/>
        </w:rPr>
        <w:t xml:space="preserve">V nadväznosti na skutočnosť, že osobitný príspevok baníkom sa koncipuje ako osobitná dávka uhrádzaná z prostriedkov štátneho rozpočtu, navrhuje sa vypustenie §-u 15. </w:t>
      </w:r>
    </w:p>
    <w:p>
      <w:pPr>
        <w:ind w:firstLine="708"/>
        <w:jc w:val="both"/>
        <w:rPr>
          <w:rFonts w:ascii="Times New Roman" w:hAnsi="Times New Roman" w:cs="Times New Roman"/>
          <w:b/>
        </w:rPr>
      </w:pPr>
    </w:p>
    <w:p>
      <w:pPr>
        <w:ind w:firstLine="708"/>
        <w:jc w:val="both"/>
        <w:rPr>
          <w:rFonts w:ascii="Times New Roman" w:hAnsi="Times New Roman" w:cs="Times New Roman"/>
          <w:b/>
        </w:rPr>
      </w:pPr>
      <w:r>
        <w:rPr>
          <w:rFonts w:ascii="Times New Roman" w:hAnsi="Times New Roman" w:cs="Times New Roman"/>
          <w:b/>
        </w:rPr>
        <w:t>K bodu 14</w:t>
      </w:r>
    </w:p>
    <w:p>
      <w:pPr>
        <w:jc w:val="both"/>
        <w:rPr>
          <w:rFonts w:ascii="Times New Roman" w:hAnsi="Times New Roman" w:cs="Times New Roman"/>
          <w:b/>
        </w:rPr>
      </w:pPr>
    </w:p>
    <w:p>
      <w:pPr>
        <w:ind w:firstLine="708"/>
        <w:jc w:val="both"/>
        <w:rPr>
          <w:rFonts w:ascii="Times New Roman" w:hAnsi="Times New Roman" w:cs="Times New Roman"/>
        </w:rPr>
      </w:pPr>
      <w:r>
        <w:rPr>
          <w:rFonts w:ascii="Times New Roman" w:hAnsi="Times New Roman" w:cs="Times New Roman"/>
        </w:rPr>
        <w:t xml:space="preserve">Navrhuje sa vypustenie § 17a. </w:t>
      </w:r>
    </w:p>
    <w:p>
      <w:pPr>
        <w:ind w:firstLine="708"/>
        <w:jc w:val="both"/>
        <w:rPr>
          <w:rFonts w:ascii="Times New Roman" w:hAnsi="Times New Roman" w:cs="Times New Roman"/>
          <w:b/>
        </w:rPr>
      </w:pPr>
    </w:p>
    <w:p>
      <w:pPr>
        <w:ind w:firstLine="708"/>
        <w:jc w:val="both"/>
        <w:rPr>
          <w:rFonts w:ascii="Times New Roman" w:hAnsi="Times New Roman" w:cs="Times New Roman"/>
          <w:b/>
        </w:rPr>
      </w:pPr>
      <w:r>
        <w:rPr>
          <w:rFonts w:ascii="Times New Roman" w:hAnsi="Times New Roman" w:cs="Times New Roman"/>
          <w:b/>
        </w:rPr>
        <w:t>K bodu 15</w:t>
      </w:r>
    </w:p>
    <w:p>
      <w:pPr>
        <w:ind w:firstLine="708"/>
        <w:jc w:val="both"/>
        <w:rPr>
          <w:rFonts w:ascii="Times New Roman" w:hAnsi="Times New Roman" w:cs="Times New Roman"/>
          <w:b/>
        </w:rPr>
      </w:pPr>
    </w:p>
    <w:p>
      <w:pPr>
        <w:ind w:firstLine="708"/>
        <w:jc w:val="both"/>
        <w:rPr>
          <w:rFonts w:ascii="Times New Roman" w:hAnsi="Times New Roman" w:cs="Times New Roman"/>
        </w:rPr>
      </w:pPr>
      <w:r>
        <w:rPr>
          <w:rFonts w:ascii="Times New Roman" w:hAnsi="Times New Roman" w:cs="Times New Roman"/>
        </w:rPr>
        <w:t xml:space="preserve">Navrhovaným prechodným ustanovením (§ 17b) sa podľa ods. 1 zachováva nárok na poberanie osobitného príspevku tým poberateľom, ktorým by podľa novej úpravy nevznikol. </w:t>
      </w:r>
    </w:p>
    <w:p>
      <w:pPr>
        <w:jc w:val="both"/>
        <w:rPr>
          <w:rFonts w:ascii="Times New Roman" w:hAnsi="Times New Roman" w:cs="Times New Roman"/>
          <w:b/>
        </w:rPr>
      </w:pPr>
    </w:p>
    <w:p>
      <w:pPr>
        <w:jc w:val="both"/>
        <w:rPr>
          <w:rFonts w:ascii="Times New Roman" w:hAnsi="Times New Roman" w:cs="Times New Roman"/>
        </w:rPr>
      </w:pPr>
      <w:r>
        <w:rPr>
          <w:rFonts w:ascii="Times New Roman" w:hAnsi="Times New Roman" w:cs="Times New Roman"/>
          <w:b/>
        </w:rPr>
        <w:tab/>
      </w:r>
      <w:r>
        <w:rPr>
          <w:rFonts w:ascii="Times New Roman" w:hAnsi="Times New Roman" w:cs="Times New Roman"/>
        </w:rPr>
        <w:t xml:space="preserve">Odsekom 2 sa ukladá povinnosť osobám, ktoré vyplácali osobitný príspevok podľa právnej úpravy účinnej do 31. decembra 2008, odovzdať písomnú dokumentáciu preukazujúcu oprávnenosť nárokov poberateľov osobitného príspevku organizácii uvedenej v § 6 ods. 1. </w:t>
      </w:r>
    </w:p>
    <w:p>
      <w:pPr>
        <w:jc w:val="both"/>
        <w:rPr>
          <w:rFonts w:ascii="Times New Roman" w:hAnsi="Times New Roman" w:cs="Times New Roman"/>
        </w:rPr>
      </w:pPr>
    </w:p>
    <w:p>
      <w:pPr>
        <w:jc w:val="both"/>
        <w:rPr>
          <w:rFonts w:ascii="Times New Roman" w:hAnsi="Times New Roman" w:cs="Times New Roman"/>
        </w:rPr>
      </w:pPr>
      <w:r>
        <w:rPr>
          <w:rFonts w:ascii="Times New Roman" w:hAnsi="Times New Roman" w:cs="Times New Roman"/>
        </w:rPr>
        <w:tab/>
        <w:t xml:space="preserve">Odsekom 3 sa zabezpečuje kontinuita vo vyplácaní jednotlivých dávok bez zaťažovania jeho poberateľov. </w:t>
      </w:r>
    </w:p>
    <w:p>
      <w:pPr>
        <w:jc w:val="both"/>
        <w:rPr>
          <w:rFonts w:ascii="Times New Roman" w:hAnsi="Times New Roman" w:cs="Times New Roman"/>
        </w:rPr>
      </w:pPr>
    </w:p>
    <w:p>
      <w:pPr>
        <w:jc w:val="both"/>
        <w:rPr>
          <w:rFonts w:ascii="Times New Roman" w:hAnsi="Times New Roman" w:cs="Times New Roman"/>
        </w:rPr>
      </w:pPr>
      <w:r>
        <w:rPr>
          <w:rFonts w:ascii="Times New Roman" w:hAnsi="Times New Roman" w:cs="Times New Roman"/>
        </w:rPr>
        <w:tab/>
        <w:t>Zrušovacím ustanovením (§17c) sa vypúšťa vývojom prekonané ustanovenie.</w:t>
      </w:r>
    </w:p>
    <w:p>
      <w:pPr>
        <w:jc w:val="both"/>
        <w:rPr>
          <w:rFonts w:ascii="Times New Roman" w:hAnsi="Times New Roman" w:cs="Times New Roman"/>
          <w:b/>
        </w:rPr>
      </w:pPr>
    </w:p>
    <w:p>
      <w:pPr>
        <w:jc w:val="both"/>
        <w:rPr>
          <w:rFonts w:ascii="Times New Roman" w:hAnsi="Times New Roman" w:cs="Times New Roman"/>
          <w:b/>
        </w:rPr>
      </w:pPr>
      <w:r>
        <w:rPr>
          <w:rFonts w:ascii="Times New Roman" w:hAnsi="Times New Roman" w:cs="Times New Roman"/>
          <w:b/>
        </w:rPr>
        <w:tab/>
        <w:t>K čl. II.</w:t>
      </w:r>
    </w:p>
    <w:p>
      <w:pPr>
        <w:jc w:val="both"/>
        <w:rPr>
          <w:rFonts w:ascii="Times New Roman" w:hAnsi="Times New Roman" w:cs="Times New Roman"/>
          <w:b/>
        </w:rPr>
      </w:pPr>
    </w:p>
    <w:p>
      <w:pPr>
        <w:ind w:firstLine="708"/>
        <w:jc w:val="both"/>
        <w:rPr>
          <w:rFonts w:ascii="Times New Roman" w:hAnsi="Times New Roman" w:cs="Times New Roman"/>
          <w:color w:val="000000"/>
        </w:rPr>
      </w:pPr>
      <w:r>
        <w:rPr>
          <w:rFonts w:ascii="Times New Roman" w:hAnsi="Times New Roman" w:cs="Times New Roman"/>
        </w:rPr>
        <w:t xml:space="preserve">Vzhľadom na to, že subjekt, ktorý bude posudzovať oprávnenosť jednotlivých žiadostí o poskytovanie osobitného príspevku baníkom bude potrebovať pre svoju prácu aj údaje zo Sociálnej poisťovne, (§ 3, § 5 ods. a) navrhuje sa legislatívna úprava zákona č. 461/2003 Z. z. o sociálnom poistení v znení neskorších predpisov, podľa ktorej bude Sociálna poisťovňa povinná poskytovať </w:t>
      </w:r>
      <w:r>
        <w:rPr>
          <w:rFonts w:ascii="Times New Roman" w:hAnsi="Times New Roman" w:cs="Times New Roman"/>
          <w:color w:val="000000"/>
        </w:rPr>
        <w:t>informácie potrebné na posudzovanie nároku na osobit</w:t>
      </w:r>
      <w:r>
        <w:rPr>
          <w:rFonts w:ascii="Times New Roman" w:hAnsi="Times New Roman" w:cs="Times New Roman"/>
          <w:color w:val="000000"/>
        </w:rPr>
        <w:t>ný príspevok baníkom.</w:t>
      </w:r>
    </w:p>
    <w:p>
      <w:pPr>
        <w:jc w:val="both"/>
        <w:rPr>
          <w:rFonts w:ascii="Times New Roman" w:hAnsi="Times New Roman" w:cs="Times New Roman"/>
          <w:b/>
        </w:rPr>
      </w:pPr>
    </w:p>
    <w:p>
      <w:pPr>
        <w:ind w:firstLine="708"/>
        <w:jc w:val="both"/>
        <w:rPr>
          <w:rFonts w:ascii="Times New Roman" w:hAnsi="Times New Roman" w:cs="Times New Roman"/>
          <w:b/>
        </w:rPr>
      </w:pPr>
      <w:r>
        <w:rPr>
          <w:rFonts w:ascii="Times New Roman" w:hAnsi="Times New Roman" w:cs="Times New Roman"/>
          <w:b/>
        </w:rPr>
        <w:t>K čl. III.</w:t>
      </w:r>
    </w:p>
    <w:p>
      <w:pPr>
        <w:ind w:firstLine="708"/>
        <w:jc w:val="both"/>
        <w:rPr>
          <w:rFonts w:ascii="Times New Roman" w:hAnsi="Times New Roman" w:cs="Times New Roman"/>
        </w:rPr>
      </w:pPr>
    </w:p>
    <w:p>
      <w:pPr>
        <w:ind w:firstLine="708"/>
        <w:jc w:val="both"/>
        <w:rPr>
          <w:rFonts w:ascii="Times New Roman" w:hAnsi="Times New Roman" w:cs="Times New Roman"/>
        </w:rPr>
      </w:pPr>
      <w:r>
        <w:rPr>
          <w:rFonts w:ascii="Times New Roman" w:hAnsi="Times New Roman" w:cs="Times New Roman"/>
        </w:rPr>
        <w:t xml:space="preserve">Vzhľadom na dĺžku legislatívneho procesu, ako aj na termín začiatku používania novej meny sa navrhuje termín účinnosti na 1. január 2009. </w:t>
      </w:r>
    </w:p>
    <w:p>
      <w:pPr>
        <w:jc w:val="both"/>
        <w:rPr>
          <w:rFonts w:ascii="Times New Roman" w:hAnsi="Times New Roman" w:cs="Times New Roman"/>
        </w:rPr>
      </w:pPr>
    </w:p>
    <w:p>
      <w:pPr>
        <w:rPr>
          <w:rFonts w:ascii="Times New Roman" w:hAnsi="Times New Roman" w:cs="Times New Roman"/>
        </w:rPr>
      </w:pPr>
    </w:p>
    <w:sectPr>
      <w:footerReference w:type="even" r:id="rId4"/>
      <w:footerReference w:type="default" r:id="rId5"/>
      <w:pgSz w:w="11906" w:h="16838"/>
      <w:pgMar w:top="1417" w:right="1417" w:bottom="1417" w:left="1417" w:header="708" w:footer="708" w:gutter="0"/>
      <w:cols w:space="708"/>
      <w:titlePg/>
      <w:bidi w:val="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00000000" w:usb1="00000000" w:usb2="00000000" w:usb3="00000000" w:csb0="00000001" w:csb1="00000000"/>
  </w:font>
  <w:font w:name="Symbol">
    <w:panose1 w:val="05050102010706020507"/>
    <w:charset w:val="00"/>
    <w:family w:val="roman"/>
    <w:pitch w:val="default"/>
    <w:sig w:usb0="00000000" w:usb1="00000000" w:usb2="00000000" w:usb3="00000000" w:csb0="00000001" w:csb1="00000000"/>
  </w:font>
  <w:font w:name="Arial">
    <w:panose1 w:val="020B0604020202020204"/>
    <w:charset w:val="00"/>
    <w:family w:val="swiss"/>
    <w:pitch w:val="variable"/>
    <w:sig w:usb0="00000000" w:usb1="00000000" w:usb2="00000000" w:usb3="00000000" w:csb0="00000001" w:csb1="00000000"/>
  </w:font>
  <w:font w:name="Tahoma">
    <w:panose1 w:val="020B0604030504040204"/>
    <w:charset w:val="00"/>
    <w:family w:val="swiss"/>
    <w:pitch w:val="default"/>
    <w:sig w:usb0="00000000"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Footer"/>
      <w:framePr w:vAnchor="text" w:hAnchor="margin" w:xAlign="center" w:y="1"/>
      <w:rPr>
        <w:rStyle w:val="PageNumber"/>
        <w:rFonts w:ascii="Times New Roman" w:hAnsi="Times New Roman" w:cs="Times New Roman"/>
      </w:rPr>
    </w:pPr>
    <w:r>
      <w:rPr>
        <w:rStyle w:val="PageNumber"/>
        <w:rFonts w:ascii="Times New Roman" w:hAnsi="Times New Roman" w:cs="Times New Roman"/>
      </w:rPr>
      <w:fldChar w:fldCharType="begin"/>
    </w:r>
    <w:r>
      <w:rPr>
        <w:rStyle w:val="PageNumber"/>
        <w:rFonts w:ascii="Times New Roman" w:hAnsi="Times New Roman" w:cs="Times New Roman"/>
      </w:rPr>
      <w:instrText xml:space="preserve">PAGE  </w:instrText>
    </w:r>
    <w:r>
      <w:rPr>
        <w:rStyle w:val="PageNumber"/>
        <w:rFonts w:ascii="Times New Roman" w:hAnsi="Times New Roman" w:cs="Times New Roman"/>
      </w:rPr>
      <w:fldChar w:fldCharType="separate"/>
    </w:r>
    <w:r>
      <w:rPr>
        <w:rStyle w:val="PageNumber"/>
        <w:rFonts w:ascii="Times New Roman" w:hAnsi="Times New Roman" w:cs="Times New Roman"/>
      </w:rPr>
      <w:fldChar w:fldCharType="end"/>
    </w:r>
  </w:p>
  <w:p>
    <w:pPr>
      <w:pStyle w:val="Footer"/>
      <w:rPr>
        <w:rFonts w:ascii="Times New Roman" w:hAnsi="Times New Roman" w:cs="Times New Roman"/>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Footer"/>
      <w:framePr w:vAnchor="text" w:hAnchor="margin" w:xAlign="center" w:y="1"/>
      <w:rPr>
        <w:rStyle w:val="PageNumber"/>
        <w:rFonts w:ascii="Times New Roman" w:hAnsi="Times New Roman" w:cs="Times New Roman"/>
      </w:rPr>
    </w:pPr>
    <w:r>
      <w:rPr>
        <w:rStyle w:val="PageNumber"/>
        <w:rFonts w:ascii="Times New Roman" w:hAnsi="Times New Roman" w:cs="Times New Roman"/>
      </w:rPr>
      <w:fldChar w:fldCharType="begin"/>
    </w:r>
    <w:r>
      <w:rPr>
        <w:rStyle w:val="PageNumber"/>
        <w:rFonts w:ascii="Times New Roman" w:hAnsi="Times New Roman" w:cs="Times New Roman"/>
      </w:rPr>
      <w:instrText xml:space="preserve">PAGE  </w:instrText>
    </w:r>
    <w:r>
      <w:rPr>
        <w:rStyle w:val="PageNumber"/>
        <w:rFonts w:ascii="Times New Roman" w:hAnsi="Times New Roman" w:cs="Times New Roman"/>
      </w:rPr>
      <w:fldChar w:fldCharType="separate"/>
    </w:r>
    <w:r>
      <w:rPr>
        <w:rStyle w:val="PageNumber"/>
        <w:rFonts w:ascii="Times New Roman" w:hAnsi="Times New Roman" w:cs="Times New Roman"/>
        <w:noProof/>
      </w:rPr>
      <w:t>7</w:t>
    </w:r>
    <w:r>
      <w:rPr>
        <w:rStyle w:val="PageNumber"/>
        <w:rFonts w:ascii="Times New Roman" w:hAnsi="Times New Roman" w:cs="Times New Roman"/>
      </w:rPr>
      <w:fldChar w:fldCharType="end"/>
    </w:r>
  </w:p>
  <w:p>
    <w:pPr>
      <w:pStyle w:val="Footer"/>
      <w:rPr>
        <w:rFonts w:ascii="Times New Roman" w:hAnsi="Times New Roman" w:cs="Times New Roman"/>
      </w:rPr>
    </w:pP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6F27293"/>
    <w:multiLevelType w:val="hybridMultilevel"/>
    <w:tmpl w:val="A560F8D2"/>
    <w:lvl w:ilvl="0">
      <w:start w:val="2"/>
      <w:numFmt w:val="upperRoman"/>
      <w:lvlText w:val="%1."/>
      <w:lvlJc w:val="left"/>
      <w:pPr>
        <w:tabs>
          <w:tab w:val="num" w:pos="1110"/>
        </w:tabs>
        <w:ind w:left="1110" w:hanging="720"/>
      </w:pPr>
      <w:rPr>
        <w:rFonts w:cs="Times New Roman"/>
        <w:rtl w:val="0"/>
      </w:rPr>
    </w:lvl>
    <w:lvl w:ilvl="1">
      <w:start w:val="1"/>
      <w:numFmt w:val="lowerLetter"/>
      <w:lvlText w:val="%2."/>
      <w:lvlJc w:val="left"/>
      <w:pPr>
        <w:tabs>
          <w:tab w:val="num" w:pos="1440"/>
        </w:tabs>
        <w:ind w:left="1440" w:hanging="360"/>
      </w:pPr>
      <w:rPr>
        <w:rFonts w:cs="Times New Roman"/>
        <w:rtl w:val="0"/>
      </w:rPr>
    </w:lvl>
    <w:lvl w:ilvl="2">
      <w:start w:val="1"/>
      <w:numFmt w:val="lowerRoman"/>
      <w:lvlText w:val="%3."/>
      <w:lvlJc w:val="right"/>
      <w:pPr>
        <w:tabs>
          <w:tab w:val="num" w:pos="2160"/>
        </w:tabs>
        <w:ind w:left="2160" w:hanging="180"/>
      </w:pPr>
      <w:rPr>
        <w:rFonts w:cs="Times New Roman"/>
        <w:rtl w:val="0"/>
      </w:rPr>
    </w:lvl>
    <w:lvl w:ilvl="3">
      <w:start w:val="1"/>
      <w:numFmt w:val="decimal"/>
      <w:lvlText w:val="%4."/>
      <w:lvlJc w:val="left"/>
      <w:pPr>
        <w:tabs>
          <w:tab w:val="num" w:pos="2880"/>
        </w:tabs>
        <w:ind w:left="2880" w:hanging="360"/>
      </w:pPr>
      <w:rPr>
        <w:rFonts w:cs="Times New Roman"/>
        <w:rtl w:val="0"/>
      </w:rPr>
    </w:lvl>
    <w:lvl w:ilvl="4">
      <w:start w:val="1"/>
      <w:numFmt w:val="lowerLetter"/>
      <w:lvlText w:val="%5."/>
      <w:lvlJc w:val="left"/>
      <w:pPr>
        <w:tabs>
          <w:tab w:val="num" w:pos="3600"/>
        </w:tabs>
        <w:ind w:left="3600" w:hanging="360"/>
      </w:pPr>
      <w:rPr>
        <w:rFonts w:cs="Times New Roman"/>
        <w:rtl w:val="0"/>
      </w:rPr>
    </w:lvl>
    <w:lvl w:ilvl="5">
      <w:start w:val="1"/>
      <w:numFmt w:val="lowerRoman"/>
      <w:lvlText w:val="%6."/>
      <w:lvlJc w:val="right"/>
      <w:pPr>
        <w:tabs>
          <w:tab w:val="num" w:pos="4320"/>
        </w:tabs>
        <w:ind w:left="4320" w:hanging="180"/>
      </w:pPr>
      <w:rPr>
        <w:rFonts w:cs="Times New Roman"/>
        <w:rtl w:val="0"/>
      </w:rPr>
    </w:lvl>
    <w:lvl w:ilvl="6">
      <w:start w:val="1"/>
      <w:numFmt w:val="decimal"/>
      <w:lvlText w:val="%7."/>
      <w:lvlJc w:val="left"/>
      <w:pPr>
        <w:tabs>
          <w:tab w:val="num" w:pos="5040"/>
        </w:tabs>
        <w:ind w:left="5040" w:hanging="360"/>
      </w:pPr>
      <w:rPr>
        <w:rFonts w:cs="Times New Roman"/>
        <w:rtl w:val="0"/>
      </w:rPr>
    </w:lvl>
    <w:lvl w:ilvl="7">
      <w:start w:val="1"/>
      <w:numFmt w:val="lowerLetter"/>
      <w:lvlText w:val="%8."/>
      <w:lvlJc w:val="left"/>
      <w:pPr>
        <w:tabs>
          <w:tab w:val="num" w:pos="5760"/>
        </w:tabs>
        <w:ind w:left="5760" w:hanging="360"/>
      </w:pPr>
      <w:rPr>
        <w:rFonts w:cs="Times New Roman"/>
        <w:rtl w:val="0"/>
      </w:rPr>
    </w:lvl>
    <w:lvl w:ilvl="8">
      <w:start w:val="1"/>
      <w:numFmt w:val="lowerRoman"/>
      <w:lvlText w:val="%9."/>
      <w:lvlJc w:val="right"/>
      <w:pPr>
        <w:tabs>
          <w:tab w:val="num" w:pos="6480"/>
        </w:tabs>
        <w:ind w:left="6480" w:hanging="180"/>
      </w:pPr>
      <w:rPr>
        <w:rFonts w:cs="Times New Roman"/>
        <w:rtl w:val="0"/>
      </w:rPr>
    </w:lvl>
  </w:abstractNum>
  <w:abstractNum w:abstractNumId="1">
    <w:nsid w:val="572A40AB"/>
    <w:multiLevelType w:val="hybridMultilevel"/>
    <w:tmpl w:val="C2189000"/>
    <w:lvl w:ilvl="0">
      <w:start w:val="1"/>
      <w:numFmt w:val="upperRoman"/>
      <w:lvlText w:val="%1."/>
      <w:lvlJc w:val="left"/>
      <w:pPr>
        <w:tabs>
          <w:tab w:val="num" w:pos="1080"/>
        </w:tabs>
        <w:ind w:left="1080" w:hanging="720"/>
      </w:pPr>
      <w:rPr>
        <w:rFonts w:cs="Times New Roman"/>
        <w:rtl w:val="0"/>
      </w:rPr>
    </w:lvl>
    <w:lvl w:ilvl="1">
      <w:start w:val="1"/>
      <w:numFmt w:val="lowerLetter"/>
      <w:lvlText w:val="%2."/>
      <w:lvlJc w:val="left"/>
      <w:pPr>
        <w:tabs>
          <w:tab w:val="num" w:pos="1440"/>
        </w:tabs>
        <w:ind w:left="1440" w:hanging="360"/>
      </w:pPr>
      <w:rPr>
        <w:rFonts w:cs="Times New Roman"/>
        <w:rtl w:val="0"/>
      </w:rPr>
    </w:lvl>
    <w:lvl w:ilvl="2">
      <w:start w:val="1"/>
      <w:numFmt w:val="lowerRoman"/>
      <w:lvlText w:val="%3."/>
      <w:lvlJc w:val="right"/>
      <w:pPr>
        <w:tabs>
          <w:tab w:val="num" w:pos="2160"/>
        </w:tabs>
        <w:ind w:left="2160" w:hanging="180"/>
      </w:pPr>
      <w:rPr>
        <w:rFonts w:cs="Times New Roman"/>
        <w:rtl w:val="0"/>
      </w:rPr>
    </w:lvl>
    <w:lvl w:ilvl="3">
      <w:start w:val="1"/>
      <w:numFmt w:val="decimal"/>
      <w:lvlText w:val="%4."/>
      <w:lvlJc w:val="left"/>
      <w:pPr>
        <w:tabs>
          <w:tab w:val="num" w:pos="2880"/>
        </w:tabs>
        <w:ind w:left="2880" w:hanging="360"/>
      </w:pPr>
      <w:rPr>
        <w:rFonts w:cs="Times New Roman"/>
        <w:rtl w:val="0"/>
      </w:rPr>
    </w:lvl>
    <w:lvl w:ilvl="4">
      <w:start w:val="1"/>
      <w:numFmt w:val="lowerLetter"/>
      <w:lvlText w:val="%5."/>
      <w:lvlJc w:val="left"/>
      <w:pPr>
        <w:tabs>
          <w:tab w:val="num" w:pos="3600"/>
        </w:tabs>
        <w:ind w:left="3600" w:hanging="360"/>
      </w:pPr>
      <w:rPr>
        <w:rFonts w:cs="Times New Roman"/>
        <w:rtl w:val="0"/>
      </w:rPr>
    </w:lvl>
    <w:lvl w:ilvl="5">
      <w:start w:val="1"/>
      <w:numFmt w:val="lowerRoman"/>
      <w:lvlText w:val="%6."/>
      <w:lvlJc w:val="right"/>
      <w:pPr>
        <w:tabs>
          <w:tab w:val="num" w:pos="4320"/>
        </w:tabs>
        <w:ind w:left="4320" w:hanging="180"/>
      </w:pPr>
      <w:rPr>
        <w:rFonts w:cs="Times New Roman"/>
        <w:rtl w:val="0"/>
      </w:rPr>
    </w:lvl>
    <w:lvl w:ilvl="6">
      <w:start w:val="1"/>
      <w:numFmt w:val="decimal"/>
      <w:lvlText w:val="%7."/>
      <w:lvlJc w:val="left"/>
      <w:pPr>
        <w:tabs>
          <w:tab w:val="num" w:pos="5040"/>
        </w:tabs>
        <w:ind w:left="5040" w:hanging="360"/>
      </w:pPr>
      <w:rPr>
        <w:rFonts w:cs="Times New Roman"/>
        <w:rtl w:val="0"/>
      </w:rPr>
    </w:lvl>
    <w:lvl w:ilvl="7">
      <w:start w:val="1"/>
      <w:numFmt w:val="lowerLetter"/>
      <w:lvlText w:val="%8."/>
      <w:lvlJc w:val="left"/>
      <w:pPr>
        <w:tabs>
          <w:tab w:val="num" w:pos="5760"/>
        </w:tabs>
        <w:ind w:left="5760" w:hanging="360"/>
      </w:pPr>
      <w:rPr>
        <w:rFonts w:cs="Times New Roman"/>
        <w:rtl w:val="0"/>
      </w:rPr>
    </w:lvl>
    <w:lvl w:ilvl="8">
      <w:start w:val="1"/>
      <w:numFmt w:val="lowerRoman"/>
      <w:lvlText w:val="%9."/>
      <w:lvlJc w:val="right"/>
      <w:pPr>
        <w:tabs>
          <w:tab w:val="num" w:pos="6480"/>
        </w:tabs>
        <w:ind w:left="6480" w:hanging="180"/>
      </w:pPr>
      <w:rPr>
        <w:rFonts w:cs="Times New Roman"/>
        <w:rtl w:val="0"/>
      </w:rPr>
    </w:lvl>
  </w:abstractNum>
  <w:abstractNum w:abstractNumId="2">
    <w:nsid w:val="678F25C5"/>
    <w:multiLevelType w:val="hybridMultilevel"/>
    <w:tmpl w:val="78A85BD8"/>
    <w:lvl w:ilvl="0">
      <w:start w:val="1"/>
      <w:numFmt w:val="decimal"/>
      <w:lvlText w:val="%1."/>
      <w:lvlJc w:val="left"/>
      <w:pPr>
        <w:tabs>
          <w:tab w:val="num" w:pos="1080"/>
        </w:tabs>
        <w:ind w:left="1080" w:hanging="360"/>
      </w:p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3">
    <w:nsid w:val="6A5174F9"/>
    <w:multiLevelType w:val="hybridMultilevel"/>
    <w:tmpl w:val="2262715A"/>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0"/>
      <w:numFmt w:val="bullet"/>
      <w:lvlText w:val="-"/>
      <w:lvlJc w:val="left"/>
      <w:pPr>
        <w:tabs>
          <w:tab w:val="num" w:pos="2340"/>
        </w:tabs>
        <w:ind w:left="2340" w:hanging="360"/>
      </w:pPr>
      <w:rPr>
        <w:rFonts w:ascii="Times New Roman" w:hAnsi="Times New Roman" w:cs="Times New Roman"/>
        <w:rtl w:val="0"/>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abstractNumId w:val="3"/>
  </w:num>
  <w:num w:numId="2">
    <w:abstractNumId w:val="2"/>
  </w:num>
  <w:num w:numId="3">
    <w:abstractNumId w:val="1"/>
  </w:num>
  <w:num w:numId="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defaultTabStop w:val="708"/>
  <w:hyphenationZone w:val="425"/>
  <w:characterSpacingControl w:val="doNotCompress"/>
  <w:compat>
    <w:doNotBreakWrappedTables/>
    <w:doNotSnapToGridInCell/>
    <w:selectFldWithFirstOrLastChar/>
    <w:doNotWrapTextWithPunct/>
    <w:doNotUseEastAsianBreakRules/>
    <w:useWord2002TableStyleRules/>
    <w:growAutofit/>
    <w:doNotUseIndentAsNumberingTabStop/>
    <w:allowSpaceOfSameStyleInTable/>
    <w:splitPgBreakAndParaMark/>
    <w:useAnsiKerningPairs/>
  </w:compat>
  <w:rsids>
    <w:rsidRoot w:val="00000000"/>
  </w:rsids>
  <w:uiCompat97To2003/>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autoSpaceDE w:val="0"/>
      <w:autoSpaceDN w:val="0"/>
      <w:bidi w:val="0"/>
      <w:adjustRightInd w:val="0"/>
      <w:ind w:left="0" w:right="0"/>
      <w:jc w:val="left"/>
      <w:textAlignment w:val="auto"/>
    </w:pPr>
    <w:rPr>
      <w:sz w:val="24"/>
      <w:szCs w:val="24"/>
      <w:rtl w:val="0"/>
      <w:lang w:val="sk-SK" w:bidi="ar-SA"/>
    </w:rPr>
  </w:style>
  <w:style w:type="character" w:default="1" w:styleId="DefaultParagraphFont">
    <w:name w:val="Default Paragraph Font"/>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paragraph" w:styleId="Footer">
    <w:name w:val="footer"/>
    <w:basedOn w:val="Normal"/>
    <w:pPr>
      <w:tabs>
        <w:tab w:val="center" w:pos="4536"/>
        <w:tab w:val="right" w:pos="9072"/>
      </w:tabs>
      <w:jc w:val="left"/>
    </w:pPr>
  </w:style>
  <w:style w:type="character" w:styleId="PageNumber">
    <w:name w:val="page number"/>
    <w:basedOn w:val="DefaultParagraphFont"/>
  </w:style>
  <w:style w:type="paragraph" w:styleId="DocumentMap">
    <w:name w:val="Document Map"/>
    <w:basedOn w:val="Normal"/>
    <w:semiHidden/>
    <w:pPr>
      <w:shd w:val="clear" w:color="auto" w:fill="000080"/>
      <w:jc w:val="left"/>
    </w:pPr>
    <w:rPr>
      <w:rFonts w:ascii="Tahoma" w:hAnsi="Tahoma" w:cs="Tahoma"/>
      <w:sz w:val="20"/>
      <w:szCs w:val="20"/>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1</TotalTime>
  <Pages>7</Pages>
  <Words>1816</Words>
  <Characters>10356</Characters>
  <Application>Microsoft Office Word</Application>
  <DocSecurity>0</DocSecurity>
  <Lines>0</Lines>
  <Paragraphs>0</Paragraphs>
  <ScaleCrop>false</ScaleCrop>
  <Company>s</Company>
  <LinksUpToDate>false</LinksUpToDate>
  <CharactersWithSpaces>12717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DÔVODOVÁ SPRÁVA</dc:title>
  <dc:creator>pitonak</dc:creator>
  <cp:lastModifiedBy>.</cp:lastModifiedBy>
  <cp:revision>2</cp:revision>
  <cp:lastPrinted>2008-08-21T14:01:00Z</cp:lastPrinted>
  <dcterms:created xsi:type="dcterms:W3CDTF">2008-08-21T14:43:00Z</dcterms:created>
  <dcterms:modified xsi:type="dcterms:W3CDTF">2008-08-21T14:43:00Z</dcterms:modified>
</cp:coreProperties>
</file>