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06" w:type="dxa"/>
        <w:jc w:val="center"/>
        <w:tblInd w:w="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260"/>
        <w:gridCol w:w="4320"/>
        <w:gridCol w:w="360"/>
        <w:gridCol w:w="900"/>
        <w:gridCol w:w="720"/>
        <w:gridCol w:w="6300"/>
        <w:gridCol w:w="540"/>
        <w:gridCol w:w="646"/>
        <w:gridCol w:w="360"/>
        <w:gridCol w:w="360"/>
      </w:tblGrid>
      <w:tr>
        <w:tblPrEx>
          <w:tblW w:w="16306" w:type="dxa"/>
          <w:jc w:val="center"/>
          <w:tblInd w:w="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6306" w:type="dxa"/>
            <w:gridSpan w:val="11"/>
            <w:tcBorders>
              <w:top w:val="single" w:sz="12" w:space="0" w:color="auto"/>
              <w:left w:val="single" w:sz="12" w:space="0" w:color="auto"/>
              <w:bottom w:val="single" w:sz="4" w:space="0" w:color="auto"/>
              <w:right w:val="single" w:sz="12" w:space="0" w:color="auto"/>
            </w:tcBorders>
            <w:textDirection w:val="lrTb"/>
            <w:vAlign w:val="top"/>
          </w:tcPr>
          <w:p w:rsidR="003D3D63" w:rsidP="000E5712">
            <w:pPr>
              <w:pStyle w:val="Heading1"/>
              <w:spacing w:after="120"/>
              <w:rPr>
                <w:rFonts w:ascii="Arial Narrow" w:hAnsi="Arial Narrow" w:cs="Arial Narrow"/>
                <w:sz w:val="22"/>
                <w:szCs w:val="24"/>
              </w:rPr>
            </w:pPr>
            <w:r w:rsidRPr="00C4686C">
              <w:rPr>
                <w:rFonts w:ascii="Arial Narrow" w:hAnsi="Arial Narrow" w:cs="Arial Narrow"/>
                <w:sz w:val="22"/>
                <w:szCs w:val="24"/>
              </w:rPr>
              <w:t>TABUĽKA  ZHODY</w:t>
            </w:r>
          </w:p>
          <w:p w:rsidR="006F0B3F" w:rsidRPr="00CD79F4" w:rsidP="009203F4">
            <w:pPr>
              <w:adjustRightInd w:val="0"/>
              <w:jc w:val="center"/>
              <w:rPr>
                <w:rFonts w:ascii="Arial Narrow" w:hAnsi="Arial Narrow" w:cs="Arial Narrow"/>
                <w:b/>
                <w:sz w:val="22"/>
                <w:szCs w:val="24"/>
              </w:rPr>
            </w:pPr>
            <w:r w:rsidRPr="00CD79F4">
              <w:rPr>
                <w:rFonts w:ascii="Arial Narrow" w:hAnsi="Arial Narrow" w:cs="Arial Narrow"/>
                <w:b/>
                <w:sz w:val="22"/>
                <w:szCs w:val="24"/>
              </w:rPr>
              <w:t>k návrhu zákona, ktorým sa menia a dopĺňajú zákony v pôsobnosti Ministerstva financií Slovenskej republiky v súvislosti</w:t>
            </w:r>
          </w:p>
          <w:p w:rsidR="006F0B3F" w:rsidRPr="006F0B3F" w:rsidP="009203F4">
            <w:pPr>
              <w:jc w:val="center"/>
              <w:rPr>
                <w:rFonts w:ascii="Times New Roman" w:hAnsi="Times New Roman" w:cs="Times New Roman"/>
                <w:szCs w:val="24"/>
              </w:rPr>
            </w:pPr>
            <w:r w:rsidRPr="00CD79F4">
              <w:rPr>
                <w:rFonts w:ascii="Arial Narrow" w:hAnsi="Arial Narrow" w:cs="Arial Narrow"/>
                <w:b/>
                <w:sz w:val="22"/>
                <w:szCs w:val="24"/>
              </w:rPr>
              <w:t>so zavedením meny euro</w:t>
            </w:r>
            <w:r>
              <w:rPr>
                <w:rFonts w:ascii="Arial Narrow" w:hAnsi="Arial Narrow" w:cs="Arial Narrow"/>
                <w:b/>
                <w:sz w:val="22"/>
                <w:szCs w:val="24"/>
              </w:rPr>
              <w:t xml:space="preserve"> v Slovenskej republike</w:t>
            </w:r>
            <w:r w:rsidRPr="00CD79F4">
              <w:rPr>
                <w:rFonts w:ascii="Arial Narrow" w:hAnsi="Arial Narrow" w:cs="Arial Narrow"/>
                <w:b/>
                <w:sz w:val="22"/>
                <w:szCs w:val="24"/>
              </w:rPr>
              <w:t xml:space="preserve"> s právom Európskych spoločenstiev a právom Európskej únie</w:t>
            </w:r>
          </w:p>
        </w:tc>
      </w:tr>
      <w:tr>
        <w:tblPrEx>
          <w:tblW w:w="16306" w:type="dxa"/>
          <w:jc w:val="center"/>
          <w:tblInd w:w="0" w:type="dxa"/>
          <w:tblLayout w:type="fixed"/>
          <w:tblCellMar>
            <w:left w:w="43" w:type="dxa"/>
            <w:right w:w="43" w:type="dxa"/>
          </w:tblCellMar>
        </w:tblPrEx>
        <w:trPr>
          <w:trHeight w:val="567"/>
          <w:jc w:val="center"/>
        </w:trPr>
        <w:tc>
          <w:tcPr>
            <w:tcW w:w="1800" w:type="dxa"/>
            <w:gridSpan w:val="2"/>
            <w:tcBorders>
              <w:top w:val="single" w:sz="4" w:space="0" w:color="auto"/>
              <w:left w:val="single" w:sz="12" w:space="0" w:color="auto"/>
              <w:bottom w:val="single" w:sz="4" w:space="0" w:color="auto"/>
              <w:right w:val="nil"/>
            </w:tcBorders>
            <w:textDirection w:val="lrTb"/>
            <w:vAlign w:val="top"/>
          </w:tcPr>
          <w:p w:rsidR="003D3D63" w:rsidRPr="00C4686C">
            <w:pPr>
              <w:pStyle w:val="Heading4"/>
              <w:jc w:val="both"/>
              <w:rPr>
                <w:rFonts w:ascii="Arial Narrow" w:hAnsi="Arial Narrow" w:cs="Arial Narrow"/>
                <w:sz w:val="20"/>
                <w:szCs w:val="24"/>
              </w:rPr>
            </w:pPr>
            <w:r w:rsidRPr="00C4686C">
              <w:rPr>
                <w:rFonts w:ascii="Arial Narrow" w:hAnsi="Arial Narrow" w:cs="Arial Narrow"/>
                <w:sz w:val="20"/>
                <w:szCs w:val="24"/>
              </w:rPr>
              <w:t>Názov smernice:</w:t>
            </w:r>
          </w:p>
        </w:tc>
        <w:tc>
          <w:tcPr>
            <w:tcW w:w="14506" w:type="dxa"/>
            <w:gridSpan w:val="9"/>
            <w:tcBorders>
              <w:top w:val="single" w:sz="4" w:space="0" w:color="auto"/>
              <w:left w:val="nil"/>
              <w:bottom w:val="single" w:sz="4" w:space="0" w:color="auto"/>
              <w:right w:val="single" w:sz="12" w:space="0" w:color="auto"/>
            </w:tcBorders>
            <w:textDirection w:val="lrTb"/>
            <w:vAlign w:val="top"/>
          </w:tcPr>
          <w:p w:rsidR="003D3D63" w:rsidRPr="000E5712" w:rsidP="000E5712">
            <w:pPr>
              <w:pStyle w:val="tlNormlnywebovTahomaTunVavo0cm"/>
              <w:spacing w:before="0" w:after="0"/>
              <w:ind w:right="0"/>
              <w:jc w:val="both"/>
              <w:rPr>
                <w:rFonts w:ascii="Arial Narrow" w:hAnsi="Arial Narrow" w:cs="Arial Narrow"/>
                <w:sz w:val="22"/>
                <w:szCs w:val="24"/>
              </w:rPr>
            </w:pPr>
            <w:r w:rsidRPr="000E5712" w:rsidR="00C105F9">
              <w:rPr>
                <w:rFonts w:ascii="Arial Narrow" w:hAnsi="Arial Narrow" w:cs="Arial Narrow"/>
                <w:sz w:val="22"/>
                <w:szCs w:val="24"/>
              </w:rPr>
              <w:t>Smernica Rady 2006/112/ES z  28. novembra 2006  spoločnom systéme dane z pridanej hodnoty</w:t>
            </w:r>
            <w:r w:rsidR="00966082">
              <w:rPr>
                <w:rFonts w:ascii="Arial Narrow" w:hAnsi="Arial Narrow" w:cs="Arial Narrow"/>
                <w:sz w:val="22"/>
                <w:szCs w:val="24"/>
              </w:rPr>
              <w:t xml:space="preserve"> v platnom znení</w:t>
            </w:r>
          </w:p>
        </w:tc>
      </w:tr>
      <w:tr>
        <w:tblPrEx>
          <w:tblW w:w="16306" w:type="dxa"/>
          <w:jc w:val="center"/>
          <w:tblInd w:w="0" w:type="dxa"/>
          <w:tblLayout w:type="fixed"/>
          <w:tblCellMar>
            <w:left w:w="43" w:type="dxa"/>
            <w:right w:w="43" w:type="dxa"/>
          </w:tblCellMar>
        </w:tblPrEx>
        <w:trPr>
          <w:trHeight w:val="567"/>
          <w:jc w:val="center"/>
        </w:trPr>
        <w:tc>
          <w:tcPr>
            <w:tcW w:w="6480" w:type="dxa"/>
            <w:gridSpan w:val="4"/>
            <w:tcBorders>
              <w:top w:val="single" w:sz="4" w:space="0" w:color="auto"/>
              <w:left w:val="single" w:sz="12" w:space="0" w:color="auto"/>
              <w:bottom w:val="single" w:sz="4" w:space="0" w:color="auto"/>
              <w:right w:val="single" w:sz="12" w:space="0" w:color="auto"/>
            </w:tcBorders>
            <w:textDirection w:val="lrTb"/>
            <w:vAlign w:val="top"/>
          </w:tcPr>
          <w:p w:rsidR="003D3D63" w:rsidRPr="009203F4" w:rsidP="002E13F3">
            <w:pPr>
              <w:pStyle w:val="Heading4"/>
              <w:spacing w:before="120"/>
              <w:jc w:val="both"/>
              <w:rPr>
                <w:rFonts w:ascii="Arial Narrow" w:hAnsi="Arial Narrow" w:cs="Arial Narrow"/>
                <w:szCs w:val="24"/>
              </w:rPr>
            </w:pPr>
            <w:r w:rsidRPr="009203F4">
              <w:rPr>
                <w:rFonts w:ascii="Arial Narrow" w:hAnsi="Arial Narrow" w:cs="Arial Narrow"/>
                <w:szCs w:val="24"/>
              </w:rPr>
              <w:t>Smernica ES/EÚ</w:t>
            </w:r>
          </w:p>
          <w:p w:rsidR="003D3D63" w:rsidRPr="00C4686C" w:rsidP="00C44FA7">
            <w:pPr>
              <w:pStyle w:val="BodyText3"/>
              <w:spacing w:line="240" w:lineRule="auto"/>
              <w:rPr>
                <w:rFonts w:ascii="Arial Narrow" w:hAnsi="Arial Narrow" w:cs="Arial Narrow"/>
                <w:sz w:val="22"/>
                <w:szCs w:val="24"/>
              </w:rPr>
            </w:pPr>
          </w:p>
          <w:p w:rsidR="00C44FA7" w:rsidRPr="00C4686C" w:rsidP="00C44FA7">
            <w:pPr>
              <w:pStyle w:val="tlNormlnywebovTahomaTunVavo0cm"/>
              <w:spacing w:before="0" w:after="0"/>
              <w:ind w:right="0"/>
              <w:jc w:val="both"/>
              <w:rPr>
                <w:rFonts w:ascii="Arial Narrow" w:hAnsi="Arial Narrow" w:cs="Arial Narrow"/>
                <w:sz w:val="22"/>
                <w:szCs w:val="24"/>
              </w:rPr>
            </w:pPr>
            <w:bookmarkStart w:id="0" w:name="content"/>
            <w:r w:rsidRPr="00C4686C">
              <w:rPr>
                <w:rFonts w:ascii="Arial Narrow" w:hAnsi="Arial Narrow" w:cs="Arial Narrow"/>
                <w:sz w:val="22"/>
                <w:szCs w:val="24"/>
              </w:rPr>
              <w:t>Smernica Rady 2006/112/ES z  28. novembra 2006  spoločnom systéme dane z pridanej hodnoty</w:t>
            </w:r>
            <w:r w:rsidR="00966082">
              <w:rPr>
                <w:rFonts w:ascii="Arial Narrow" w:hAnsi="Arial Narrow" w:cs="Arial Narrow"/>
                <w:sz w:val="22"/>
                <w:szCs w:val="24"/>
              </w:rPr>
              <w:t xml:space="preserve"> v platnom znení</w:t>
            </w:r>
          </w:p>
          <w:p w:rsidR="00F732BE" w:rsidRPr="00C4686C" w:rsidP="00C3683B">
            <w:pPr>
              <w:pStyle w:val="Normlnywebov8"/>
              <w:spacing w:before="0" w:after="0"/>
              <w:ind w:left="0"/>
              <w:jc w:val="both"/>
              <w:rPr>
                <w:rFonts w:ascii="Arial Narrow" w:hAnsi="Arial Narrow" w:cs="Arial Narrow"/>
                <w:b/>
                <w:szCs w:val="24"/>
              </w:rPr>
            </w:pPr>
            <w:bookmarkEnd w:id="0"/>
          </w:p>
        </w:tc>
        <w:tc>
          <w:tcPr>
            <w:tcW w:w="9826" w:type="dxa"/>
            <w:gridSpan w:val="7"/>
            <w:tcBorders>
              <w:top w:val="single" w:sz="4" w:space="0" w:color="auto"/>
              <w:left w:val="nil"/>
              <w:bottom w:val="single" w:sz="4" w:space="0" w:color="auto"/>
              <w:right w:val="single" w:sz="12" w:space="0" w:color="auto"/>
            </w:tcBorders>
            <w:textDirection w:val="lrTb"/>
            <w:vAlign w:val="top"/>
          </w:tcPr>
          <w:p w:rsidR="003D3D63" w:rsidRPr="009203F4" w:rsidP="002E13F3">
            <w:pPr>
              <w:pStyle w:val="Heading4"/>
              <w:spacing w:before="120"/>
              <w:jc w:val="both"/>
              <w:rPr>
                <w:rFonts w:ascii="Arial Narrow" w:hAnsi="Arial Narrow" w:cs="Arial Narrow"/>
                <w:szCs w:val="24"/>
              </w:rPr>
            </w:pPr>
            <w:r w:rsidRPr="009203F4">
              <w:rPr>
                <w:rFonts w:ascii="Arial Narrow" w:hAnsi="Arial Narrow" w:cs="Arial Narrow"/>
                <w:szCs w:val="24"/>
              </w:rPr>
              <w:t>Všeobecne záväzné právne predpisy Slovenskej republiky</w:t>
            </w:r>
          </w:p>
          <w:p w:rsidR="003D3D63" w:rsidRPr="00C4686C" w:rsidP="00295603">
            <w:pPr>
              <w:pStyle w:val="Header"/>
              <w:tabs>
                <w:tab w:val="left" w:pos="1088"/>
                <w:tab w:val="clear" w:pos="4536"/>
                <w:tab w:val="clear" w:pos="9072"/>
              </w:tabs>
              <w:jc w:val="both"/>
              <w:rPr>
                <w:rFonts w:ascii="Arial Narrow" w:hAnsi="Arial Narrow" w:cs="Arial Narrow"/>
                <w:sz w:val="22"/>
                <w:szCs w:val="24"/>
              </w:rPr>
            </w:pPr>
            <w:r w:rsidR="00295603">
              <w:rPr>
                <w:rFonts w:ascii="Arial Narrow" w:hAnsi="Arial Narrow" w:cs="Arial Narrow"/>
                <w:sz w:val="22"/>
                <w:szCs w:val="24"/>
              </w:rPr>
              <w:tab/>
            </w:r>
          </w:p>
          <w:p w:rsidR="00030212" w:rsidRPr="00295603" w:rsidP="002E13F3">
            <w:pPr>
              <w:pStyle w:val="Header"/>
              <w:tabs>
                <w:tab w:val="left" w:pos="709"/>
              </w:tabs>
              <w:jc w:val="both"/>
              <w:rPr>
                <w:rFonts w:ascii="Arial Narrow" w:hAnsi="Arial Narrow" w:cs="Arial Narrow"/>
                <w:sz w:val="22"/>
                <w:szCs w:val="24"/>
              </w:rPr>
            </w:pPr>
            <w:r w:rsidRPr="00295603">
              <w:rPr>
                <w:rFonts w:ascii="Arial Narrow" w:hAnsi="Arial Narrow" w:cs="Arial Narrow"/>
                <w:sz w:val="22"/>
                <w:szCs w:val="24"/>
              </w:rPr>
              <w:t>Zákon č. 222/2004 Z.z. o dani z pridanej hodnoty v znení neskorších predpisov (ďalej len „222/2004 Z.z.)</w:t>
            </w:r>
          </w:p>
          <w:p w:rsidR="00295603" w:rsidP="00ED450F">
            <w:pPr>
              <w:pStyle w:val="Header"/>
              <w:tabs>
                <w:tab w:val="left" w:pos="709"/>
              </w:tabs>
              <w:jc w:val="both"/>
              <w:rPr>
                <w:rFonts w:ascii="Arial Narrow" w:hAnsi="Arial Narrow" w:cs="Arial Narrow"/>
                <w:b/>
                <w:sz w:val="22"/>
                <w:szCs w:val="24"/>
              </w:rPr>
            </w:pPr>
          </w:p>
          <w:p w:rsidR="002E13F3" w:rsidP="00ED450F">
            <w:pPr>
              <w:pStyle w:val="Header"/>
              <w:tabs>
                <w:tab w:val="left" w:pos="709"/>
              </w:tabs>
              <w:jc w:val="both"/>
              <w:rPr>
                <w:rFonts w:ascii="Arial Narrow" w:hAnsi="Arial Narrow" w:cs="Arial Narrow"/>
                <w:b/>
                <w:sz w:val="22"/>
                <w:szCs w:val="24"/>
              </w:rPr>
            </w:pPr>
            <w:r w:rsidRPr="00C4686C" w:rsidR="00135BA5">
              <w:rPr>
                <w:rFonts w:ascii="Arial Narrow" w:hAnsi="Arial Narrow" w:cs="Arial Narrow"/>
                <w:b/>
                <w:sz w:val="22"/>
                <w:szCs w:val="24"/>
              </w:rPr>
              <w:t>Návrh zákona</w:t>
            </w:r>
            <w:r w:rsidRPr="00C4686C" w:rsidR="00542EEF">
              <w:rPr>
                <w:rFonts w:ascii="Arial Narrow" w:hAnsi="Arial Narrow" w:cs="Arial Narrow"/>
                <w:b/>
                <w:sz w:val="22"/>
                <w:szCs w:val="24"/>
              </w:rPr>
              <w:t xml:space="preserve">, ktorým sa mení a dopĺňa zákon č. </w:t>
            </w:r>
            <w:r w:rsidRPr="00C4686C" w:rsidR="00030212">
              <w:rPr>
                <w:rFonts w:ascii="Arial Narrow" w:hAnsi="Arial Narrow" w:cs="Arial Narrow"/>
                <w:b/>
                <w:sz w:val="22"/>
                <w:szCs w:val="24"/>
              </w:rPr>
              <w:t>2</w:t>
            </w:r>
            <w:r w:rsidRPr="00C4686C" w:rsidR="00542EEF">
              <w:rPr>
                <w:rFonts w:ascii="Arial Narrow" w:hAnsi="Arial Narrow" w:cs="Arial Narrow"/>
                <w:b/>
                <w:sz w:val="22"/>
                <w:szCs w:val="24"/>
              </w:rPr>
              <w:t>22/2004 Z.z. o dani z pridanej hodnoty v znení neskorších predpisov (ďalej len „návrh zákona“)</w:t>
            </w:r>
          </w:p>
          <w:p w:rsidR="00295603" w:rsidP="00ED450F">
            <w:pPr>
              <w:pStyle w:val="Header"/>
              <w:tabs>
                <w:tab w:val="left" w:pos="709"/>
              </w:tabs>
              <w:jc w:val="both"/>
              <w:rPr>
                <w:rFonts w:ascii="Arial Narrow" w:hAnsi="Arial Narrow" w:cs="Arial Narrow"/>
                <w:b/>
                <w:sz w:val="22"/>
                <w:szCs w:val="24"/>
              </w:rPr>
            </w:pPr>
          </w:p>
          <w:p w:rsidR="00295603" w:rsidRPr="00C4686C" w:rsidP="00ED450F">
            <w:pPr>
              <w:pStyle w:val="Header"/>
              <w:tabs>
                <w:tab w:val="left" w:pos="709"/>
              </w:tabs>
              <w:jc w:val="both"/>
              <w:rPr>
                <w:rFonts w:ascii="Arial Narrow" w:hAnsi="Arial Narrow" w:cs="Arial Narrow"/>
                <w:sz w:val="22"/>
                <w:szCs w:val="24"/>
              </w:rPr>
            </w:pPr>
          </w:p>
        </w:tc>
      </w:tr>
      <w:tr>
        <w:tblPrEx>
          <w:tblW w:w="16306" w:type="dxa"/>
          <w:jc w:val="center"/>
          <w:tblInd w:w="0" w:type="dxa"/>
          <w:tblLayout w:type="fixed"/>
          <w:tblCellMar>
            <w:left w:w="43" w:type="dxa"/>
            <w:right w:w="43" w:type="dxa"/>
          </w:tblCellMar>
        </w:tblPrEx>
        <w:trPr>
          <w:jc w:val="center"/>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1</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2</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BodyText2"/>
              <w:spacing w:line="240" w:lineRule="exact"/>
              <w:rPr>
                <w:rFonts w:ascii="Arial Narrow" w:hAnsi="Arial Narrow" w:cs="Arial Narrow"/>
                <w:szCs w:val="24"/>
              </w:rPr>
            </w:pPr>
            <w:r w:rsidRPr="00C4686C">
              <w:rPr>
                <w:rFonts w:ascii="Arial Narrow" w:hAnsi="Arial Narrow" w:cs="Arial Narrow"/>
                <w:szCs w:val="24"/>
              </w:rPr>
              <w:t>5</w:t>
            </w:r>
          </w:p>
        </w:tc>
        <w:tc>
          <w:tcPr>
            <w:tcW w:w="630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BodyText2"/>
              <w:spacing w:line="240" w:lineRule="exact"/>
              <w:rPr>
                <w:rFonts w:ascii="Arial Narrow" w:hAnsi="Arial Narrow" w:cs="Arial Narrow"/>
                <w:szCs w:val="24"/>
              </w:rPr>
            </w:pPr>
            <w:r w:rsidRPr="00C4686C">
              <w:rPr>
                <w:rFonts w:ascii="Arial Narrow" w:hAnsi="Arial Narrow" w:cs="Arial Narrow"/>
                <w:szCs w:val="24"/>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7</w:t>
            </w: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r w:rsidRPr="00C4686C">
              <w:rPr>
                <w:rFonts w:ascii="Arial Narrow" w:hAnsi="Arial Narrow" w:cs="Arial Narrow"/>
                <w:sz w:val="20"/>
                <w:szCs w:val="24"/>
              </w:rPr>
              <w:t>8</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jc w:val="center"/>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C4686C">
            <w:pPr>
              <w:jc w:val="center"/>
              <w:rPr>
                <w:rFonts w:ascii="Arial Narrow" w:hAnsi="Arial Narrow" w:cs="Arial Narrow"/>
                <w:sz w:val="20"/>
                <w:szCs w:val="24"/>
              </w:rPr>
            </w:pPr>
          </w:p>
        </w:tc>
      </w:tr>
      <w:tr>
        <w:tblPrEx>
          <w:tblW w:w="16306" w:type="dxa"/>
          <w:jc w:val="center"/>
          <w:tblInd w:w="0" w:type="dxa"/>
          <w:tblLayout w:type="fixed"/>
          <w:tblCellMar>
            <w:left w:w="43" w:type="dxa"/>
            <w:right w:w="43" w:type="dxa"/>
          </w:tblCellMar>
        </w:tblPrEx>
        <w:trPr>
          <w:jc w:val="center"/>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3D3D63" w:rsidRPr="00C4686C">
            <w:pPr>
              <w:pStyle w:val="Normlny"/>
              <w:rPr>
                <w:rFonts w:ascii="Arial Narrow" w:hAnsi="Arial Narrow" w:cs="Arial Narrow"/>
                <w:szCs w:val="24"/>
              </w:rPr>
            </w:pPr>
            <w:r w:rsidRPr="00C4686C">
              <w:rPr>
                <w:rFonts w:ascii="Arial Narrow" w:hAnsi="Arial Narrow" w:cs="Arial Narrow"/>
                <w:szCs w:val="24"/>
              </w:rPr>
              <w:t>Článok</w:t>
            </w:r>
          </w:p>
          <w:p w:rsidR="003D3D63" w:rsidRPr="00C4686C">
            <w:pPr>
              <w:pStyle w:val="Normlny"/>
              <w:rPr>
                <w:rFonts w:ascii="Arial Narrow" w:hAnsi="Arial Narrow" w:cs="Arial Narrow"/>
                <w:szCs w:val="24"/>
              </w:rPr>
            </w:pPr>
            <w:r w:rsidRPr="00C4686C">
              <w:rPr>
                <w:rFonts w:ascii="Arial Narrow" w:hAnsi="Arial Narrow" w:cs="Arial Narrow"/>
                <w:szCs w:val="24"/>
              </w:rPr>
              <w:t>(Č, O,</w:t>
            </w:r>
          </w:p>
          <w:p w:rsidR="003D3D63" w:rsidRPr="00C4686C">
            <w:pPr>
              <w:pStyle w:val="Normlny"/>
              <w:rPr>
                <w:rFonts w:ascii="Arial Narrow" w:hAnsi="Arial Narrow" w:cs="Arial Narrow"/>
                <w:szCs w:val="24"/>
              </w:rPr>
            </w:pPr>
            <w:r w:rsidRPr="00C4686C">
              <w:rPr>
                <w:rFonts w:ascii="Arial Narrow" w:hAnsi="Arial Narrow" w:cs="Arial Narrow"/>
                <w:szCs w:val="24"/>
              </w:rPr>
              <w:t>V, P)</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Text</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Spôsob transp</w:t>
            </w:r>
            <w:r w:rsidRPr="00C4686C" w:rsidR="00047735">
              <w:rPr>
                <w:rFonts w:ascii="Arial Narrow" w:hAnsi="Arial Narrow" w:cs="Arial Narrow"/>
                <w:szCs w:val="24"/>
              </w:rPr>
              <w:t>ozície</w:t>
            </w:r>
          </w:p>
        </w:tc>
        <w:tc>
          <w:tcPr>
            <w:tcW w:w="900" w:type="dxa"/>
            <w:tcBorders>
              <w:top w:val="single" w:sz="4" w:space="0" w:color="auto"/>
              <w:left w:val="nil"/>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Článok (Č, §, O, V, P)</w:t>
            </w:r>
          </w:p>
        </w:tc>
        <w:tc>
          <w:tcPr>
            <w:tcW w:w="630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r w:rsidRPr="00C4686C">
              <w:rPr>
                <w:rFonts w:ascii="Arial Narrow" w:hAnsi="Arial Narrow" w:cs="Arial Narrow"/>
                <w:szCs w:val="24"/>
              </w:rPr>
              <w:t>Zhoda</w:t>
            </w: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F23409" w:rsidRPr="00C4686C" w:rsidP="00F23409">
            <w:pPr>
              <w:pStyle w:val="Normlny"/>
              <w:jc w:val="center"/>
              <w:rPr>
                <w:rFonts w:ascii="Arial Narrow" w:hAnsi="Arial Narrow" w:cs="Arial Narrow"/>
                <w:szCs w:val="24"/>
              </w:rPr>
            </w:pPr>
            <w:r w:rsidRPr="00C4686C">
              <w:rPr>
                <w:rFonts w:ascii="Arial Narrow" w:hAnsi="Arial Narrow" w:cs="Arial Narrow"/>
                <w:szCs w:val="24"/>
              </w:rPr>
              <w:t>Poznámky</w:t>
            </w:r>
          </w:p>
          <w:p w:rsidR="003D3D63" w:rsidRPr="00C4686C">
            <w:pPr>
              <w:pStyle w:val="Normlny"/>
              <w:jc w:val="center"/>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pPr>
              <w:pStyle w:val="Normlny"/>
              <w:jc w:val="center"/>
              <w:rPr>
                <w:rFonts w:ascii="Arial Narrow" w:hAnsi="Arial Narrow" w:cs="Arial Narrow"/>
                <w:szCs w:val="24"/>
              </w:rPr>
            </w:pPr>
          </w:p>
          <w:p w:rsidR="003D3D63" w:rsidRPr="00C4686C">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C4686C">
            <w:pPr>
              <w:pStyle w:val="Normlny"/>
              <w:jc w:val="center"/>
              <w:rPr>
                <w:rFonts w:ascii="Arial Narrow" w:hAnsi="Arial Narrow" w:cs="Arial Narrow"/>
                <w:szCs w:val="24"/>
              </w:rPr>
            </w:pPr>
          </w:p>
        </w:tc>
      </w:tr>
      <w:tr>
        <w:tblPrEx>
          <w:tblW w:w="16306" w:type="dxa"/>
          <w:jc w:val="center"/>
          <w:tblInd w:w="0" w:type="dxa"/>
          <w:tblLayout w:type="fixed"/>
          <w:tblCellMar>
            <w:left w:w="43" w:type="dxa"/>
            <w:right w:w="43" w:type="dxa"/>
          </w:tblCellMar>
        </w:tblPrEx>
        <w:trPr>
          <w:jc w:val="center"/>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7D03E6" w:rsidRPr="00C4686C" w:rsidP="0026420F">
            <w:pPr>
              <w:rPr>
                <w:rFonts w:ascii="Arial Narrow" w:hAnsi="Arial Narrow" w:cs="Arial Narrow"/>
                <w:sz w:val="20"/>
                <w:szCs w:val="24"/>
              </w:rPr>
            </w:pPr>
            <w:r w:rsidRPr="00C4686C" w:rsidR="00EF7EEB">
              <w:rPr>
                <w:rFonts w:ascii="Arial Narrow" w:hAnsi="Arial Narrow" w:cs="Arial Narrow"/>
                <w:sz w:val="20"/>
                <w:szCs w:val="24"/>
              </w:rPr>
              <w:t xml:space="preserve">Čl. </w:t>
            </w:r>
            <w:r w:rsidRPr="00C4686C" w:rsidR="009E1D9B">
              <w:rPr>
                <w:rFonts w:ascii="Arial Narrow" w:hAnsi="Arial Narrow" w:cs="Arial Narrow"/>
                <w:sz w:val="20"/>
                <w:szCs w:val="24"/>
              </w:rPr>
              <w:t>34</w:t>
            </w:r>
            <w:r w:rsidRPr="00C4686C">
              <w:rPr>
                <w:rFonts w:ascii="Arial Narrow" w:hAnsi="Arial Narrow" w:cs="Arial Narrow"/>
                <w:sz w:val="20"/>
                <w:szCs w:val="24"/>
              </w:rPr>
              <w:t xml:space="preserve"> ods. 1 </w:t>
            </w: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7D03E6" w:rsidRPr="00C4686C" w:rsidP="0026420F">
            <w:pPr>
              <w:rPr>
                <w:rFonts w:ascii="Arial Narrow" w:hAnsi="Arial Narrow" w:cs="Arial Narrow"/>
                <w:sz w:val="20"/>
                <w:szCs w:val="24"/>
              </w:rPr>
            </w:pPr>
          </w:p>
          <w:p w:rsidR="003D3D63" w:rsidRPr="00C4686C" w:rsidP="0026420F">
            <w:pPr>
              <w:rPr>
                <w:rFonts w:ascii="Arial Narrow" w:hAnsi="Arial Narrow" w:cs="Arial Narrow"/>
                <w:sz w:val="20"/>
                <w:szCs w:val="24"/>
              </w:rPr>
            </w:pPr>
            <w:r w:rsidRPr="00C4686C" w:rsidR="007D03E6">
              <w:rPr>
                <w:rFonts w:ascii="Arial Narrow" w:hAnsi="Arial Narrow" w:cs="Arial Narrow"/>
                <w:sz w:val="20"/>
                <w:szCs w:val="24"/>
              </w:rPr>
              <w:t>ods.2</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557461" w:rsidRPr="00C4686C" w:rsidP="00557461">
            <w:pPr>
              <w:adjustRightInd w:val="0"/>
              <w:rPr>
                <w:rFonts w:ascii="Arial Narrow" w:hAnsi="Arial Narrow" w:cs="Arial Narrow"/>
                <w:sz w:val="20"/>
                <w:szCs w:val="24"/>
              </w:rPr>
            </w:pPr>
            <w:r w:rsidRPr="00C4686C">
              <w:rPr>
                <w:rFonts w:ascii="Arial Narrow" w:hAnsi="Arial Narrow" w:cs="Arial Narrow"/>
                <w:sz w:val="20"/>
                <w:szCs w:val="24"/>
              </w:rPr>
              <w:t>1. Pokiaľ sú splnené nižšie uvedené podmienky, ustanovenia článku 33 sa nevzťahujú na dodania tovaru, pri ktorých je všetok tento tovar odoslaný alebo prepravený do toho istého členského štátu, ak je týmto členským štátom členský štát, v ktorom sa odoslanie alebo preprava končí:</w:t>
            </w:r>
          </w:p>
          <w:p w:rsidR="00557461" w:rsidRPr="00C4686C" w:rsidP="00557461">
            <w:pPr>
              <w:adjustRightInd w:val="0"/>
              <w:rPr>
                <w:rFonts w:ascii="Arial Narrow" w:hAnsi="Arial Narrow" w:cs="Arial Narrow"/>
                <w:sz w:val="20"/>
                <w:szCs w:val="24"/>
              </w:rPr>
            </w:pPr>
            <w:r w:rsidRPr="00C4686C">
              <w:rPr>
                <w:rFonts w:ascii="Arial Narrow" w:hAnsi="Arial Narrow" w:cs="Arial Narrow"/>
                <w:sz w:val="20"/>
                <w:szCs w:val="24"/>
              </w:rPr>
              <w:t>a) dodaným tovarom nie sú výrobky podliehajúce spotrebnej dani;</w:t>
            </w:r>
          </w:p>
          <w:p w:rsidR="00557461" w:rsidRPr="00C4686C" w:rsidP="00557461">
            <w:pPr>
              <w:adjustRightInd w:val="0"/>
              <w:rPr>
                <w:rFonts w:ascii="Arial Narrow" w:hAnsi="Arial Narrow" w:cs="Arial Narrow"/>
                <w:sz w:val="20"/>
                <w:szCs w:val="24"/>
              </w:rPr>
            </w:pPr>
            <w:r w:rsidRPr="00C4686C">
              <w:rPr>
                <w:rFonts w:ascii="Arial Narrow" w:hAnsi="Arial Narrow" w:cs="Arial Narrow"/>
                <w:sz w:val="20"/>
                <w:szCs w:val="24"/>
              </w:rPr>
              <w:t xml:space="preserve">b) celková hodnota dodaní bez DPH uskutočnených za podmienok stanovených v článku 33 v tomto členskom štáte neprekročí v tom istom kalendárnom roku sumu 100 000 EUR alebo jej ekvivalent v národnej mene; </w:t>
            </w:r>
          </w:p>
          <w:p w:rsidR="00557461" w:rsidRPr="00C4686C" w:rsidP="00557461">
            <w:pPr>
              <w:adjustRightInd w:val="0"/>
              <w:rPr>
                <w:rFonts w:ascii="Arial Narrow" w:hAnsi="Arial Narrow" w:cs="Arial Narrow"/>
                <w:sz w:val="20"/>
                <w:szCs w:val="24"/>
              </w:rPr>
            </w:pPr>
            <w:r w:rsidRPr="00C4686C">
              <w:rPr>
                <w:rFonts w:ascii="Arial Narrow" w:hAnsi="Arial Narrow" w:cs="Arial Narrow"/>
                <w:sz w:val="20"/>
                <w:szCs w:val="24"/>
              </w:rPr>
              <w:t>c) celková hodnota bez DPH dodaní iného tovaru ako výrobkov podliehajúcich spotrebnej dani uskutočnených za podmienok stanovených v článku 33 v tomto členskom štáte neprekročila v predchádzajúcom kalendárnom roku sumu 100 000 EUR alebo jej ekvivalent v národnej mene.</w:t>
            </w:r>
          </w:p>
          <w:p w:rsidR="00557461" w:rsidRPr="00C4686C" w:rsidP="00557461">
            <w:pPr>
              <w:adjustRightInd w:val="0"/>
              <w:rPr>
                <w:rFonts w:ascii="Arial Narrow" w:hAnsi="Arial Narrow" w:cs="Arial Narrow"/>
                <w:sz w:val="20"/>
                <w:szCs w:val="24"/>
              </w:rPr>
            </w:pPr>
            <w:r w:rsidRPr="00C4686C">
              <w:rPr>
                <w:rFonts w:ascii="Arial Narrow" w:hAnsi="Arial Narrow" w:cs="Arial Narrow"/>
                <w:sz w:val="20"/>
                <w:szCs w:val="24"/>
              </w:rPr>
              <w:t>2. Členský štát, na území ktorého sa tovar nachádza v čase, keď sa končí jeho odoslanie alebo preprava nadobúdateľovi, môže stanoviť hranicu uvedenú v odseku 1 vo výške 35 000 EUR alebo jej ekvivalentu v národnej mene, ak má tento členský štát obavy, že hranica vo výške 100 000 EUR by mohla viesť k vážnemu narušeniu hospodárskej súťaže.</w:t>
            </w:r>
          </w:p>
          <w:p w:rsidR="003D3D63" w:rsidRPr="00C4686C" w:rsidP="004A375E">
            <w:pPr>
              <w:adjustRightInd w:val="0"/>
              <w:rPr>
                <w:rFonts w:ascii="Arial Narrow" w:hAnsi="Arial Narrow" w:cs="Arial Narrow"/>
                <w:sz w:val="20"/>
                <w:szCs w:val="24"/>
              </w:rPr>
            </w:pPr>
            <w:r w:rsidRPr="00C4686C" w:rsidR="00557461">
              <w:rPr>
                <w:rFonts w:ascii="Arial Narrow" w:hAnsi="Arial Narrow" w:cs="Arial Narrow"/>
                <w:sz w:val="20"/>
                <w:szCs w:val="24"/>
              </w:rPr>
              <w:t>Členské štáty, ktoré uplatnia možnosť uvedenú v prvom pododseku, prijmú potrebné opatrenia na to, aby o tom boli informované príslušné orgány verejnej moci v členskom štáte, v ktorom sa odoslanie alebo preprava začína.</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04773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r>
              <w:rPr>
                <w:rFonts w:ascii="Arial Narrow" w:hAnsi="Arial Narrow" w:cs="Arial Narrow"/>
                <w:sz w:val="20"/>
                <w:szCs w:val="24"/>
              </w:rPr>
              <w:t>N</w:t>
            </w: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P="007E057C">
            <w:pPr>
              <w:jc w:val="both"/>
              <w:rPr>
                <w:rFonts w:ascii="Arial Narrow" w:hAnsi="Arial Narrow" w:cs="Arial Narrow"/>
                <w:sz w:val="20"/>
                <w:szCs w:val="24"/>
              </w:rPr>
            </w:pPr>
          </w:p>
          <w:p w:rsidR="00247BB5" w:rsidRPr="00C4686C" w:rsidP="007E057C">
            <w:pPr>
              <w:jc w:val="both"/>
              <w:rPr>
                <w:rFonts w:ascii="Arial Narrow" w:hAnsi="Arial Narrow" w:cs="Arial Narrow"/>
                <w:sz w:val="20"/>
                <w:szCs w:val="24"/>
              </w:rPr>
            </w:pPr>
            <w:r>
              <w:rPr>
                <w:rFonts w:ascii="Arial Narrow" w:hAnsi="Arial Narrow" w:cs="Arial Narrow"/>
                <w:sz w:val="20"/>
                <w:szCs w:val="24"/>
              </w:rPr>
              <w:t>D</w:t>
            </w:r>
          </w:p>
        </w:tc>
        <w:tc>
          <w:tcPr>
            <w:tcW w:w="900" w:type="dxa"/>
            <w:tcBorders>
              <w:top w:val="single" w:sz="4" w:space="0" w:color="auto"/>
              <w:left w:val="nil"/>
              <w:bottom w:val="single" w:sz="4" w:space="0" w:color="auto"/>
              <w:right w:val="single" w:sz="4" w:space="0" w:color="auto"/>
            </w:tcBorders>
            <w:textDirection w:val="lrTb"/>
            <w:vAlign w:val="top"/>
          </w:tcPr>
          <w:p w:rsidR="006B7323" w:rsidRPr="00C4686C" w:rsidP="004F4343">
            <w:pPr>
              <w:rPr>
                <w:rFonts w:ascii="Arial Narrow" w:hAnsi="Arial Narrow" w:cs="Arial Narrow"/>
                <w:sz w:val="20"/>
                <w:szCs w:val="24"/>
              </w:rPr>
            </w:pPr>
            <w:r w:rsidRPr="00C4686C" w:rsidR="004F4343">
              <w:rPr>
                <w:rFonts w:ascii="Arial Narrow" w:hAnsi="Arial Narrow" w:cs="Arial Narrow"/>
                <w:sz w:val="20"/>
                <w:szCs w:val="24"/>
              </w:rPr>
              <w:t>222/2004 Z.z.</w:t>
            </w:r>
          </w:p>
          <w:p w:rsidR="004F4343" w:rsidRPr="00C4686C" w:rsidP="004F4343">
            <w:pPr>
              <w:rPr>
                <w:rFonts w:ascii="Arial Narrow" w:hAnsi="Arial Narrow" w:cs="Arial Narrow"/>
                <w:b/>
                <w:sz w:val="20"/>
                <w:szCs w:val="24"/>
              </w:rPr>
            </w:pPr>
            <w:r w:rsidRPr="00C4686C">
              <w:rPr>
                <w:rFonts w:ascii="Arial Narrow" w:hAnsi="Arial Narrow" w:cs="Arial Narrow"/>
                <w:b/>
                <w:sz w:val="20"/>
                <w:szCs w:val="24"/>
              </w:rPr>
              <w:t xml:space="preserve"> </w:t>
            </w:r>
            <w:r w:rsidRPr="00C4686C" w:rsidR="004A375E">
              <w:rPr>
                <w:rFonts w:ascii="Arial Narrow" w:hAnsi="Arial Narrow" w:cs="Arial Narrow"/>
                <w:b/>
                <w:sz w:val="20"/>
                <w:szCs w:val="24"/>
              </w:rPr>
              <w:t xml:space="preserve">a </w:t>
            </w:r>
            <w:r w:rsidRPr="00C4686C">
              <w:rPr>
                <w:rFonts w:ascii="Arial Narrow" w:hAnsi="Arial Narrow" w:cs="Arial Narrow"/>
                <w:b/>
                <w:sz w:val="20"/>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E057C" w:rsidRPr="00C4686C" w:rsidP="007E057C">
            <w:pPr>
              <w:rPr>
                <w:rFonts w:ascii="Arial Narrow" w:hAnsi="Arial Narrow" w:cs="Arial Narrow"/>
                <w:sz w:val="20"/>
                <w:szCs w:val="24"/>
              </w:rPr>
            </w:pPr>
            <w:r w:rsidRPr="00C4686C" w:rsidR="005C3EE0">
              <w:rPr>
                <w:rFonts w:ascii="Arial Narrow" w:hAnsi="Arial Narrow" w:cs="Arial Narrow"/>
                <w:sz w:val="20"/>
                <w:szCs w:val="24"/>
              </w:rPr>
              <w:t xml:space="preserve">§ </w:t>
            </w:r>
            <w:r w:rsidRPr="00C4686C" w:rsidR="00557461">
              <w:rPr>
                <w:rFonts w:ascii="Arial Narrow" w:hAnsi="Arial Narrow" w:cs="Arial Narrow"/>
                <w:sz w:val="20"/>
                <w:szCs w:val="24"/>
              </w:rPr>
              <w:t>6</w:t>
            </w:r>
            <w:r w:rsidRPr="00C4686C" w:rsidR="005C3EE0">
              <w:rPr>
                <w:rFonts w:ascii="Arial Narrow" w:hAnsi="Arial Narrow" w:cs="Arial Narrow"/>
                <w:sz w:val="20"/>
                <w:szCs w:val="24"/>
              </w:rPr>
              <w:t xml:space="preserve"> </w:t>
            </w:r>
            <w:r w:rsidR="002363C4">
              <w:rPr>
                <w:rFonts w:ascii="Arial Narrow" w:hAnsi="Arial Narrow" w:cs="Arial Narrow"/>
                <w:sz w:val="20"/>
                <w:szCs w:val="24"/>
              </w:rPr>
              <w:t xml:space="preserve">  </w:t>
            </w:r>
            <w:r w:rsidRPr="00C4686C" w:rsidR="005C3EE0">
              <w:rPr>
                <w:rFonts w:ascii="Arial Narrow" w:hAnsi="Arial Narrow" w:cs="Arial Narrow"/>
                <w:sz w:val="20"/>
                <w:szCs w:val="24"/>
              </w:rPr>
              <w:t xml:space="preserve">ods. </w:t>
            </w:r>
            <w:r w:rsidRPr="00C4686C" w:rsidR="00557461">
              <w:rPr>
                <w:rFonts w:ascii="Arial Narrow" w:hAnsi="Arial Narrow" w:cs="Arial Narrow"/>
                <w:sz w:val="20"/>
                <w:szCs w:val="24"/>
              </w:rPr>
              <w:t>1</w:t>
            </w:r>
          </w:p>
          <w:p w:rsidR="007515F7" w:rsidRPr="00C4686C" w:rsidP="007E057C">
            <w:pPr>
              <w:rPr>
                <w:rFonts w:ascii="Arial Narrow" w:hAnsi="Arial Narrow" w:cs="Arial Narrow"/>
                <w:sz w:val="20"/>
                <w:szCs w:val="24"/>
              </w:rPr>
            </w:pPr>
          </w:p>
          <w:p w:rsidR="007515F7" w:rsidRPr="00C4686C" w:rsidP="007E057C">
            <w:pPr>
              <w:rPr>
                <w:rFonts w:ascii="Arial Narrow" w:hAnsi="Arial Narrow" w:cs="Arial Narrow"/>
                <w:sz w:val="20"/>
                <w:szCs w:val="24"/>
              </w:rPr>
            </w:pPr>
          </w:p>
          <w:p w:rsidR="007515F7" w:rsidRPr="00C4686C" w:rsidP="007E057C">
            <w:pPr>
              <w:rPr>
                <w:rFonts w:ascii="Arial Narrow" w:hAnsi="Arial Narrow" w:cs="Arial Narrow"/>
                <w:sz w:val="20"/>
                <w:szCs w:val="24"/>
              </w:rPr>
            </w:pPr>
          </w:p>
          <w:p w:rsidR="007515F7" w:rsidRPr="00C4686C" w:rsidP="007E057C">
            <w:pPr>
              <w:rPr>
                <w:rFonts w:ascii="Arial Narrow" w:hAnsi="Arial Narrow" w:cs="Arial Narrow"/>
                <w:sz w:val="20"/>
                <w:szCs w:val="24"/>
              </w:rPr>
            </w:pPr>
          </w:p>
          <w:p w:rsidR="007515F7" w:rsidRPr="00C4686C" w:rsidP="007E057C">
            <w:pPr>
              <w:rPr>
                <w:rFonts w:ascii="Arial Narrow" w:hAnsi="Arial Narrow" w:cs="Arial Narrow"/>
                <w:sz w:val="20"/>
                <w:szCs w:val="24"/>
              </w:rPr>
            </w:pPr>
            <w:r w:rsidRPr="00C4686C">
              <w:rPr>
                <w:rFonts w:ascii="Arial Narrow" w:hAnsi="Arial Narrow" w:cs="Arial Narrow"/>
                <w:sz w:val="20"/>
                <w:szCs w:val="24"/>
              </w:rPr>
              <w:t xml:space="preserve">§ 6 ods.3 </w:t>
            </w: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r w:rsidRPr="00C4686C">
              <w:rPr>
                <w:rFonts w:ascii="Arial Narrow" w:hAnsi="Arial Narrow" w:cs="Arial Narrow"/>
                <w:sz w:val="20"/>
                <w:szCs w:val="24"/>
              </w:rPr>
              <w:t>§ 14 ods.1</w:t>
            </w: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p>
          <w:p w:rsidR="007D03E6" w:rsidRPr="00C4686C" w:rsidP="007E057C">
            <w:pPr>
              <w:rPr>
                <w:rFonts w:ascii="Arial Narrow" w:hAnsi="Arial Narrow" w:cs="Arial Narrow"/>
                <w:sz w:val="20"/>
                <w:szCs w:val="24"/>
              </w:rPr>
            </w:pPr>
            <w:r w:rsidRPr="00C4686C">
              <w:rPr>
                <w:rFonts w:ascii="Arial Narrow" w:hAnsi="Arial Narrow" w:cs="Arial Narrow"/>
                <w:sz w:val="20"/>
                <w:szCs w:val="24"/>
              </w:rPr>
              <w:t xml:space="preserve">§ 81 ods. 3 </w:t>
            </w:r>
          </w:p>
        </w:tc>
        <w:tc>
          <w:tcPr>
            <w:tcW w:w="6300" w:type="dxa"/>
            <w:tcBorders>
              <w:top w:val="single" w:sz="4" w:space="0" w:color="auto"/>
              <w:left w:val="single" w:sz="4" w:space="0" w:color="auto"/>
              <w:bottom w:val="single" w:sz="4" w:space="0" w:color="auto"/>
              <w:right w:val="single" w:sz="4" w:space="0" w:color="auto"/>
            </w:tcBorders>
            <w:textDirection w:val="lrTb"/>
            <w:vAlign w:val="top"/>
          </w:tcPr>
          <w:p w:rsidR="007E057C" w:rsidRPr="00C4686C" w:rsidP="007E057C">
            <w:pPr>
              <w:pStyle w:val="BodyText2"/>
              <w:jc w:val="both"/>
              <w:rPr>
                <w:rFonts w:ascii="Arial Narrow" w:hAnsi="Arial Narrow" w:cs="Arial Narrow"/>
                <w:szCs w:val="24"/>
              </w:rPr>
            </w:pPr>
            <w:r w:rsidRPr="00C4686C" w:rsidR="00557461">
              <w:rPr>
                <w:rFonts w:ascii="Arial Narrow" w:hAnsi="Arial Narrow" w:cs="Arial Narrow"/>
                <w:szCs w:val="24"/>
              </w:rPr>
              <w:t xml:space="preserve">Ak zahraničná osoba dodáva tovar do tuzemska formou zásielkového predaja a celková hodnota bez dane takto dodaného tovaru dosiahne v kalendárnom roku </w:t>
            </w:r>
            <w:r w:rsidRPr="00C4686C" w:rsidR="00A81908">
              <w:rPr>
                <w:rFonts w:ascii="Arial Narrow" w:hAnsi="Arial Narrow" w:cs="Arial Narrow"/>
                <w:b/>
                <w:szCs w:val="24"/>
              </w:rPr>
              <w:t>35 000 eur</w:t>
            </w:r>
            <w:r w:rsidRPr="00C4686C" w:rsidR="00557461">
              <w:rPr>
                <w:rFonts w:ascii="Arial Narrow" w:hAnsi="Arial Narrow" w:cs="Arial Narrow"/>
                <w:szCs w:val="24"/>
              </w:rPr>
              <w:t xml:space="preserve">, táto zahraničná osoba je povinná podať žiadosť o registráciu pre daň Daňovému úradu Bratislava I, a to pred dodaním tovaru, dodaním ktorého dosiahne hodnotu </w:t>
            </w:r>
            <w:r w:rsidRPr="00C4686C" w:rsidR="00A81908">
              <w:rPr>
                <w:rFonts w:ascii="Arial Narrow" w:hAnsi="Arial Narrow" w:cs="Arial Narrow"/>
                <w:b/>
                <w:szCs w:val="24"/>
              </w:rPr>
              <w:t>35 000 eur</w:t>
            </w:r>
            <w:r w:rsidRPr="00C4686C" w:rsidR="00A81908">
              <w:rPr>
                <w:rFonts w:ascii="Arial Narrow" w:hAnsi="Arial Narrow" w:cs="Arial Narrow"/>
                <w:szCs w:val="24"/>
              </w:rPr>
              <w:t>.</w:t>
            </w:r>
          </w:p>
          <w:p w:rsidR="007515F7" w:rsidRPr="00C4686C" w:rsidP="007E057C">
            <w:pPr>
              <w:pStyle w:val="BodyText2"/>
              <w:jc w:val="both"/>
              <w:rPr>
                <w:rFonts w:ascii="Arial Narrow" w:hAnsi="Arial Narrow" w:cs="Arial Narrow"/>
                <w:szCs w:val="24"/>
              </w:rPr>
            </w:pPr>
          </w:p>
          <w:p w:rsidR="007515F7" w:rsidRPr="00C4686C" w:rsidP="007E057C">
            <w:pPr>
              <w:pStyle w:val="BodyText2"/>
              <w:jc w:val="both"/>
              <w:rPr>
                <w:rFonts w:ascii="Arial Narrow" w:hAnsi="Arial Narrow" w:cs="Arial Narrow"/>
                <w:szCs w:val="24"/>
              </w:rPr>
            </w:pPr>
            <w:r w:rsidRPr="00C4686C" w:rsidR="00003CEB">
              <w:rPr>
                <w:rFonts w:ascii="Arial Narrow" w:hAnsi="Arial Narrow" w:cs="Arial Narrow"/>
                <w:szCs w:val="24"/>
              </w:rPr>
              <w:t xml:space="preserve">Zahraničná osoba podľa odseku 1 môže podať žiadosť o registráciu pre daň aj v prípade, ak hodnota tovaru dodávaného do tuzemska nedosiahla v kalendárnom roku </w:t>
            </w:r>
            <w:r w:rsidRPr="00C4686C" w:rsidR="00003CEB">
              <w:rPr>
                <w:rFonts w:ascii="Arial Narrow" w:hAnsi="Arial Narrow" w:cs="Arial Narrow"/>
                <w:b/>
                <w:szCs w:val="24"/>
              </w:rPr>
              <w:t>35 000 eur</w:t>
            </w:r>
            <w:r w:rsidRPr="00C4686C" w:rsidR="00003CEB">
              <w:rPr>
                <w:rFonts w:ascii="Arial Narrow" w:hAnsi="Arial Narrow" w:cs="Arial Narrow"/>
                <w:szCs w:val="24"/>
              </w:rPr>
              <w:t>.</w:t>
            </w:r>
          </w:p>
          <w:p w:rsidR="007D03E6" w:rsidRPr="00C4686C" w:rsidP="007E057C">
            <w:pPr>
              <w:pStyle w:val="BodyText2"/>
              <w:jc w:val="both"/>
              <w:rPr>
                <w:rFonts w:ascii="Arial Narrow" w:hAnsi="Arial Narrow" w:cs="Arial Narrow"/>
                <w:szCs w:val="24"/>
              </w:rPr>
            </w:pPr>
          </w:p>
          <w:p w:rsidR="007D03E6" w:rsidRPr="00C4686C" w:rsidP="007E057C">
            <w:pPr>
              <w:pStyle w:val="BodyText2"/>
              <w:jc w:val="both"/>
              <w:rPr>
                <w:rFonts w:ascii="Arial Narrow" w:hAnsi="Arial Narrow" w:cs="Arial Narrow"/>
                <w:szCs w:val="24"/>
              </w:rPr>
            </w:pPr>
            <w:r w:rsidRPr="00C4686C">
              <w:rPr>
                <w:rFonts w:ascii="Arial Narrow" w:hAnsi="Arial Narrow" w:cs="Arial Narrow"/>
                <w:szCs w:val="24"/>
              </w:rPr>
              <w:t xml:space="preserve">Miestom dodania tovaru pri zásielkovom predaji, ak je tovar dodaný z iného členského štátu do tuzemska, je tuzemsko s výnimkou, ak hodnota tovaru bez dane dodaného do tuzemska nedosiahne v kalendárnom roku </w:t>
            </w:r>
            <w:r w:rsidRPr="00C4686C">
              <w:rPr>
                <w:rFonts w:ascii="Arial Narrow" w:hAnsi="Arial Narrow" w:cs="Arial Narrow"/>
                <w:b/>
                <w:szCs w:val="24"/>
              </w:rPr>
              <w:t>35 000 eur</w:t>
            </w:r>
            <w:r w:rsidRPr="00C4686C">
              <w:rPr>
                <w:rFonts w:ascii="Arial Narrow" w:hAnsi="Arial Narrow" w:cs="Arial Narrow"/>
                <w:szCs w:val="24"/>
              </w:rPr>
              <w:t xml:space="preserve">. Ak dodávateľ dodaním tovaru nedosiahne v kalendárnom roku hodnotu </w:t>
            </w:r>
            <w:r w:rsidRPr="00C4686C">
              <w:rPr>
                <w:rFonts w:ascii="Arial Narrow" w:hAnsi="Arial Narrow" w:cs="Arial Narrow"/>
                <w:b/>
                <w:szCs w:val="24"/>
              </w:rPr>
              <w:t>35 000 eur</w:t>
            </w:r>
            <w:r w:rsidRPr="00C4686C">
              <w:rPr>
                <w:rFonts w:ascii="Arial Narrow" w:hAnsi="Arial Narrow" w:cs="Arial Narrow"/>
                <w:szCs w:val="24"/>
              </w:rPr>
              <w:t>, môže si za miesto dodania tovaru zvoliť tuzemsko, ktoré bude miestom dodania tovaru najmenej dva nasledujúce, po sebe idúce kalendárne roky.</w:t>
            </w:r>
          </w:p>
          <w:p w:rsidR="007D03E6" w:rsidRPr="00C4686C" w:rsidP="007E057C">
            <w:pPr>
              <w:pStyle w:val="BodyText2"/>
              <w:jc w:val="both"/>
              <w:rPr>
                <w:rFonts w:ascii="Arial Narrow" w:hAnsi="Arial Narrow" w:cs="Arial Narrow"/>
                <w:szCs w:val="24"/>
              </w:rPr>
            </w:pPr>
          </w:p>
          <w:p w:rsidR="007D03E6" w:rsidRPr="00C4686C" w:rsidP="007E057C">
            <w:pPr>
              <w:pStyle w:val="BodyText2"/>
              <w:jc w:val="both"/>
              <w:rPr>
                <w:rFonts w:ascii="Arial Narrow" w:hAnsi="Arial Narrow" w:cs="Arial Narrow"/>
                <w:szCs w:val="24"/>
              </w:rPr>
            </w:pPr>
            <w:r w:rsidRPr="00C4686C">
              <w:rPr>
                <w:rFonts w:ascii="Arial Narrow" w:hAnsi="Arial Narrow" w:cs="Arial Narrow"/>
                <w:szCs w:val="24"/>
              </w:rPr>
              <w:t xml:space="preserve">Platiteľ registrovaný podľa § 6 môže požiadať o zrušenie registrácie pre daň, ak v bežnom kalendárnom roku celková hodnota dodaného tovaru bez dane nedosiahne </w:t>
            </w:r>
            <w:r w:rsidRPr="00C4686C">
              <w:rPr>
                <w:rFonts w:ascii="Arial Narrow" w:hAnsi="Arial Narrow" w:cs="Arial Narrow"/>
                <w:b/>
                <w:szCs w:val="24"/>
              </w:rPr>
              <w:t>35 000 eur</w:t>
            </w:r>
            <w:r w:rsidRPr="00C4686C">
              <w:rPr>
                <w:rFonts w:ascii="Arial Narrow" w:hAnsi="Arial Narrow" w:cs="Arial Narrow"/>
                <w:szCs w:val="24"/>
              </w:rPr>
              <w:t xml:space="preserve"> a súčasne v predchádzajúcom kalendárnom roku hodnota dodaného tovaru bez dane nedosiahla </w:t>
            </w:r>
            <w:r w:rsidRPr="00C4686C">
              <w:rPr>
                <w:rFonts w:ascii="Arial Narrow" w:hAnsi="Arial Narrow" w:cs="Arial Narrow"/>
                <w:b/>
                <w:szCs w:val="24"/>
              </w:rPr>
              <w:t>35 000 eur</w:t>
            </w:r>
            <w:r w:rsidRPr="00C4686C">
              <w:rPr>
                <w:rFonts w:ascii="Arial Narrow" w:hAnsi="Arial Narrow" w:cs="Arial Narrow"/>
                <w:szCs w:val="24"/>
              </w:rPr>
              <w:t>, ak nevykonáva v tuzemsku inú činnosť ako zásielkový predaj.</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E057C" w:rsidRPr="00C4686C" w:rsidP="007E057C">
            <w:pPr>
              <w:jc w:val="both"/>
              <w:rPr>
                <w:rFonts w:ascii="Arial Narrow" w:hAnsi="Arial Narrow" w:cs="Arial Narrow"/>
                <w:sz w:val="20"/>
                <w:szCs w:val="24"/>
              </w:rPr>
            </w:pPr>
            <w:r w:rsidRPr="00C4686C" w:rsidR="005335DC">
              <w:rPr>
                <w:rFonts w:ascii="Arial Narrow" w:hAnsi="Arial Narrow" w:cs="Arial Narrow"/>
                <w:sz w:val="20"/>
                <w:szCs w:val="24"/>
              </w:rPr>
              <w:t>Ú</w:t>
            </w: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rsidP="007E057C">
            <w:pPr>
              <w:jc w:val="both"/>
              <w:rPr>
                <w:rFonts w:ascii="Arial Narrow" w:hAnsi="Arial Narrow" w:cs="Arial Narrow"/>
                <w:sz w:val="20"/>
                <w:szCs w:val="24"/>
              </w:rPr>
            </w:pPr>
            <w:r w:rsidRPr="00563315" w:rsidR="00500EFE">
              <w:rPr>
                <w:rFonts w:ascii="Arial Narrow" w:hAnsi="Arial Narrow" w:cs="Arial Narrow"/>
                <w:sz w:val="20"/>
                <w:szCs w:val="24"/>
              </w:rPr>
              <w:t xml:space="preserve">MF SR, </w:t>
            </w:r>
            <w:r w:rsidR="00500EFE">
              <w:rPr>
                <w:rFonts w:ascii="Arial Narrow" w:hAnsi="Arial Narrow" w:cs="Arial Narrow"/>
                <w:sz w:val="20"/>
                <w:szCs w:val="24"/>
              </w:rPr>
              <w:t xml:space="preserve"> </w:t>
            </w:r>
            <w:r w:rsidRPr="00563315" w:rsidR="00500EFE">
              <w:rPr>
                <w:rFonts w:ascii="Arial Narrow" w:hAnsi="Arial Narrow" w:cs="Arial Narrow"/>
                <w:sz w:val="20"/>
                <w:szCs w:val="24"/>
              </w:rPr>
              <w:t>daňové úrady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C4686C" w:rsidP="007E057C">
            <w:pPr>
              <w:pStyle w:val="Heading1"/>
              <w:jc w:val="both"/>
              <w:rPr>
                <w:rFonts w:ascii="Arial Narrow" w:hAnsi="Arial Narrow" w:cs="Arial Narrow"/>
                <w:b w:val="0"/>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C4686C" w:rsidP="007E057C">
            <w:pPr>
              <w:pStyle w:val="Heading1"/>
              <w:jc w:val="both"/>
              <w:rPr>
                <w:rFonts w:ascii="Arial Narrow" w:hAnsi="Arial Narrow" w:cs="Arial Narrow"/>
                <w:b w:val="0"/>
                <w:sz w:val="20"/>
                <w:szCs w:val="24"/>
              </w:rPr>
            </w:pPr>
          </w:p>
        </w:tc>
      </w:tr>
      <w:tr>
        <w:tblPrEx>
          <w:tblW w:w="16306" w:type="dxa"/>
          <w:jc w:val="center"/>
          <w:tblInd w:w="0" w:type="dxa"/>
          <w:tblLayout w:type="fixed"/>
          <w:tblCellMar>
            <w:left w:w="43" w:type="dxa"/>
            <w:right w:w="43" w:type="dxa"/>
          </w:tblCellMar>
        </w:tblPrEx>
        <w:trPr>
          <w:jc w:val="center"/>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862C00" w:rsidRPr="00C4686C" w:rsidP="0026420F">
            <w:pPr>
              <w:rPr>
                <w:rFonts w:ascii="Arial Narrow" w:hAnsi="Arial Narrow" w:cs="Arial Narrow"/>
                <w:sz w:val="20"/>
                <w:szCs w:val="24"/>
              </w:rPr>
            </w:pPr>
            <w:r w:rsidRPr="00C4686C" w:rsidR="00894C99">
              <w:rPr>
                <w:rFonts w:ascii="Arial Narrow" w:hAnsi="Arial Narrow" w:cs="Arial Narrow"/>
                <w:sz w:val="20"/>
                <w:szCs w:val="24"/>
              </w:rPr>
              <w:t>Čl.</w:t>
            </w:r>
            <w:r w:rsidRPr="00C4686C" w:rsidR="007D03E6">
              <w:rPr>
                <w:rFonts w:ascii="Arial Narrow" w:hAnsi="Arial Narrow" w:cs="Arial Narrow"/>
                <w:sz w:val="20"/>
                <w:szCs w:val="24"/>
              </w:rPr>
              <w:t xml:space="preserve"> 147</w:t>
            </w:r>
            <w:r w:rsidRPr="00C4686C" w:rsidR="004A375E">
              <w:rPr>
                <w:rFonts w:ascii="Arial Narrow" w:hAnsi="Arial Narrow" w:cs="Arial Narrow"/>
                <w:sz w:val="20"/>
                <w:szCs w:val="24"/>
              </w:rPr>
              <w:t xml:space="preserve"> ods. 1 </w:t>
            </w:r>
          </w:p>
          <w:p w:rsidR="00862C00" w:rsidRPr="00C4686C" w:rsidP="0026420F">
            <w:pPr>
              <w:rPr>
                <w:rFonts w:ascii="Arial Narrow" w:hAnsi="Arial Narrow" w:cs="Arial Narrow"/>
                <w:sz w:val="20"/>
                <w:szCs w:val="24"/>
              </w:rPr>
            </w:pP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4A375E" w:rsidRPr="00C4686C" w:rsidP="004A375E">
            <w:pPr>
              <w:adjustRightInd w:val="0"/>
              <w:jc w:val="both"/>
              <w:rPr>
                <w:rFonts w:ascii="Arial Narrow" w:hAnsi="Arial Narrow" w:cs="Arial Narrow"/>
                <w:sz w:val="20"/>
                <w:szCs w:val="24"/>
              </w:rPr>
            </w:pPr>
            <w:r w:rsidRPr="00C4686C">
              <w:rPr>
                <w:rFonts w:ascii="Arial Narrow" w:hAnsi="Arial Narrow" w:cs="Arial Narrow"/>
                <w:sz w:val="20"/>
                <w:szCs w:val="24"/>
              </w:rPr>
              <w:t>1. Ak sa dodanie tovaru uvedené v článku 146 ods. 1 písm. b) týka tovaru, ktorý sa má prevážať v osobnej batožine cestujúcich, oslobodenie od dane sa uplatňuje, iba keď sú splnené tieto podmienky:</w:t>
            </w:r>
          </w:p>
          <w:p w:rsidR="004A375E" w:rsidRPr="00C4686C" w:rsidP="004A375E">
            <w:pPr>
              <w:adjustRightInd w:val="0"/>
              <w:jc w:val="both"/>
              <w:rPr>
                <w:rFonts w:ascii="Arial Narrow" w:hAnsi="Arial Narrow" w:cs="Arial Narrow"/>
                <w:sz w:val="20"/>
                <w:szCs w:val="24"/>
              </w:rPr>
            </w:pPr>
            <w:r w:rsidRPr="00C4686C">
              <w:rPr>
                <w:rFonts w:ascii="Arial Narrow" w:hAnsi="Arial Narrow" w:cs="Arial Narrow"/>
                <w:sz w:val="20"/>
                <w:szCs w:val="24"/>
              </w:rPr>
              <w:t>a) cestujúci nie je usadený v Spoločenstve,</w:t>
            </w:r>
          </w:p>
          <w:p w:rsidR="004A375E" w:rsidRPr="00C4686C" w:rsidP="004A375E">
            <w:pPr>
              <w:adjustRightInd w:val="0"/>
              <w:jc w:val="both"/>
              <w:rPr>
                <w:rFonts w:ascii="Arial Narrow" w:hAnsi="Arial Narrow" w:cs="Arial Narrow"/>
                <w:sz w:val="20"/>
                <w:szCs w:val="24"/>
              </w:rPr>
            </w:pPr>
            <w:r w:rsidRPr="00C4686C">
              <w:rPr>
                <w:rFonts w:ascii="Arial Narrow" w:hAnsi="Arial Narrow" w:cs="Arial Narrow"/>
                <w:sz w:val="20"/>
                <w:szCs w:val="24"/>
              </w:rPr>
              <w:t>b) tovar sa prepraví mimo Spoločenstva pred uplynutím tretieho mesiaca nasledujúceho po mesiaci, v ktorom sa dodanie uskutočnilo,</w:t>
            </w:r>
          </w:p>
          <w:p w:rsidR="004A375E" w:rsidRPr="00C4686C" w:rsidP="004A375E">
            <w:pPr>
              <w:adjustRightInd w:val="0"/>
              <w:jc w:val="both"/>
              <w:rPr>
                <w:rFonts w:ascii="Arial Narrow" w:hAnsi="Arial Narrow" w:cs="Arial Narrow"/>
                <w:sz w:val="20"/>
                <w:szCs w:val="24"/>
              </w:rPr>
            </w:pPr>
            <w:r w:rsidRPr="00C4686C">
              <w:rPr>
                <w:rFonts w:ascii="Arial Narrow" w:hAnsi="Arial Narrow" w:cs="Arial Narrow"/>
                <w:sz w:val="20"/>
                <w:szCs w:val="24"/>
              </w:rPr>
              <w:t>c) celková hodnota dodania vrátane DPH je vyššia ako 175 EUR alebo jej ekvivalent v národnej mene, ktorá sa určí ročne s účinnosťou k 1. januáru nasledujúceho roka pomocou prepočítavacieho kurzu platného v prvý októbrový pracovný deň.</w:t>
            </w:r>
          </w:p>
          <w:p w:rsidR="004A375E" w:rsidRPr="000E5712" w:rsidP="004A375E">
            <w:pPr>
              <w:adjustRightInd w:val="0"/>
              <w:jc w:val="both"/>
              <w:rPr>
                <w:rFonts w:ascii="Arial Narrow" w:hAnsi="Arial Narrow" w:cs="Arial Narrow"/>
                <w:sz w:val="20"/>
                <w:szCs w:val="24"/>
              </w:rPr>
            </w:pPr>
            <w:r w:rsidRPr="000E5712">
              <w:rPr>
                <w:rFonts w:ascii="Arial Narrow" w:hAnsi="Arial Narrow" w:cs="Arial Narrow"/>
                <w:sz w:val="20"/>
                <w:szCs w:val="24"/>
              </w:rPr>
              <w:t>Členské štáty však môžu oslobodiť od dane dodanie s celkovou</w:t>
            </w:r>
          </w:p>
          <w:p w:rsidR="00862C00" w:rsidRPr="000E5712" w:rsidP="000E5712">
            <w:pPr>
              <w:adjustRightInd w:val="0"/>
              <w:jc w:val="both"/>
              <w:rPr>
                <w:rFonts w:ascii="Arial Narrow" w:hAnsi="Arial Narrow" w:cs="Arial Narrow"/>
                <w:sz w:val="20"/>
                <w:szCs w:val="24"/>
              </w:rPr>
            </w:pPr>
            <w:r w:rsidRPr="000E5712" w:rsidR="004A375E">
              <w:rPr>
                <w:rFonts w:ascii="Arial Narrow" w:hAnsi="Arial Narrow" w:cs="Arial Narrow"/>
                <w:sz w:val="20"/>
                <w:szCs w:val="24"/>
              </w:rPr>
              <w:t>hodnotou nižšou, než je suma uvedená v písmene c) prvého pododseku.</w:t>
              <w:tab/>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862C00" w:rsidRPr="00C4686C" w:rsidP="007E057C">
            <w:pPr>
              <w:jc w:val="both"/>
              <w:rPr>
                <w:rFonts w:ascii="Arial Narrow" w:hAnsi="Arial Narrow" w:cs="Arial Narrow"/>
                <w:sz w:val="20"/>
                <w:szCs w:val="24"/>
              </w:rPr>
            </w:pPr>
            <w:r w:rsidRPr="00C4686C">
              <w:rPr>
                <w:rFonts w:ascii="Arial Narrow" w:hAnsi="Arial Narrow" w:cs="Arial Narrow"/>
                <w:sz w:val="20"/>
                <w:szCs w:val="24"/>
              </w:rPr>
              <w:t>N</w:t>
            </w:r>
          </w:p>
        </w:tc>
        <w:tc>
          <w:tcPr>
            <w:tcW w:w="900" w:type="dxa"/>
            <w:tcBorders>
              <w:top w:val="single" w:sz="4" w:space="0" w:color="auto"/>
              <w:left w:val="nil"/>
              <w:bottom w:val="single" w:sz="4" w:space="0" w:color="auto"/>
              <w:right w:val="single" w:sz="4" w:space="0" w:color="auto"/>
            </w:tcBorders>
            <w:textDirection w:val="lrTb"/>
            <w:vAlign w:val="top"/>
          </w:tcPr>
          <w:p w:rsidR="004A375E" w:rsidRPr="00C4686C" w:rsidP="004A375E">
            <w:pPr>
              <w:rPr>
                <w:rFonts w:ascii="Arial Narrow" w:hAnsi="Arial Narrow" w:cs="Arial Narrow"/>
                <w:sz w:val="20"/>
                <w:szCs w:val="24"/>
              </w:rPr>
            </w:pPr>
            <w:r w:rsidRPr="00C4686C">
              <w:rPr>
                <w:rFonts w:ascii="Arial Narrow" w:hAnsi="Arial Narrow" w:cs="Arial Narrow"/>
                <w:sz w:val="20"/>
                <w:szCs w:val="24"/>
              </w:rPr>
              <w:t>222/2004 Z.z.</w:t>
            </w:r>
          </w:p>
          <w:p w:rsidR="00917356" w:rsidRPr="00C4686C" w:rsidP="004F4343">
            <w:pPr>
              <w:rPr>
                <w:rFonts w:ascii="Arial Narrow" w:hAnsi="Arial Narrow" w:cs="Arial Narrow"/>
                <w:b/>
                <w:sz w:val="20"/>
                <w:szCs w:val="24"/>
              </w:rPr>
            </w:pPr>
          </w:p>
          <w:p w:rsidR="00917356" w:rsidRPr="00C4686C" w:rsidP="004F4343">
            <w:pPr>
              <w:rPr>
                <w:rFonts w:ascii="Arial Narrow" w:hAnsi="Arial Narrow" w:cs="Arial Narrow"/>
                <w:b/>
                <w:sz w:val="20"/>
                <w:szCs w:val="24"/>
              </w:rPr>
            </w:pPr>
          </w:p>
          <w:p w:rsidR="00917356" w:rsidRPr="00C4686C" w:rsidP="004F4343">
            <w:pPr>
              <w:rPr>
                <w:rFonts w:ascii="Arial Narrow" w:hAnsi="Arial Narrow" w:cs="Arial Narrow"/>
                <w:b/>
                <w:sz w:val="20"/>
                <w:szCs w:val="24"/>
              </w:rPr>
            </w:pPr>
          </w:p>
          <w:p w:rsidR="00917356" w:rsidRPr="00C4686C" w:rsidP="004F4343">
            <w:pPr>
              <w:rPr>
                <w:rFonts w:ascii="Arial Narrow" w:hAnsi="Arial Narrow" w:cs="Arial Narrow"/>
                <w:b/>
                <w:sz w:val="20"/>
                <w:szCs w:val="24"/>
              </w:rPr>
            </w:pPr>
          </w:p>
          <w:p w:rsidR="00917356" w:rsidRPr="00C4686C" w:rsidP="00917356">
            <w:pPr>
              <w:rPr>
                <w:rFonts w:ascii="Arial Narrow" w:hAnsi="Arial Narrow" w:cs="Arial Narrow"/>
                <w:sz w:val="20"/>
                <w:szCs w:val="24"/>
              </w:rPr>
            </w:pPr>
            <w:r w:rsidRPr="00C4686C">
              <w:rPr>
                <w:rFonts w:ascii="Arial Narrow" w:hAnsi="Arial Narrow" w:cs="Arial Narrow"/>
                <w:sz w:val="20"/>
                <w:szCs w:val="24"/>
              </w:rPr>
              <w:t>222/2004 Z.z.</w:t>
            </w:r>
          </w:p>
          <w:p w:rsidR="00862C00" w:rsidRPr="00C4686C" w:rsidP="004F4343">
            <w:pPr>
              <w:rPr>
                <w:rFonts w:ascii="Arial Narrow" w:hAnsi="Arial Narrow" w:cs="Arial Narrow"/>
                <w:b/>
                <w:sz w:val="20"/>
                <w:szCs w:val="24"/>
              </w:rPr>
            </w:pPr>
            <w:r w:rsidRPr="00C4686C" w:rsidR="004A375E">
              <w:rPr>
                <w:rFonts w:ascii="Arial Narrow" w:hAnsi="Arial Narrow" w:cs="Arial Narrow"/>
                <w:b/>
                <w:sz w:val="20"/>
                <w:szCs w:val="24"/>
              </w:rPr>
              <w:t>a n</w:t>
            </w:r>
            <w:r w:rsidRPr="00C4686C">
              <w:rPr>
                <w:rFonts w:ascii="Arial Narrow" w:hAnsi="Arial Narrow" w:cs="Arial Narrow"/>
                <w:b/>
                <w:sz w:val="20"/>
                <w:szCs w:val="24"/>
              </w:rPr>
              <w:t>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17356" w:rsidRPr="00C4686C" w:rsidP="007E057C">
            <w:pPr>
              <w:rPr>
                <w:rFonts w:ascii="Arial Narrow" w:hAnsi="Arial Narrow" w:cs="Arial Narrow"/>
                <w:sz w:val="20"/>
                <w:szCs w:val="24"/>
              </w:rPr>
            </w:pPr>
            <w:r w:rsidRPr="00C4686C" w:rsidR="00862C00">
              <w:rPr>
                <w:rFonts w:ascii="Arial Narrow" w:hAnsi="Arial Narrow" w:cs="Arial Narrow"/>
                <w:sz w:val="20"/>
                <w:szCs w:val="24"/>
              </w:rPr>
              <w:t xml:space="preserve">§ </w:t>
            </w:r>
            <w:r w:rsidRPr="00C4686C" w:rsidR="004A375E">
              <w:rPr>
                <w:rFonts w:ascii="Arial Narrow" w:hAnsi="Arial Narrow" w:cs="Arial Narrow"/>
                <w:sz w:val="20"/>
                <w:szCs w:val="24"/>
              </w:rPr>
              <w:t xml:space="preserve">59 ods. 1 </w:t>
            </w:r>
          </w:p>
          <w:p w:rsidR="00917356" w:rsidRPr="00C4686C" w:rsidP="007E057C">
            <w:pPr>
              <w:rPr>
                <w:rFonts w:ascii="Arial Narrow" w:hAnsi="Arial Narrow" w:cs="Arial Narrow"/>
                <w:sz w:val="20"/>
                <w:szCs w:val="24"/>
              </w:rPr>
            </w:pPr>
          </w:p>
          <w:p w:rsidR="00917356" w:rsidRPr="00C4686C" w:rsidP="007E057C">
            <w:pPr>
              <w:rPr>
                <w:rFonts w:ascii="Arial Narrow" w:hAnsi="Arial Narrow" w:cs="Arial Narrow"/>
                <w:sz w:val="20"/>
                <w:szCs w:val="24"/>
              </w:rPr>
            </w:pPr>
          </w:p>
          <w:p w:rsidR="00917356" w:rsidRPr="00C4686C" w:rsidP="007E057C">
            <w:pPr>
              <w:rPr>
                <w:rFonts w:ascii="Arial Narrow" w:hAnsi="Arial Narrow" w:cs="Arial Narrow"/>
                <w:sz w:val="20"/>
                <w:szCs w:val="24"/>
              </w:rPr>
            </w:pPr>
          </w:p>
          <w:p w:rsidR="00917356" w:rsidRPr="00C4686C" w:rsidP="007E057C">
            <w:pPr>
              <w:rPr>
                <w:rFonts w:ascii="Arial Narrow" w:hAnsi="Arial Narrow" w:cs="Arial Narrow"/>
                <w:sz w:val="20"/>
                <w:szCs w:val="24"/>
              </w:rPr>
            </w:pPr>
          </w:p>
          <w:p w:rsidR="00917356" w:rsidRPr="00C4686C" w:rsidP="007E057C">
            <w:pPr>
              <w:rPr>
                <w:rFonts w:ascii="Arial Narrow" w:hAnsi="Arial Narrow" w:cs="Arial Narrow"/>
                <w:sz w:val="20"/>
                <w:szCs w:val="24"/>
              </w:rPr>
            </w:pPr>
            <w:r w:rsidR="00971F45">
              <w:rPr>
                <w:rFonts w:ascii="Arial Narrow" w:hAnsi="Arial Narrow" w:cs="Arial Narrow"/>
                <w:sz w:val="20"/>
                <w:szCs w:val="24"/>
              </w:rPr>
              <w:t>§ 59</w:t>
            </w:r>
          </w:p>
          <w:p w:rsidR="00862C00" w:rsidRPr="00C4686C" w:rsidP="007E057C">
            <w:pPr>
              <w:rPr>
                <w:rFonts w:ascii="Arial Narrow" w:hAnsi="Arial Narrow" w:cs="Arial Narrow"/>
                <w:sz w:val="20"/>
                <w:szCs w:val="24"/>
              </w:rPr>
            </w:pPr>
            <w:r w:rsidRPr="00C4686C" w:rsidR="004A375E">
              <w:rPr>
                <w:rFonts w:ascii="Arial Narrow" w:hAnsi="Arial Narrow" w:cs="Arial Narrow"/>
                <w:sz w:val="20"/>
                <w:szCs w:val="24"/>
              </w:rPr>
              <w:t>ods. 3</w:t>
            </w:r>
            <w:r w:rsidRPr="00C4686C" w:rsidR="00917356">
              <w:rPr>
                <w:rFonts w:ascii="Arial Narrow" w:hAnsi="Arial Narrow" w:cs="Arial Narrow"/>
                <w:sz w:val="20"/>
                <w:szCs w:val="24"/>
              </w:rPr>
              <w:t xml:space="preserve"> pís.a)</w:t>
            </w:r>
          </w:p>
        </w:tc>
        <w:tc>
          <w:tcPr>
            <w:tcW w:w="6300" w:type="dxa"/>
            <w:tcBorders>
              <w:top w:val="single" w:sz="4" w:space="0" w:color="auto"/>
              <w:left w:val="single" w:sz="4" w:space="0" w:color="auto"/>
              <w:bottom w:val="single" w:sz="4" w:space="0" w:color="auto"/>
              <w:right w:val="single" w:sz="4" w:space="0" w:color="auto"/>
            </w:tcBorders>
            <w:textDirection w:val="lrTb"/>
            <w:vAlign w:val="top"/>
          </w:tcPr>
          <w:p w:rsidR="00917356" w:rsidRPr="00C4686C" w:rsidP="004A375E">
            <w:pPr>
              <w:pStyle w:val="Zkladntext"/>
              <w:spacing w:line="240" w:lineRule="atLeast"/>
              <w:jc w:val="both"/>
              <w:rPr>
                <w:rFonts w:ascii="Arial Narrow" w:hAnsi="Arial Narrow" w:cs="Arial Narrow"/>
                <w:sz w:val="20"/>
                <w:szCs w:val="24"/>
              </w:rPr>
            </w:pPr>
            <w:r w:rsidRPr="00C4686C">
              <w:rPr>
                <w:rFonts w:ascii="Arial Narrow" w:hAnsi="Arial Narrow" w:cs="Arial Narrow"/>
                <w:sz w:val="20"/>
                <w:szCs w:val="24"/>
              </w:rPr>
              <w:t>Fyzická osoba, ktorá nemá trvalý pobyt alebo prechodný pobyt na území Európskych spoločenstiev a ktorá v cestovnom styku vyváža z územia Európskych spoločenstiev tovar neobchodného charakteru v osobnej batožine (ďalej len "cestujúci"), môže požiadať o vrátenie dane zaplatenej v cene vyvezeného tovaru, ktorý kúpila v tuzemsku od platiteľa, s výnimkou pohonných látok.</w:t>
            </w:r>
          </w:p>
          <w:p w:rsidR="00917356" w:rsidRPr="00C4686C" w:rsidP="004A375E">
            <w:pPr>
              <w:pStyle w:val="Zkladntext"/>
              <w:spacing w:line="240" w:lineRule="atLeast"/>
              <w:jc w:val="both"/>
              <w:rPr>
                <w:rFonts w:ascii="Arial Narrow" w:hAnsi="Arial Narrow" w:cs="Arial Narrow"/>
                <w:sz w:val="20"/>
                <w:szCs w:val="24"/>
              </w:rPr>
            </w:pPr>
          </w:p>
          <w:p w:rsidR="004A375E" w:rsidRPr="00C4686C" w:rsidP="004A375E">
            <w:pPr>
              <w:pStyle w:val="Zkladntext"/>
              <w:spacing w:line="240" w:lineRule="atLeast"/>
              <w:jc w:val="both"/>
              <w:rPr>
                <w:rFonts w:ascii="Arial Narrow" w:hAnsi="Arial Narrow" w:cs="Arial Narrow"/>
                <w:sz w:val="20"/>
                <w:szCs w:val="24"/>
              </w:rPr>
            </w:pPr>
            <w:r w:rsidRPr="00C4686C">
              <w:rPr>
                <w:rFonts w:ascii="Arial Narrow" w:hAnsi="Arial Narrow" w:cs="Arial Narrow"/>
                <w:sz w:val="20"/>
                <w:szCs w:val="24"/>
              </w:rPr>
              <w:t>Cestujúci môže požiadať o vrátenie dane, ak</w:t>
            </w:r>
          </w:p>
          <w:p w:rsidR="00862C00" w:rsidRPr="00C4686C" w:rsidP="004A375E">
            <w:pPr>
              <w:pStyle w:val="Zkladntext"/>
              <w:spacing w:line="240" w:lineRule="atLeast"/>
              <w:jc w:val="both"/>
              <w:rPr>
                <w:rFonts w:ascii="Arial Narrow" w:hAnsi="Arial Narrow" w:cs="Arial Narrow"/>
                <w:sz w:val="20"/>
                <w:szCs w:val="24"/>
              </w:rPr>
            </w:pPr>
            <w:r w:rsidRPr="00C4686C" w:rsidR="004A375E">
              <w:rPr>
                <w:rFonts w:ascii="Arial Narrow" w:hAnsi="Arial Narrow" w:cs="Arial Narrow"/>
                <w:sz w:val="20"/>
                <w:szCs w:val="24"/>
              </w:rPr>
              <w:t>a) celková hodnota vrátane dane vyvezeného tovaru uvedená v doklade o kúpe tovaru je vyššia ako</w:t>
            </w:r>
            <w:r w:rsidRPr="00C4686C" w:rsidR="00917356">
              <w:rPr>
                <w:rFonts w:ascii="Arial Narrow" w:hAnsi="Arial Narrow" w:cs="Arial Narrow"/>
                <w:sz w:val="20"/>
                <w:szCs w:val="24"/>
              </w:rPr>
              <w:t xml:space="preserve"> </w:t>
            </w:r>
            <w:r w:rsidRPr="00C4686C" w:rsidR="00917356">
              <w:rPr>
                <w:rFonts w:ascii="Arial Narrow" w:hAnsi="Arial Narrow" w:cs="Arial Narrow"/>
                <w:b/>
                <w:sz w:val="20"/>
                <w:szCs w:val="24"/>
              </w:rPr>
              <w:t>175 eur</w:t>
            </w:r>
            <w:r w:rsidRPr="00C4686C" w:rsidR="004A375E">
              <w:rPr>
                <w:rFonts w:ascii="Arial Narrow" w:hAnsi="Arial Narrow" w:cs="Arial Narrow"/>
                <w:sz w:val="20"/>
                <w:szCs w:val="24"/>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62C00" w:rsidRPr="00C4686C" w:rsidP="007E057C">
            <w:pPr>
              <w:jc w:val="both"/>
              <w:rPr>
                <w:rFonts w:ascii="Arial Narrow" w:hAnsi="Arial Narrow" w:cs="Arial Narrow"/>
                <w:sz w:val="20"/>
                <w:szCs w:val="24"/>
              </w:rPr>
            </w:pPr>
            <w:r w:rsidRPr="00C4686C">
              <w:rPr>
                <w:rFonts w:ascii="Arial Narrow" w:hAnsi="Arial Narrow" w:cs="Arial Narrow"/>
                <w:sz w:val="20"/>
                <w:szCs w:val="24"/>
              </w:rPr>
              <w:t>Ú</w:t>
            </w: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862C00" w:rsidRPr="00C4686C" w:rsidP="007E057C">
            <w:pPr>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62C00" w:rsidRPr="00C4686C" w:rsidP="007E057C">
            <w:pPr>
              <w:pStyle w:val="Heading1"/>
              <w:jc w:val="both"/>
              <w:rPr>
                <w:rFonts w:ascii="Arial Narrow" w:hAnsi="Arial Narrow" w:cs="Arial Narrow"/>
                <w:b w:val="0"/>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862C00" w:rsidRPr="00C4686C" w:rsidP="007E057C">
            <w:pPr>
              <w:pStyle w:val="Heading1"/>
              <w:jc w:val="both"/>
              <w:rPr>
                <w:rFonts w:ascii="Arial Narrow" w:hAnsi="Arial Narrow" w:cs="Arial Narrow"/>
                <w:b w:val="0"/>
                <w:sz w:val="20"/>
                <w:szCs w:val="24"/>
              </w:rPr>
            </w:pPr>
          </w:p>
        </w:tc>
      </w:tr>
      <w:tr>
        <w:tblPrEx>
          <w:tblW w:w="16306" w:type="dxa"/>
          <w:jc w:val="center"/>
          <w:tblInd w:w="0" w:type="dxa"/>
          <w:tblLayout w:type="fixed"/>
          <w:tblCellMar>
            <w:left w:w="43" w:type="dxa"/>
            <w:right w:w="43" w:type="dxa"/>
          </w:tblCellMar>
        </w:tblPrEx>
        <w:trPr>
          <w:jc w:val="center"/>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C4686C" w:rsidP="0026420F">
            <w:pPr>
              <w:rPr>
                <w:rFonts w:ascii="Arial Narrow" w:hAnsi="Arial Narrow" w:cs="Arial Narrow"/>
                <w:sz w:val="20"/>
                <w:szCs w:val="24"/>
              </w:rPr>
            </w:pPr>
            <w:r w:rsidRPr="00C4686C" w:rsidR="00EF7EEB">
              <w:rPr>
                <w:rFonts w:ascii="Arial Narrow" w:hAnsi="Arial Narrow" w:cs="Arial Narrow"/>
                <w:sz w:val="20"/>
                <w:szCs w:val="24"/>
              </w:rPr>
              <w:t xml:space="preserve">Čl. </w:t>
            </w:r>
            <w:r>
              <w:rPr>
                <w:rFonts w:ascii="Arial Narrow" w:hAnsi="Arial Narrow" w:cs="Arial Narrow"/>
                <w:sz w:val="20"/>
                <w:szCs w:val="24"/>
              </w:rPr>
              <w:t xml:space="preserve">287 </w:t>
            </w:r>
          </w:p>
          <w:p w:rsidR="00C4686C" w:rsidP="0026420F">
            <w:pPr>
              <w:rPr>
                <w:rFonts w:ascii="Arial Narrow" w:hAnsi="Arial Narrow" w:cs="Arial Narrow"/>
                <w:sz w:val="20"/>
                <w:szCs w:val="24"/>
              </w:rPr>
            </w:pPr>
          </w:p>
          <w:p w:rsidR="00C4686C" w:rsidP="0026420F">
            <w:pPr>
              <w:rPr>
                <w:rFonts w:ascii="Arial Narrow" w:hAnsi="Arial Narrow" w:cs="Arial Narrow"/>
                <w:sz w:val="20"/>
                <w:szCs w:val="24"/>
              </w:rPr>
            </w:pPr>
          </w:p>
          <w:p w:rsidR="00EF7EEB" w:rsidRPr="00C4686C" w:rsidP="0026420F">
            <w:pPr>
              <w:rPr>
                <w:rFonts w:ascii="Arial Narrow" w:hAnsi="Arial Narrow" w:cs="Arial Narrow"/>
                <w:sz w:val="20"/>
                <w:szCs w:val="24"/>
              </w:rPr>
            </w:pPr>
            <w:r w:rsidR="00C4686C">
              <w:rPr>
                <w:rFonts w:ascii="Arial Narrow" w:hAnsi="Arial Narrow" w:cs="Arial Narrow"/>
                <w:sz w:val="20"/>
                <w:szCs w:val="24"/>
              </w:rPr>
              <w:t xml:space="preserve">bod 16 </w:t>
            </w:r>
          </w:p>
        </w:tc>
        <w:tc>
          <w:tcPr>
            <w:tcW w:w="5580" w:type="dxa"/>
            <w:gridSpan w:val="2"/>
            <w:tcBorders>
              <w:top w:val="single" w:sz="4" w:space="0" w:color="auto"/>
              <w:left w:val="single" w:sz="4" w:space="0" w:color="auto"/>
              <w:bottom w:val="single" w:sz="4" w:space="0" w:color="auto"/>
              <w:right w:val="single" w:sz="4" w:space="0" w:color="auto"/>
            </w:tcBorders>
            <w:textDirection w:val="lrTb"/>
            <w:vAlign w:val="top"/>
          </w:tcPr>
          <w:p w:rsidR="00C4686C" w:rsidRPr="009E47F7" w:rsidP="00C4686C">
            <w:pPr>
              <w:adjustRightInd w:val="0"/>
              <w:rPr>
                <w:rFonts w:ascii="Arial Narrow" w:hAnsi="Arial Narrow" w:cs="Arial Narrow"/>
                <w:sz w:val="20"/>
                <w:szCs w:val="24"/>
              </w:rPr>
            </w:pPr>
            <w:r w:rsidRPr="009E47F7">
              <w:rPr>
                <w:rFonts w:ascii="Arial Narrow" w:hAnsi="Arial Narrow" w:cs="Arial Narrow"/>
                <w:sz w:val="20"/>
                <w:szCs w:val="24"/>
              </w:rPr>
              <w:t>Členské štáty, ktoré pristúpili po 1. januári 1978, môžu oslobodiť</w:t>
            </w:r>
          </w:p>
          <w:p w:rsidR="00C4686C" w:rsidRPr="009E47F7" w:rsidP="00C4686C">
            <w:pPr>
              <w:adjustRightInd w:val="0"/>
              <w:rPr>
                <w:rFonts w:ascii="Arial Narrow" w:hAnsi="Arial Narrow" w:cs="Arial Narrow"/>
                <w:sz w:val="20"/>
                <w:szCs w:val="24"/>
              </w:rPr>
            </w:pPr>
            <w:r w:rsidRPr="009E47F7">
              <w:rPr>
                <w:rFonts w:ascii="Arial Narrow" w:hAnsi="Arial Narrow" w:cs="Arial Narrow"/>
                <w:sz w:val="20"/>
                <w:szCs w:val="24"/>
              </w:rPr>
              <w:t>od dane zdaniteľné osoby, ktorých ročný obrat nie je vyšší ako</w:t>
            </w:r>
          </w:p>
          <w:p w:rsidR="00C4686C" w:rsidRPr="009E47F7" w:rsidP="00C4686C">
            <w:pPr>
              <w:adjustRightInd w:val="0"/>
              <w:rPr>
                <w:rFonts w:ascii="Arial Narrow" w:hAnsi="Arial Narrow" w:cs="Arial Narrow"/>
                <w:sz w:val="20"/>
                <w:szCs w:val="24"/>
              </w:rPr>
            </w:pPr>
            <w:r w:rsidRPr="009E47F7">
              <w:rPr>
                <w:rFonts w:ascii="Arial Narrow" w:hAnsi="Arial Narrow" w:cs="Arial Narrow"/>
                <w:sz w:val="20"/>
                <w:szCs w:val="24"/>
              </w:rPr>
              <w:t>ekvivalent týchto hodnôt v národnej mene pri prepočítacom</w:t>
            </w:r>
          </w:p>
          <w:p w:rsidR="00C4686C" w:rsidRPr="009E47F7" w:rsidP="00C4686C">
            <w:pPr>
              <w:adjustRightInd w:val="0"/>
              <w:rPr>
                <w:rFonts w:ascii="Arial Narrow" w:hAnsi="Arial Narrow" w:cs="Arial Narrow"/>
                <w:sz w:val="20"/>
                <w:szCs w:val="24"/>
              </w:rPr>
            </w:pPr>
            <w:r w:rsidRPr="009E47F7">
              <w:rPr>
                <w:rFonts w:ascii="Arial Narrow" w:hAnsi="Arial Narrow" w:cs="Arial Narrow"/>
                <w:sz w:val="20"/>
                <w:szCs w:val="24"/>
              </w:rPr>
              <w:t>kurze platnom v deň ich pristúpenia:</w:t>
            </w:r>
          </w:p>
          <w:p w:rsidR="00C4686C" w:rsidRPr="009E47F7" w:rsidP="00C4686C">
            <w:pPr>
              <w:adjustRightInd w:val="0"/>
              <w:rPr>
                <w:rFonts w:ascii="Arial Narrow" w:hAnsi="Arial Narrow" w:cs="Arial Narrow"/>
                <w:sz w:val="20"/>
                <w:szCs w:val="24"/>
              </w:rPr>
            </w:pPr>
            <w:r w:rsidRPr="009E47F7">
              <w:rPr>
                <w:rFonts w:ascii="Arial Narrow" w:hAnsi="Arial Narrow" w:cs="Arial Narrow"/>
                <w:sz w:val="20"/>
                <w:szCs w:val="24"/>
              </w:rPr>
              <w:t>16. Slovensko: 35 000 EUR.</w:t>
            </w:r>
          </w:p>
          <w:p w:rsidR="00EF7EEB" w:rsidRPr="00C4686C" w:rsidP="00C4686C">
            <w:pPr>
              <w:pStyle w:val="tlNormlnywebovArialNarrow10ptPodaokrajaVavo1"/>
              <w:rPr>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EF7EEB" w:rsidP="007E057C">
            <w:pPr>
              <w:jc w:val="both"/>
              <w:rPr>
                <w:rFonts w:ascii="Arial Narrow" w:hAnsi="Arial Narrow" w:cs="Arial Narrow"/>
                <w:sz w:val="20"/>
                <w:szCs w:val="24"/>
              </w:rPr>
            </w:pPr>
            <w:r w:rsidRPr="00C4686C" w:rsidR="005335DC">
              <w:rPr>
                <w:rFonts w:ascii="Arial Narrow" w:hAnsi="Arial Narrow" w:cs="Arial Narrow"/>
                <w:sz w:val="20"/>
                <w:szCs w:val="24"/>
              </w:rPr>
              <w:t>N</w:t>
            </w: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6420F" w:rsidRPr="00C4686C" w:rsidP="0026420F">
            <w:pPr>
              <w:rPr>
                <w:rFonts w:ascii="Arial Narrow" w:hAnsi="Arial Narrow" w:cs="Arial Narrow"/>
                <w:sz w:val="20"/>
                <w:szCs w:val="24"/>
              </w:rPr>
            </w:pPr>
            <w:r w:rsidRPr="00C4686C">
              <w:rPr>
                <w:rFonts w:ascii="Arial Narrow" w:hAnsi="Arial Narrow" w:cs="Arial Narrow"/>
                <w:sz w:val="20"/>
                <w:szCs w:val="24"/>
              </w:rPr>
              <w:t>222/2004 Z.z.</w:t>
            </w:r>
          </w:p>
          <w:p w:rsidR="00EF7EEB" w:rsidRPr="00C4686C" w:rsidP="0026420F">
            <w:pPr>
              <w:rPr>
                <w:rFonts w:ascii="Arial Narrow" w:hAnsi="Arial Narrow" w:cs="Arial Narrow"/>
                <w:b/>
                <w:sz w:val="20"/>
                <w:szCs w:val="24"/>
              </w:rPr>
            </w:pPr>
            <w:r w:rsidR="00E57598">
              <w:rPr>
                <w:rFonts w:ascii="Arial Narrow" w:hAnsi="Arial Narrow" w:cs="Arial Narrow"/>
                <w:b/>
                <w:sz w:val="20"/>
                <w:szCs w:val="24"/>
              </w:rPr>
              <w:t>a</w:t>
            </w:r>
            <w:r w:rsidRPr="00C4686C" w:rsidR="0026420F">
              <w:rPr>
                <w:rFonts w:ascii="Arial Narrow" w:hAnsi="Arial Narrow" w:cs="Arial Narrow"/>
                <w:b/>
                <w:sz w:val="20"/>
                <w:szCs w:val="24"/>
              </w:rPr>
              <w:t xml:space="preserve">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22506" w:rsidP="007E057C">
            <w:pPr>
              <w:rPr>
                <w:rFonts w:ascii="Arial Narrow" w:hAnsi="Arial Narrow" w:cs="Arial Narrow"/>
                <w:sz w:val="20"/>
                <w:szCs w:val="24"/>
              </w:rPr>
            </w:pPr>
            <w:r w:rsidRPr="00C4686C" w:rsidR="004F4343">
              <w:rPr>
                <w:rFonts w:ascii="Arial Narrow" w:hAnsi="Arial Narrow" w:cs="Arial Narrow"/>
                <w:sz w:val="20"/>
                <w:szCs w:val="24"/>
              </w:rPr>
              <w:t>§</w:t>
            </w:r>
            <w:r w:rsidR="00C4686C">
              <w:rPr>
                <w:rFonts w:ascii="Arial Narrow" w:hAnsi="Arial Narrow" w:cs="Arial Narrow"/>
                <w:sz w:val="20"/>
                <w:szCs w:val="24"/>
              </w:rPr>
              <w:t xml:space="preserve"> 4 ods.1 </w:t>
            </w: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C4686C" w:rsidP="007E057C">
            <w:pPr>
              <w:rPr>
                <w:rFonts w:ascii="Arial Narrow" w:hAnsi="Arial Narrow" w:cs="Arial Narrow"/>
                <w:sz w:val="20"/>
                <w:szCs w:val="24"/>
              </w:rPr>
            </w:pPr>
            <w:r w:rsidR="00971F45">
              <w:rPr>
                <w:rFonts w:ascii="Arial Narrow" w:hAnsi="Arial Narrow" w:cs="Arial Narrow"/>
                <w:sz w:val="20"/>
                <w:szCs w:val="24"/>
              </w:rPr>
              <w:t xml:space="preserve">§ 4 </w:t>
            </w:r>
            <w:r>
              <w:rPr>
                <w:rFonts w:ascii="Arial Narrow" w:hAnsi="Arial Narrow" w:cs="Arial Narrow"/>
                <w:sz w:val="20"/>
                <w:szCs w:val="24"/>
              </w:rPr>
              <w:t xml:space="preserve">ods.2  </w:t>
            </w: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022506" w:rsidP="007E057C">
            <w:pPr>
              <w:rPr>
                <w:rFonts w:ascii="Arial Narrow" w:hAnsi="Arial Narrow" w:cs="Arial Narrow"/>
                <w:sz w:val="20"/>
                <w:szCs w:val="24"/>
              </w:rPr>
            </w:pPr>
          </w:p>
          <w:p w:rsidR="00EF7EEB" w:rsidRPr="00C4686C" w:rsidP="007E057C">
            <w:pPr>
              <w:rPr>
                <w:rFonts w:ascii="Arial Narrow" w:hAnsi="Arial Narrow" w:cs="Arial Narrow"/>
                <w:sz w:val="20"/>
                <w:szCs w:val="24"/>
              </w:rPr>
            </w:pPr>
            <w:r w:rsidR="00C4686C">
              <w:rPr>
                <w:rFonts w:ascii="Arial Narrow" w:hAnsi="Arial Narrow" w:cs="Arial Narrow"/>
                <w:sz w:val="20"/>
                <w:szCs w:val="24"/>
              </w:rPr>
              <w:t>§</w:t>
            </w:r>
            <w:r w:rsidR="00022506">
              <w:rPr>
                <w:rFonts w:ascii="Arial Narrow" w:hAnsi="Arial Narrow" w:cs="Arial Narrow"/>
                <w:sz w:val="20"/>
                <w:szCs w:val="24"/>
              </w:rPr>
              <w:t xml:space="preserve"> </w:t>
            </w:r>
            <w:r w:rsidR="00C4686C">
              <w:rPr>
                <w:rFonts w:ascii="Arial Narrow" w:hAnsi="Arial Narrow" w:cs="Arial Narrow"/>
                <w:sz w:val="20"/>
                <w:szCs w:val="24"/>
              </w:rPr>
              <w:t xml:space="preserve"> 81 ods.1</w:t>
            </w:r>
            <w:r w:rsidRPr="00C4686C" w:rsidR="004F4343">
              <w:rPr>
                <w:rFonts w:ascii="Arial Narrow" w:hAnsi="Arial Narrow" w:cs="Arial Narrow"/>
                <w:sz w:val="20"/>
                <w:szCs w:val="24"/>
              </w:rPr>
              <w:t xml:space="preserve"> </w:t>
            </w:r>
          </w:p>
        </w:tc>
        <w:tc>
          <w:tcPr>
            <w:tcW w:w="6300" w:type="dxa"/>
            <w:tcBorders>
              <w:top w:val="single" w:sz="4" w:space="0" w:color="auto"/>
              <w:left w:val="single" w:sz="4" w:space="0" w:color="auto"/>
              <w:bottom w:val="single" w:sz="4" w:space="0" w:color="auto"/>
              <w:right w:val="single" w:sz="4" w:space="0" w:color="auto"/>
            </w:tcBorders>
            <w:textDirection w:val="lrTb"/>
            <w:vAlign w:val="top"/>
          </w:tcPr>
          <w:p w:rsidR="00EF7EEB" w:rsidP="004F4343">
            <w:pPr>
              <w:pStyle w:val="BodyText2"/>
              <w:jc w:val="both"/>
              <w:rPr>
                <w:rFonts w:ascii="Arial Narrow" w:hAnsi="Arial Narrow" w:cs="Arial Narrow"/>
                <w:szCs w:val="24"/>
              </w:rPr>
            </w:pPr>
            <w:r w:rsidRPr="00C4686C" w:rsidR="00C4686C">
              <w:rPr>
                <w:rFonts w:ascii="Arial Narrow" w:hAnsi="Arial Narrow" w:cs="Arial Narrow"/>
                <w:szCs w:val="24"/>
              </w:rPr>
              <w:t xml:space="preserve">Zdaniteľná osoba, ktorá má sídlo, miesto podnikania alebo prevádzkareň v tuzemsku, a ak nemá takéto miesto, ale má bydlisko v tuzemsku alebo sa v tuzemsku obvykle zdržiava, a ktorá dosiahla za najviac 12 predchádzajúcich po sebe nasledujúcich kalendárnych mesiacov obrat </w:t>
            </w:r>
            <w:r w:rsidRPr="00C4686C" w:rsidR="00784D62">
              <w:rPr>
                <w:rFonts w:ascii="Arial Narrow" w:hAnsi="Arial Narrow" w:cs="Arial Narrow"/>
                <w:b/>
                <w:szCs w:val="24"/>
              </w:rPr>
              <w:t>35 000 eur</w:t>
            </w:r>
            <w:r w:rsidRPr="00C4686C" w:rsidR="00C4686C">
              <w:rPr>
                <w:rFonts w:ascii="Arial Narrow" w:hAnsi="Arial Narrow" w:cs="Arial Narrow"/>
                <w:szCs w:val="24"/>
              </w:rPr>
              <w:t>, je povinná podať daňovému úradu žiadosť o registráciu pre daň. Zdaniteľná osoba je povinná podať žiadosť o registráciu pre daň do 20. dňa kalendárneho mesiaca nasledujúceho po mesiaci, v ktorom dosiahla obrat podľa prvej vety.</w:t>
            </w:r>
          </w:p>
          <w:p w:rsidR="00022506" w:rsidP="004F4343">
            <w:pPr>
              <w:pStyle w:val="BodyText2"/>
              <w:jc w:val="both"/>
              <w:rPr>
                <w:rFonts w:ascii="Arial Narrow" w:hAnsi="Arial Narrow" w:cs="Arial Narrow"/>
                <w:szCs w:val="24"/>
              </w:rPr>
            </w:pPr>
          </w:p>
          <w:p w:rsidR="00022506" w:rsidP="004F4343">
            <w:pPr>
              <w:pStyle w:val="BodyText2"/>
              <w:jc w:val="both"/>
              <w:rPr>
                <w:rFonts w:ascii="Arial Narrow" w:hAnsi="Arial Narrow" w:cs="Arial Narrow"/>
                <w:szCs w:val="24"/>
              </w:rPr>
            </w:pPr>
            <w:r w:rsidRPr="00022506">
              <w:rPr>
                <w:rFonts w:ascii="Arial Narrow" w:hAnsi="Arial Narrow" w:cs="Arial Narrow"/>
                <w:szCs w:val="24"/>
              </w:rPr>
              <w:t xml:space="preserve">Zdaniteľné osoby, ktoré majú sídlo, miesto podnikania alebo prevádzkareň v tuzemsku a ktoré spoločne podnikajú na základe zmluvy o združení 3) alebo inej obdobnej zmluvy (ďalej len "zmluva o združení"), sú povinné podať žiadosť o registráciu pre daň, ak za najviac 12 predchádzajúcich po sebe nasledujúcich kalendárnych mesiacov dosiahnu celkový obrat </w:t>
            </w:r>
            <w:r w:rsidRPr="00C4686C">
              <w:rPr>
                <w:rFonts w:ascii="Arial Narrow" w:hAnsi="Arial Narrow" w:cs="Arial Narrow"/>
                <w:b/>
                <w:szCs w:val="24"/>
              </w:rPr>
              <w:t>35 000 eur</w:t>
            </w:r>
            <w:r w:rsidRPr="00022506">
              <w:rPr>
                <w:rFonts w:ascii="Arial Narrow" w:hAnsi="Arial Narrow" w:cs="Arial Narrow"/>
                <w:szCs w:val="24"/>
              </w:rPr>
              <w:t xml:space="preserve">. Do celkového obratu sa započítavajú obraty jednotlivých osôb a obrat z ich spoločného podnikania. Zdaniteľné osoby sú povinné podať jednotlivo žiadosť o registráciu pre daň do 20. dňa kalendárneho mesiaca nasledujúceho po mesiaci, v ktorom dosiahli obrat </w:t>
            </w:r>
            <w:r w:rsidRPr="00C4686C">
              <w:rPr>
                <w:rFonts w:ascii="Arial Narrow" w:hAnsi="Arial Narrow" w:cs="Arial Narrow"/>
                <w:b/>
                <w:szCs w:val="24"/>
              </w:rPr>
              <w:t>35 000 eur</w:t>
            </w:r>
            <w:r w:rsidRPr="00022506">
              <w:rPr>
                <w:rFonts w:ascii="Arial Narrow" w:hAnsi="Arial Narrow" w:cs="Arial Narrow"/>
                <w:szCs w:val="24"/>
              </w:rPr>
              <w:t>. Ak zdaniteľná osoba, ktorá nie je platiteľom dane, uzavrie zmluvu o združení s platiteľom dane, je povinná podať žiadosť o registráciu pre daň najneskôr do desiatich dní odo dňa uzavretia tejto zmluvy.</w:t>
            </w:r>
          </w:p>
          <w:p w:rsidR="002D3B30" w:rsidP="004F4343">
            <w:pPr>
              <w:pStyle w:val="BodyText2"/>
              <w:jc w:val="both"/>
              <w:rPr>
                <w:rFonts w:ascii="Arial Narrow" w:hAnsi="Arial Narrow" w:cs="Arial Narrow"/>
                <w:szCs w:val="24"/>
              </w:rPr>
            </w:pPr>
          </w:p>
          <w:p w:rsidR="002D3B30" w:rsidRPr="002D3B30" w:rsidP="004F4343">
            <w:pPr>
              <w:pStyle w:val="BodyText2"/>
              <w:jc w:val="both"/>
              <w:rPr>
                <w:rFonts w:ascii="Arial Narrow" w:hAnsi="Arial Narrow" w:cs="Arial Narrow"/>
                <w:szCs w:val="24"/>
              </w:rPr>
            </w:pPr>
            <w:r w:rsidRPr="002D3B30">
              <w:rPr>
                <w:rFonts w:ascii="Arial Narrow" w:hAnsi="Arial Narrow" w:cs="Arial Narrow"/>
                <w:szCs w:val="24"/>
              </w:rPr>
              <w:t xml:space="preserve">Platiteľ registrovaný podľa § 4 môže požiadať o zrušenie registrácie pre daň najskôr po uplynutí jedného roka odo dňa, keď sa stal platiteľom, ak jeho obrat nedosiahol za 12 predchádzajúcich po sebe nasledujúcich kalendárnych mesiacov sumu </w:t>
            </w:r>
            <w:r w:rsidRPr="00C4686C">
              <w:rPr>
                <w:rFonts w:ascii="Arial Narrow" w:hAnsi="Arial Narrow" w:cs="Arial Narrow"/>
                <w:b/>
                <w:szCs w:val="24"/>
              </w:rPr>
              <w:t>35 000 eur</w:t>
            </w:r>
            <w:r w:rsidRPr="002D3B30">
              <w:rPr>
                <w:rFonts w:ascii="Arial Narrow" w:hAnsi="Arial Narrow" w:cs="Arial Narrow"/>
                <w:szCs w:val="24"/>
              </w:rPr>
              <w:t>. Platitelia, ktorí podnikajú spoločne na základe zmluvy o združení, započítavajú do obratu svoje obraty a obrat zo spoločného podnikania.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F7EEB" w:rsidRPr="00C4686C" w:rsidP="007E057C">
            <w:pPr>
              <w:jc w:val="both"/>
              <w:rPr>
                <w:rFonts w:ascii="Arial Narrow" w:hAnsi="Arial Narrow" w:cs="Arial Narrow"/>
                <w:sz w:val="20"/>
                <w:szCs w:val="24"/>
              </w:rPr>
            </w:pPr>
            <w:r w:rsidRPr="00C4686C" w:rsidR="005335DC">
              <w:rPr>
                <w:rFonts w:ascii="Arial Narrow" w:hAnsi="Arial Narrow" w:cs="Arial Narrow"/>
                <w:sz w:val="20"/>
                <w:szCs w:val="24"/>
              </w:rPr>
              <w:t>Ú</w:t>
            </w:r>
          </w:p>
          <w:p w:rsidR="005335DC" w:rsidRPr="00C4686C" w:rsidP="007E057C">
            <w:pPr>
              <w:jc w:val="both"/>
              <w:rPr>
                <w:rFonts w:ascii="Arial Narrow" w:hAnsi="Arial Narrow" w:cs="Arial Narrow"/>
                <w:sz w:val="20"/>
                <w:szCs w:val="24"/>
              </w:rPr>
            </w:pPr>
          </w:p>
          <w:p w:rsidR="005335DC" w:rsidP="007E057C">
            <w:pPr>
              <w:jc w:val="both"/>
              <w:rPr>
                <w:rFonts w:ascii="Arial Narrow" w:hAnsi="Arial Narrow" w:cs="Arial Narrow"/>
                <w:sz w:val="20"/>
                <w:szCs w:val="24"/>
              </w:rPr>
            </w:pPr>
          </w:p>
          <w:p w:rsidR="00C4686C" w:rsidP="007E057C">
            <w:pPr>
              <w:jc w:val="both"/>
              <w:rPr>
                <w:rFonts w:ascii="Arial Narrow" w:hAnsi="Arial Narrow" w:cs="Arial Narrow"/>
                <w:sz w:val="20"/>
                <w:szCs w:val="24"/>
              </w:rPr>
            </w:pPr>
          </w:p>
          <w:p w:rsidR="00C4686C" w:rsidRPr="00C4686C" w:rsidP="007E057C">
            <w:pPr>
              <w:jc w:val="both"/>
              <w:rPr>
                <w:rFonts w:ascii="Arial Narrow" w:hAnsi="Arial Narrow" w:cs="Arial Narrow"/>
                <w:sz w:val="20"/>
                <w:szCs w:val="24"/>
              </w:rPr>
            </w:pPr>
          </w:p>
          <w:p w:rsidR="005335DC" w:rsidRPr="00C4686C" w:rsidP="007E057C">
            <w:pPr>
              <w:jc w:val="both"/>
              <w:rPr>
                <w:rFonts w:ascii="Arial Narrow" w:hAnsi="Arial Narrow" w:cs="Arial Narrow"/>
                <w:sz w:val="20"/>
                <w:szCs w:val="24"/>
              </w:rPr>
            </w:pPr>
          </w:p>
        </w:tc>
        <w:tc>
          <w:tcPr>
            <w:tcW w:w="646" w:type="dxa"/>
            <w:tcBorders>
              <w:top w:val="single" w:sz="4" w:space="0" w:color="auto"/>
              <w:left w:val="single" w:sz="4" w:space="0" w:color="auto"/>
              <w:bottom w:val="single" w:sz="4" w:space="0" w:color="auto"/>
              <w:right w:val="single" w:sz="4" w:space="0" w:color="auto"/>
            </w:tcBorders>
            <w:textDirection w:val="lrTb"/>
            <w:vAlign w:val="top"/>
          </w:tcPr>
          <w:p w:rsidR="00EF7EEB" w:rsidRPr="00C4686C" w:rsidP="007E057C">
            <w:pPr>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F7EEB" w:rsidRPr="00C4686C" w:rsidP="007E057C">
            <w:pPr>
              <w:pStyle w:val="Heading1"/>
              <w:jc w:val="both"/>
              <w:rPr>
                <w:rFonts w:ascii="Arial Narrow" w:hAnsi="Arial Narrow" w:cs="Arial Narrow"/>
                <w:b w:val="0"/>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EF7EEB" w:rsidRPr="00C4686C" w:rsidP="007E057C">
            <w:pPr>
              <w:pStyle w:val="Heading1"/>
              <w:jc w:val="both"/>
              <w:rPr>
                <w:rFonts w:ascii="Arial Narrow" w:hAnsi="Arial Narrow" w:cs="Arial Narrow"/>
                <w:b w:val="0"/>
                <w:sz w:val="20"/>
                <w:szCs w:val="24"/>
              </w:rPr>
            </w:pPr>
          </w:p>
        </w:tc>
      </w:tr>
    </w:tbl>
    <w:p w:rsidR="003D3D63" w:rsidRPr="00C4686C" w:rsidP="007E057C">
      <w:pPr>
        <w:autoSpaceDE/>
        <w:autoSpaceDN/>
        <w:jc w:val="both"/>
        <w:rPr>
          <w:rFonts w:ascii="Arial Narrow" w:hAnsi="Arial Narrow" w:cs="Arial Narrow"/>
          <w:sz w:val="20"/>
          <w:szCs w:val="24"/>
        </w:rPr>
      </w:pPr>
    </w:p>
    <w:sectPr w:rsidSect="00622B73">
      <w:footerReference w:type="default" r:id="rId4"/>
      <w:pgSz w:w="16838" w:h="11906" w:orient="landscape" w:code="9"/>
      <w:pgMar w:top="851" w:right="851" w:bottom="851" w:left="851" w:header="284" w:footer="284"/>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7E" w:rsidP="009D2926">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2</w:t>
    </w:r>
    <w:r>
      <w:rPr>
        <w:rStyle w:val="PageNumber"/>
        <w:rFonts w:ascii="Times New Roman" w:hAnsi="Times New Roman" w:cs="Times New Roman"/>
        <w:szCs w:val="24"/>
      </w:rPr>
      <w:fldChar w:fldCharType="end"/>
    </w:r>
  </w:p>
  <w:p w:rsidR="004F5E7E">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6E5AD6"/>
    <w:multiLevelType w:val="multilevel"/>
    <w:tmpl w:val="CF94F59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lvl>
  </w:abstractNum>
  <w:abstractNum w:abstractNumId="5">
    <w:nsid w:val="13D1616F"/>
    <w:multiLevelType w:val="hybridMultilevel"/>
    <w:tmpl w:val="E534B2D8"/>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984025"/>
    <w:multiLevelType w:val="hybridMultilevel"/>
    <w:tmpl w:val="F816F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EA54D6"/>
    <w:multiLevelType w:val="multilevel"/>
    <w:tmpl w:val="5D3AFEE6"/>
    <w:lvl w:ilvl="0">
      <w:start w:val="1"/>
      <w:numFmt w:val="decimal"/>
      <w:lvlText w:val="(%1)"/>
      <w:lvlJc w:val="left"/>
      <w:pPr>
        <w:tabs>
          <w:tab w:val="num" w:pos="1125"/>
        </w:tabs>
        <w:ind w:left="1125" w:hanging="420"/>
      </w:pPr>
      <w:rPr>
        <w:rFonts w:hint="default"/>
        <w:i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1B815B0E"/>
    <w:multiLevelType w:val="multilevel"/>
    <w:tmpl w:val="750A6686"/>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9B4CD7"/>
    <w:multiLevelType w:val="singleLevel"/>
    <w:tmpl w:val="5728EEB0"/>
    <w:lvl w:ilvl="0">
      <w:start w:val="1"/>
      <w:numFmt w:val="lowerLetter"/>
      <w:lvlText w:val="%1)"/>
      <w:lvlJc w:val="left"/>
      <w:pPr>
        <w:tabs>
          <w:tab w:val="num" w:pos="360"/>
        </w:tabs>
        <w:ind w:left="360" w:hanging="360"/>
      </w:pPr>
    </w:lvl>
  </w:abstractNum>
  <w:abstractNum w:abstractNumId="10">
    <w:nsid w:val="1D1B5919"/>
    <w:multiLevelType w:val="hybridMultilevel"/>
    <w:tmpl w:val="8E2476D0"/>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1725FA"/>
    <w:multiLevelType w:val="multilevel"/>
    <w:tmpl w:val="3DC05B98"/>
    <w:lvl w:ilvl="0">
      <w:start w:val="1"/>
      <w:numFmt w:val="decimal"/>
      <w:lvlText w:val="(%1)"/>
      <w:lvlJc w:val="left"/>
      <w:pPr>
        <w:tabs>
          <w:tab w:val="num" w:pos="360"/>
        </w:tabs>
        <w:ind w:left="360" w:hanging="360"/>
      </w:pPr>
      <w:rPr>
        <w:rFonts w:hint="default"/>
        <w:i w:val="0"/>
        <w:strike w:val="0"/>
        <w:sz w:val="24"/>
        <w:vertAlign w:val="baseline"/>
      </w:rPr>
    </w:lvl>
    <w:lvl w:ilvl="1">
      <w:start w:val="1"/>
      <w:numFmt w:val="lowerLetter"/>
      <w:lvlText w:val="%2)"/>
      <w:lvlJc w:val="left"/>
      <w:pPr>
        <w:tabs>
          <w:tab w:val="num" w:pos="1440"/>
        </w:tabs>
        <w:ind w:left="1440" w:hanging="360"/>
      </w:pPr>
      <w:rPr>
        <w:i w:val="0"/>
      </w:rPr>
    </w:lvl>
    <w:lvl w:ilvl="2">
      <w:start w:val="1"/>
      <w:numFmt w:val="lowerLetter"/>
      <w:lvlText w:val="%3)"/>
      <w:lvlJc w:val="left"/>
      <w:pPr>
        <w:tabs>
          <w:tab w:val="num" w:pos="2340"/>
        </w:tabs>
        <w:ind w:left="2340" w:hanging="360"/>
      </w:pPr>
      <w:rPr>
        <w:rFonts w:hint="default"/>
        <w:i w:val="0"/>
        <w:strike w:val="0"/>
        <w:sz w:val="24"/>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94BE1"/>
    <w:multiLevelType w:val="multilevel"/>
    <w:tmpl w:val="DB3400AA"/>
    <w:lvl w:ilvl="0">
      <w:start w:val="1"/>
      <w:numFmt w:val="decimal"/>
      <w:lvlText w:val="(%1)"/>
      <w:lvlJc w:val="left"/>
      <w:pPr>
        <w:tabs>
          <w:tab w:val="num" w:pos="1200"/>
        </w:tabs>
        <w:ind w:left="1200" w:hanging="495"/>
      </w:pPr>
      <w:rPr>
        <w:rFonts w:hint="default"/>
        <w:i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3">
    <w:nsid w:val="28D36FAA"/>
    <w:multiLevelType w:val="multilevel"/>
    <w:tmpl w:val="43625A7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360"/>
        </w:tabs>
        <w:ind w:left="36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33054"/>
    <w:multiLevelType w:val="multilevel"/>
    <w:tmpl w:val="CF94F59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F3303DF"/>
    <w:multiLevelType w:val="hybridMultilevel"/>
    <w:tmpl w:val="4D6473DA"/>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656FD0"/>
    <w:multiLevelType w:val="hybridMultilevel"/>
    <w:tmpl w:val="1DA6DA44"/>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7F4571"/>
    <w:multiLevelType w:val="multilevel"/>
    <w:tmpl w:val="A15E1BF2"/>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28F1794"/>
    <w:multiLevelType w:val="hybridMultilevel"/>
    <w:tmpl w:val="67627F2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4AD64CE"/>
    <w:multiLevelType w:val="singleLevel"/>
    <w:tmpl w:val="E5D834B2"/>
    <w:lvl w:ilvl="0">
      <w:start w:val="2"/>
      <w:numFmt w:val="decimal"/>
      <w:lvlText w:val="%1."/>
      <w:lvlJc w:val="left"/>
      <w:pPr>
        <w:tabs>
          <w:tab w:val="num" w:pos="317"/>
        </w:tabs>
        <w:ind w:left="317" w:hanging="360"/>
      </w:pPr>
    </w:lvl>
  </w:abstractNum>
  <w:abstractNum w:abstractNumId="21">
    <w:nsid w:val="458B165B"/>
    <w:multiLevelType w:val="hybridMultilevel"/>
    <w:tmpl w:val="9F6A496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b w:val="0"/>
        <w:i w:val="0"/>
      </w:r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5B1ADE"/>
    <w:multiLevelType w:val="hybridMultilevel"/>
    <w:tmpl w:val="FAC4CC4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734715"/>
    <w:multiLevelType w:val="multilevel"/>
    <w:tmpl w:val="64C8B05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F447E3E"/>
    <w:multiLevelType w:val="hybridMultilevel"/>
    <w:tmpl w:val="ED80F9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FEE7D8C"/>
    <w:multiLevelType w:val="hybridMultilevel"/>
    <w:tmpl w:val="03009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D43503"/>
    <w:multiLevelType w:val="multilevel"/>
    <w:tmpl w:val="76B6A19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B67EAB"/>
    <w:multiLevelType w:val="multilevel"/>
    <w:tmpl w:val="3DC05B98"/>
    <w:lvl w:ilvl="0">
      <w:start w:val="1"/>
      <w:numFmt w:val="decimal"/>
      <w:lvlText w:val="(%1)"/>
      <w:lvlJc w:val="left"/>
      <w:pPr>
        <w:tabs>
          <w:tab w:val="num" w:pos="360"/>
        </w:tabs>
        <w:ind w:left="360" w:hanging="360"/>
      </w:pPr>
      <w:rPr>
        <w:rFonts w:hint="default"/>
        <w:i w:val="0"/>
        <w:strike w:val="0"/>
        <w:sz w:val="24"/>
        <w:vertAlign w:val="baseline"/>
      </w:rPr>
    </w:lvl>
    <w:lvl w:ilvl="1">
      <w:start w:val="1"/>
      <w:numFmt w:val="lowerLetter"/>
      <w:lvlText w:val="%2)"/>
      <w:lvlJc w:val="left"/>
      <w:pPr>
        <w:tabs>
          <w:tab w:val="num" w:pos="1440"/>
        </w:tabs>
        <w:ind w:left="1440" w:hanging="360"/>
      </w:pPr>
      <w:rPr>
        <w:i w:val="0"/>
      </w:rPr>
    </w:lvl>
    <w:lvl w:ilvl="2">
      <w:start w:val="1"/>
      <w:numFmt w:val="lowerLetter"/>
      <w:lvlText w:val="%3)"/>
      <w:lvlJc w:val="left"/>
      <w:pPr>
        <w:tabs>
          <w:tab w:val="num" w:pos="2340"/>
        </w:tabs>
        <w:ind w:left="2340" w:hanging="360"/>
      </w:pPr>
      <w:rPr>
        <w:rFonts w:hint="default"/>
        <w:i w:val="0"/>
        <w:strike w:val="0"/>
        <w:sz w:val="24"/>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4"/>
    <w:lvlOverride w:ilvl="0">
      <w:startOverride w:val="3"/>
    </w:lvlOverride>
  </w:num>
  <w:num w:numId="3">
    <w:abstractNumId w:val="20"/>
  </w:num>
  <w:num w:numId="4">
    <w:abstractNumId w:val="20"/>
    <w:lvlOverride w:ilvl="0">
      <w:startOverride w:val="2"/>
    </w:lvlOverride>
  </w:num>
  <w:num w:numId="5">
    <w:abstractNumId w:val="9"/>
  </w:num>
  <w:num w:numId="6">
    <w:abstractNumId w:val="9"/>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24"/>
  </w:num>
  <w:num w:numId="12">
    <w:abstractNumId w:val="2"/>
  </w:num>
  <w:num w:numId="13">
    <w:abstractNumId w:val="23"/>
  </w:num>
  <w:num w:numId="14">
    <w:abstractNumId w:val="1"/>
  </w:num>
  <w:num w:numId="15">
    <w:abstractNumId w:val="13"/>
  </w:num>
  <w:num w:numId="16">
    <w:abstractNumId w:val="29"/>
  </w:num>
  <w:num w:numId="17">
    <w:abstractNumId w:val="8"/>
  </w:num>
  <w:num w:numId="18">
    <w:abstractNumId w:val="14"/>
  </w:num>
  <w:num w:numId="19">
    <w:abstractNumId w:val="12"/>
  </w:num>
  <w:num w:numId="20">
    <w:abstractNumId w:val="7"/>
  </w:num>
  <w:num w:numId="21">
    <w:abstractNumId w:val="30"/>
  </w:num>
  <w:num w:numId="22">
    <w:abstractNumId w:val="5"/>
  </w:num>
  <w:num w:numId="23">
    <w:abstractNumId w:val="25"/>
  </w:num>
  <w:num w:numId="24">
    <w:abstractNumId w:val="10"/>
  </w:num>
  <w:num w:numId="25">
    <w:abstractNumId w:val="6"/>
  </w:num>
  <w:num w:numId="26">
    <w:abstractNumId w:val="27"/>
  </w:num>
  <w:num w:numId="27">
    <w:abstractNumId w:val="16"/>
  </w:num>
  <w:num w:numId="28">
    <w:abstractNumId w:val="11"/>
  </w:num>
  <w:num w:numId="29">
    <w:abstractNumId w:val="3"/>
  </w:num>
  <w:num w:numId="30">
    <w:abstractNumId w:val="19"/>
  </w:num>
  <w:num w:numId="31">
    <w:abstractNumId w:val="15"/>
  </w:num>
  <w:num w:numId="32">
    <w:abstractNumId w:val="21"/>
  </w:num>
  <w:num w:numId="33">
    <w:abstractNumId w:val="26"/>
  </w:num>
  <w:num w:numId="34">
    <w:abstractNumId w:val="18"/>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3B0"/>
    <w:rsid w:val="00002A63"/>
    <w:rsid w:val="00002BDA"/>
    <w:rsid w:val="00003CEB"/>
    <w:rsid w:val="00022506"/>
    <w:rsid w:val="00026115"/>
    <w:rsid w:val="00030212"/>
    <w:rsid w:val="0003794B"/>
    <w:rsid w:val="00047735"/>
    <w:rsid w:val="0009428D"/>
    <w:rsid w:val="000B35EC"/>
    <w:rsid w:val="000B4F47"/>
    <w:rsid w:val="000B5D8A"/>
    <w:rsid w:val="000B6EF1"/>
    <w:rsid w:val="000C2ED5"/>
    <w:rsid w:val="000E5712"/>
    <w:rsid w:val="0012383C"/>
    <w:rsid w:val="00135BA5"/>
    <w:rsid w:val="001751C4"/>
    <w:rsid w:val="001A63C2"/>
    <w:rsid w:val="001B7C9F"/>
    <w:rsid w:val="001C0931"/>
    <w:rsid w:val="00201416"/>
    <w:rsid w:val="00225532"/>
    <w:rsid w:val="00226E45"/>
    <w:rsid w:val="00231B6E"/>
    <w:rsid w:val="002363C4"/>
    <w:rsid w:val="0024155C"/>
    <w:rsid w:val="00247BB5"/>
    <w:rsid w:val="0026420F"/>
    <w:rsid w:val="00295603"/>
    <w:rsid w:val="00296D1B"/>
    <w:rsid w:val="002A193A"/>
    <w:rsid w:val="002C0E8E"/>
    <w:rsid w:val="002C1909"/>
    <w:rsid w:val="002D3B30"/>
    <w:rsid w:val="002E05E0"/>
    <w:rsid w:val="002E13F3"/>
    <w:rsid w:val="002E27A5"/>
    <w:rsid w:val="002E647D"/>
    <w:rsid w:val="00300751"/>
    <w:rsid w:val="003175DF"/>
    <w:rsid w:val="00323F67"/>
    <w:rsid w:val="00332BB5"/>
    <w:rsid w:val="003345AD"/>
    <w:rsid w:val="00334603"/>
    <w:rsid w:val="003376D1"/>
    <w:rsid w:val="003517EA"/>
    <w:rsid w:val="00351D96"/>
    <w:rsid w:val="003606E7"/>
    <w:rsid w:val="003669DF"/>
    <w:rsid w:val="003678F7"/>
    <w:rsid w:val="00376FA5"/>
    <w:rsid w:val="00387ADE"/>
    <w:rsid w:val="0039151F"/>
    <w:rsid w:val="00391B16"/>
    <w:rsid w:val="003A0889"/>
    <w:rsid w:val="003D205F"/>
    <w:rsid w:val="003D3D63"/>
    <w:rsid w:val="003D481D"/>
    <w:rsid w:val="003E3A74"/>
    <w:rsid w:val="003E4B65"/>
    <w:rsid w:val="003F0BCA"/>
    <w:rsid w:val="004057A4"/>
    <w:rsid w:val="004247FB"/>
    <w:rsid w:val="00427BC5"/>
    <w:rsid w:val="004423E1"/>
    <w:rsid w:val="00453C90"/>
    <w:rsid w:val="0045460C"/>
    <w:rsid w:val="0046231E"/>
    <w:rsid w:val="00475583"/>
    <w:rsid w:val="004A375E"/>
    <w:rsid w:val="004A466A"/>
    <w:rsid w:val="004B7E63"/>
    <w:rsid w:val="004C74B4"/>
    <w:rsid w:val="004D192D"/>
    <w:rsid w:val="004D4F94"/>
    <w:rsid w:val="004F4343"/>
    <w:rsid w:val="004F5E7E"/>
    <w:rsid w:val="004F6211"/>
    <w:rsid w:val="00500EFE"/>
    <w:rsid w:val="0050432C"/>
    <w:rsid w:val="00516565"/>
    <w:rsid w:val="005335DC"/>
    <w:rsid w:val="005357B7"/>
    <w:rsid w:val="00541D35"/>
    <w:rsid w:val="00542EEF"/>
    <w:rsid w:val="00546F17"/>
    <w:rsid w:val="00557461"/>
    <w:rsid w:val="00563315"/>
    <w:rsid w:val="00566223"/>
    <w:rsid w:val="005A5846"/>
    <w:rsid w:val="005B551F"/>
    <w:rsid w:val="005B7794"/>
    <w:rsid w:val="005C3EE0"/>
    <w:rsid w:val="00602B20"/>
    <w:rsid w:val="00611B46"/>
    <w:rsid w:val="00622B73"/>
    <w:rsid w:val="00625DB7"/>
    <w:rsid w:val="0063665F"/>
    <w:rsid w:val="00654944"/>
    <w:rsid w:val="00662F60"/>
    <w:rsid w:val="006704FF"/>
    <w:rsid w:val="00682CCB"/>
    <w:rsid w:val="00684B6D"/>
    <w:rsid w:val="006B7323"/>
    <w:rsid w:val="006E3D66"/>
    <w:rsid w:val="006E4796"/>
    <w:rsid w:val="006E51DB"/>
    <w:rsid w:val="006F0B3F"/>
    <w:rsid w:val="006F2660"/>
    <w:rsid w:val="006F7F76"/>
    <w:rsid w:val="00717CB7"/>
    <w:rsid w:val="00727DD4"/>
    <w:rsid w:val="007515F7"/>
    <w:rsid w:val="00784D62"/>
    <w:rsid w:val="007916EC"/>
    <w:rsid w:val="00793E5F"/>
    <w:rsid w:val="00793FCC"/>
    <w:rsid w:val="007B06A5"/>
    <w:rsid w:val="007C3818"/>
    <w:rsid w:val="007D03E6"/>
    <w:rsid w:val="007E057C"/>
    <w:rsid w:val="007E2009"/>
    <w:rsid w:val="007F122C"/>
    <w:rsid w:val="00836D12"/>
    <w:rsid w:val="00841AC5"/>
    <w:rsid w:val="00847607"/>
    <w:rsid w:val="00862C00"/>
    <w:rsid w:val="00873254"/>
    <w:rsid w:val="0088616E"/>
    <w:rsid w:val="00894C99"/>
    <w:rsid w:val="008958DE"/>
    <w:rsid w:val="008A35CB"/>
    <w:rsid w:val="008A4C5B"/>
    <w:rsid w:val="008A581E"/>
    <w:rsid w:val="008D20CE"/>
    <w:rsid w:val="008D7203"/>
    <w:rsid w:val="008E24A6"/>
    <w:rsid w:val="008F1252"/>
    <w:rsid w:val="008F4668"/>
    <w:rsid w:val="009050A1"/>
    <w:rsid w:val="0091707B"/>
    <w:rsid w:val="00917356"/>
    <w:rsid w:val="009203F4"/>
    <w:rsid w:val="00921C09"/>
    <w:rsid w:val="009278D4"/>
    <w:rsid w:val="00927A91"/>
    <w:rsid w:val="00954B3D"/>
    <w:rsid w:val="00966082"/>
    <w:rsid w:val="0097193F"/>
    <w:rsid w:val="00971F45"/>
    <w:rsid w:val="0097725F"/>
    <w:rsid w:val="0098448F"/>
    <w:rsid w:val="00996851"/>
    <w:rsid w:val="009B4921"/>
    <w:rsid w:val="009C18A1"/>
    <w:rsid w:val="009C584E"/>
    <w:rsid w:val="009D1002"/>
    <w:rsid w:val="009D2926"/>
    <w:rsid w:val="009D6DE8"/>
    <w:rsid w:val="009D707A"/>
    <w:rsid w:val="009E1D9B"/>
    <w:rsid w:val="009E21EE"/>
    <w:rsid w:val="009E47F7"/>
    <w:rsid w:val="009F20B4"/>
    <w:rsid w:val="00A0315D"/>
    <w:rsid w:val="00A14CD5"/>
    <w:rsid w:val="00A4045D"/>
    <w:rsid w:val="00A6039C"/>
    <w:rsid w:val="00A71674"/>
    <w:rsid w:val="00A76C56"/>
    <w:rsid w:val="00A81908"/>
    <w:rsid w:val="00AA3F77"/>
    <w:rsid w:val="00AA7628"/>
    <w:rsid w:val="00AE53C9"/>
    <w:rsid w:val="00AE7CF4"/>
    <w:rsid w:val="00B05036"/>
    <w:rsid w:val="00B13508"/>
    <w:rsid w:val="00B349F4"/>
    <w:rsid w:val="00B36A44"/>
    <w:rsid w:val="00B56543"/>
    <w:rsid w:val="00B72456"/>
    <w:rsid w:val="00B7478E"/>
    <w:rsid w:val="00B97AC0"/>
    <w:rsid w:val="00BA2374"/>
    <w:rsid w:val="00BF6CF8"/>
    <w:rsid w:val="00C105F9"/>
    <w:rsid w:val="00C35B95"/>
    <w:rsid w:val="00C3683B"/>
    <w:rsid w:val="00C4192F"/>
    <w:rsid w:val="00C44FA7"/>
    <w:rsid w:val="00C4686C"/>
    <w:rsid w:val="00C55DB7"/>
    <w:rsid w:val="00C64193"/>
    <w:rsid w:val="00CB4595"/>
    <w:rsid w:val="00CD79F4"/>
    <w:rsid w:val="00CD7F5E"/>
    <w:rsid w:val="00D2314E"/>
    <w:rsid w:val="00D549F9"/>
    <w:rsid w:val="00D755B7"/>
    <w:rsid w:val="00D8481E"/>
    <w:rsid w:val="00D92E21"/>
    <w:rsid w:val="00D9449B"/>
    <w:rsid w:val="00DA6060"/>
    <w:rsid w:val="00DB5318"/>
    <w:rsid w:val="00DC0D66"/>
    <w:rsid w:val="00DC328B"/>
    <w:rsid w:val="00DD67AD"/>
    <w:rsid w:val="00DE4559"/>
    <w:rsid w:val="00DF299E"/>
    <w:rsid w:val="00E05828"/>
    <w:rsid w:val="00E10C48"/>
    <w:rsid w:val="00E1289B"/>
    <w:rsid w:val="00E31221"/>
    <w:rsid w:val="00E473DC"/>
    <w:rsid w:val="00E514A1"/>
    <w:rsid w:val="00E52D41"/>
    <w:rsid w:val="00E57598"/>
    <w:rsid w:val="00E60184"/>
    <w:rsid w:val="00E63A6A"/>
    <w:rsid w:val="00E703F6"/>
    <w:rsid w:val="00E71162"/>
    <w:rsid w:val="00E86173"/>
    <w:rsid w:val="00E93E30"/>
    <w:rsid w:val="00ED450F"/>
    <w:rsid w:val="00ED45B0"/>
    <w:rsid w:val="00ED6186"/>
    <w:rsid w:val="00EE4CCE"/>
    <w:rsid w:val="00EF4B05"/>
    <w:rsid w:val="00EF7EEB"/>
    <w:rsid w:val="00F23409"/>
    <w:rsid w:val="00F313C4"/>
    <w:rsid w:val="00F54899"/>
    <w:rsid w:val="00F66EF8"/>
    <w:rsid w:val="00F6756E"/>
    <w:rsid w:val="00F732BE"/>
    <w:rsid w:val="00F748F4"/>
    <w:rsid w:val="00F81BBC"/>
    <w:rsid w:val="00FA1F07"/>
    <w:rsid w:val="00FB7984"/>
    <w:rsid w:val="00FC24DE"/>
    <w:rsid w:val="00FD3A37"/>
    <w:rsid w:val="00FE50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4">
    <w:name w:val="heading 4"/>
    <w:basedOn w:val="Normal"/>
    <w:next w:val="Normal"/>
    <w:uiPriority w:val="99"/>
    <w:pPr>
      <w:keepNext/>
      <w:jc w:val="center"/>
      <w:outlineLvl w:val="3"/>
    </w:pPr>
    <w:rPr>
      <w:b/>
      <w:sz w:val="22"/>
    </w:rPr>
  </w:style>
  <w:style w:type="character" w:default="1" w:styleId="DefaultParagraphFont">
    <w:name w:val="Default Paragraph Font"/>
    <w:link w:val="CharChar1"/>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jc w:val="center"/>
    </w:pPr>
    <w:rPr>
      <w:sz w:val="20"/>
    </w:r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semiHidden/>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rsid w:val="00F54899"/>
    <w:rPr>
      <w:sz w:val="18"/>
    </w:rPr>
  </w:style>
  <w:style w:type="character" w:styleId="CommentReference">
    <w:name w:val="annotation reference"/>
    <w:basedOn w:val="DefaultParagraphFont"/>
    <w:uiPriority w:val="99"/>
    <w:semiHidden/>
    <w:rsid w:val="00DE4559"/>
    <w:rPr>
      <w:sz w:val="16"/>
    </w:rPr>
  </w:style>
  <w:style w:type="paragraph" w:styleId="BodyTextIndent2">
    <w:name w:val="Body Text Indent 2"/>
    <w:basedOn w:val="Normal"/>
    <w:uiPriority w:val="99"/>
    <w:rsid w:val="003678F7"/>
    <w:pPr>
      <w:autoSpaceDE/>
      <w:autoSpaceDN/>
      <w:spacing w:after="120" w:line="480" w:lineRule="auto"/>
      <w:ind w:left="283"/>
      <w:jc w:val="left"/>
    </w:pPr>
  </w:style>
  <w:style w:type="paragraph" w:styleId="BodyTextIndent3">
    <w:name w:val="Body Text Indent 3"/>
    <w:basedOn w:val="Normal"/>
    <w:uiPriority w:val="99"/>
    <w:rsid w:val="00E60184"/>
    <w:pPr>
      <w:autoSpaceDE/>
      <w:autoSpaceDN/>
      <w:spacing w:after="120"/>
      <w:ind w:left="283"/>
      <w:jc w:val="left"/>
    </w:pPr>
    <w:rPr>
      <w:sz w:val="16"/>
    </w:rPr>
  </w:style>
  <w:style w:type="paragraph" w:customStyle="1" w:styleId="Normlnywebov6">
    <w:name w:val="Normálny (webový)6"/>
    <w:basedOn w:val="Normal"/>
    <w:uiPriority w:val="99"/>
    <w:rsid w:val="00ED450F"/>
    <w:pPr>
      <w:autoSpaceDE/>
      <w:autoSpaceDN/>
      <w:spacing w:before="167" w:after="167"/>
      <w:ind w:left="753" w:right="586"/>
      <w:jc w:val="left"/>
    </w:pPr>
    <w:rPr>
      <w:sz w:val="22"/>
    </w:rPr>
  </w:style>
  <w:style w:type="paragraph" w:customStyle="1" w:styleId="Normlnywebov8">
    <w:name w:val="Normálny (webový)8"/>
    <w:basedOn w:val="Normal"/>
    <w:uiPriority w:val="99"/>
    <w:rsid w:val="00C55DB7"/>
    <w:pPr>
      <w:autoSpaceDE/>
      <w:autoSpaceDN/>
      <w:spacing w:before="84" w:after="84"/>
      <w:ind w:left="251" w:right="251"/>
      <w:jc w:val="left"/>
    </w:pPr>
    <w:rPr>
      <w:sz w:val="22"/>
    </w:rPr>
  </w:style>
  <w:style w:type="paragraph" w:customStyle="1" w:styleId="Zkladntext">
    <w:name w:val="Základní text"/>
    <w:uiPriority w:val="99"/>
    <w:rsid w:val="003F0BCA"/>
    <w:pPr>
      <w:widowControl w:val="0"/>
      <w:autoSpaceDE/>
      <w:autoSpaceDN/>
      <w:adjustRightInd/>
      <w:ind w:left="0" w:right="0"/>
      <w:jc w:val="left"/>
      <w:textAlignment w:val="auto"/>
    </w:pPr>
    <w:rPr>
      <w:color w:val="000000"/>
      <w:sz w:val="24"/>
      <w:lang w:val="sk-SK" w:eastAsia="sk-SK"/>
    </w:rPr>
  </w:style>
  <w:style w:type="paragraph" w:styleId="NormalWeb">
    <w:name w:val="Normal (Web)"/>
    <w:basedOn w:val="Normal"/>
    <w:uiPriority w:val="99"/>
    <w:rsid w:val="00CB4595"/>
    <w:pPr>
      <w:autoSpaceDE/>
      <w:autoSpaceDN/>
      <w:spacing w:before="167" w:after="167"/>
      <w:ind w:left="753" w:right="586"/>
      <w:jc w:val="left"/>
    </w:pPr>
    <w:rPr>
      <w:sz w:val="19"/>
    </w:rPr>
  </w:style>
  <w:style w:type="paragraph" w:customStyle="1" w:styleId="tlNormlnywebovArialNarrow10ptPodaokrajaVavo">
    <w:name w:val="Štýl Normálny (webový) + Arial Narrow 10 pt Podľa okraja Vľavo:..."/>
    <w:basedOn w:val="NormalWeb"/>
    <w:uiPriority w:val="99"/>
    <w:rsid w:val="00CB4595"/>
    <w:pPr>
      <w:spacing w:before="0" w:after="0"/>
      <w:ind w:left="0" w:right="0"/>
      <w:jc w:val="both"/>
    </w:pPr>
    <w:rPr>
      <w:rFonts w:ascii="Arial Narrow" w:hAnsi="Arial Narrow" w:cs="Arial Narrow"/>
      <w:sz w:val="20"/>
    </w:rPr>
  </w:style>
  <w:style w:type="paragraph" w:customStyle="1" w:styleId="tlNormlnywebovTahomaTunVavo0cm">
    <w:name w:val="Štýl Normálny (webový) + Tahoma Tučné Vľavo:  0 cm"/>
    <w:basedOn w:val="NormalWeb"/>
    <w:uiPriority w:val="99"/>
    <w:rsid w:val="00C44FA7"/>
    <w:pPr>
      <w:ind w:left="0"/>
      <w:jc w:val="left"/>
    </w:pPr>
    <w:rPr>
      <w:rFonts w:ascii="Tahoma" w:hAnsi="Tahoma" w:cs="Tahoma"/>
      <w:b/>
    </w:rPr>
  </w:style>
  <w:style w:type="paragraph" w:customStyle="1" w:styleId="tlNormlnywebovArialNarrow10ptPodaokrajaVavo1">
    <w:name w:val="Štýl Normálny (webový) + Arial Narrow 10 pt Podľa okraja Vľavo:...1"/>
    <w:basedOn w:val="NormalWeb"/>
    <w:uiPriority w:val="99"/>
    <w:rsid w:val="00C105F9"/>
    <w:pPr>
      <w:spacing w:before="0" w:after="0"/>
      <w:ind w:left="0" w:right="0"/>
      <w:jc w:val="both"/>
    </w:pPr>
    <w:rPr>
      <w:rFonts w:ascii="Arial Narrow" w:hAnsi="Arial Narrow" w:cs="Arial Narrow"/>
      <w:sz w:val="20"/>
    </w:rPr>
  </w:style>
  <w:style w:type="paragraph" w:customStyle="1" w:styleId="tlNormlnywebovArialNarrow10ptPodaokrajaVavo2">
    <w:name w:val="Štýl Normálny (webový) + Arial Narrow 10 pt Podľa okraja Vľavo:...2"/>
    <w:basedOn w:val="NormalWeb"/>
    <w:uiPriority w:val="99"/>
    <w:rsid w:val="00C105F9"/>
    <w:pPr>
      <w:spacing w:before="0" w:after="0"/>
      <w:ind w:left="0" w:right="0"/>
      <w:jc w:val="both"/>
    </w:pPr>
    <w:rPr>
      <w:rFonts w:ascii="Arial Narrow" w:hAnsi="Arial Narrow" w:cs="Arial Narrow"/>
      <w:sz w:val="20"/>
    </w:rPr>
  </w:style>
  <w:style w:type="paragraph" w:customStyle="1" w:styleId="tlNormlnywebovArialNarrow10ptPodaokrajaVavo3">
    <w:name w:val="Štýl Normálny (webový) + Arial Narrow 10 pt Podľa okraja Vľavo:...3"/>
    <w:basedOn w:val="NormalWeb"/>
    <w:uiPriority w:val="99"/>
    <w:rsid w:val="00C105F9"/>
    <w:pPr>
      <w:spacing w:before="0" w:after="0"/>
      <w:ind w:left="0" w:right="0"/>
      <w:jc w:val="both"/>
    </w:pPr>
    <w:rPr>
      <w:rFonts w:ascii="Arial Narrow" w:hAnsi="Arial Narrow" w:cs="Arial Narrow"/>
      <w:sz w:val="20"/>
    </w:rPr>
  </w:style>
  <w:style w:type="paragraph" w:customStyle="1" w:styleId="tlArialNarrow10ptPodaokraja">
    <w:name w:val="Štýl Arial Narrow 10 pt Podľa okraja"/>
    <w:basedOn w:val="Normal"/>
    <w:uiPriority w:val="99"/>
    <w:rsid w:val="00C105F9"/>
    <w:pPr>
      <w:jc w:val="both"/>
    </w:pPr>
    <w:rPr>
      <w:rFonts w:ascii="Arial Narrow" w:hAnsi="Arial Narrow" w:cs="Arial Narrow"/>
      <w:sz w:val="20"/>
    </w:rPr>
  </w:style>
  <w:style w:type="paragraph" w:customStyle="1" w:styleId="CharChar1">
    <w:name w:val="Char Char1"/>
    <w:basedOn w:val="Normal"/>
    <w:link w:val="DefaultParagraphFont"/>
    <w:uiPriority w:val="99"/>
    <w:rsid w:val="006F0B3F"/>
    <w:pPr>
      <w:autoSpaceDE/>
      <w:autoSpaceDN/>
      <w:spacing w:after="160" w:line="240" w:lineRule="exact"/>
      <w:jc w:val="left"/>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181</TotalTime>
  <Pages>2</Pages>
  <Words>1078</Words>
  <Characters>6150</Characters>
  <Application>Microsoft Office Word</Application>
  <DocSecurity>0</DocSecurity>
  <Lines>0</Lines>
  <Paragraphs>0</Paragraphs>
  <ScaleCrop>false</ScaleCrop>
  <Company>ÚV SR</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cp:lastModifiedBy>
  <cp:revision>25</cp:revision>
  <cp:lastPrinted>2008-07-31T16:28:00Z</cp:lastPrinted>
  <dcterms:created xsi:type="dcterms:W3CDTF">2008-04-17T13:16:00Z</dcterms:created>
  <dcterms:modified xsi:type="dcterms:W3CDTF">2008-07-31T16:28:00Z</dcterms:modified>
</cp:coreProperties>
</file>