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Pr="00575EB2">
      <w:pPr>
        <w:jc w:val="center"/>
        <w:rPr>
          <w:rFonts w:ascii="Arial Narrow" w:hAnsi="Arial Narrow" w:cs="Arial Narrow"/>
          <w:b/>
          <w:bCs/>
        </w:rPr>
      </w:pPr>
      <w:r w:rsidRPr="00575EB2">
        <w:rPr>
          <w:rFonts w:ascii="Arial Narrow" w:hAnsi="Arial Narrow" w:cs="Arial Narrow"/>
          <w:b/>
          <w:bCs/>
        </w:rPr>
        <w:t>Dôvodová správa</w:t>
      </w:r>
    </w:p>
    <w:p w:rsidRPr="00575EB2">
      <w:pPr>
        <w:jc w:val="both"/>
        <w:rPr>
          <w:rFonts w:ascii="Times New Roman" w:hAnsi="Times New Roman" w:cs="Times New Roman"/>
          <w:color w:val="000000"/>
        </w:rPr>
      </w:pPr>
    </w:p>
    <w:p w:rsidRPr="00575EB2">
      <w:pPr>
        <w:jc w:val="both"/>
        <w:rPr>
          <w:rFonts w:ascii="Times New Roman" w:hAnsi="Times New Roman" w:cs="Times New Roman"/>
          <w:color w:val="000000"/>
        </w:rPr>
      </w:pPr>
    </w:p>
    <w:p w:rsidRPr="00575EB2">
      <w:pPr>
        <w:pStyle w:val="Heading1"/>
        <w:jc w:val="both"/>
      </w:pPr>
      <w:r w:rsidRPr="00575EB2">
        <w:t>A. Všeobecná časť</w:t>
      </w:r>
    </w:p>
    <w:p w:rsidRPr="00575EB2">
      <w:pPr>
        <w:jc w:val="both"/>
        <w:rPr>
          <w:rFonts w:ascii="Times New Roman" w:hAnsi="Times New Roman" w:cs="Times New Roman"/>
          <w:color w:val="000000"/>
        </w:rPr>
      </w:pP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Návrh zákona, ktorým sa menia a dopĺňajú zákony v pôsobnosti Ministerstva financií Slovenskej republiky v súvislosti so zavedením meny euro v Slovenskej republike sa predkladá na základe Plánu legislatívnych úloh vlády </w:t>
      </w:r>
      <w:r w:rsidRPr="00575EB2">
        <w:rPr>
          <w:rStyle w:val="PlaceholderText"/>
          <w:rFonts w:ascii="Arial Narrow" w:hAnsi="Arial Narrow" w:cs="Arial Narrow"/>
          <w:color w:val="000000"/>
          <w:sz w:val="22"/>
          <w:szCs w:val="22"/>
        </w:rPr>
        <w:t xml:space="preserve">Slovenskej republiky na rok 2008.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BodyTextIndent"/>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Nadväzne na zákon č. 659/2007 Z.z. o zavedení meny euro v Slovenskej republike a o zmene a doplnení niektorých zákonov v znení neskorších predpisov boli vypracované novely jednotlivých zákonov za oblasť daní, poplatkov, správy daní, účtovníctva a colnú oblasť. Predkladané návrhy zákonov obsahujú prepočty súm zo slovenskej meny na eurá, spôsob ich zaokrúhľovania tak, aby zohľadňovali princípy zaokrúhľovania ustanovené zákonom č. 659/2007 Z.z., postup prepočtu  súm pri použití referenčného výmenného kurzu, ktorý určuje a vyhlasuje Európska centrálna banka alebo Národná banka Slovenska a ďalšie nevyhnutné úpravy príslušných ustanovení súvisiace so zavedením meny euro v Slovenskej republike.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I - návrh novely zákona č. 431/2002 Z.z. o účtovníctve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Návrh zákona okrem prepočtu slovenskej meny na eurá konverzným kurzom nahrádza kurz Národnej banky Slovenska kurzom Európskej centrálnej banky a obsahuje ustanovenia, ktoré sa použijú iba na účely prechodu zo slovenskej meny na euro, napríklad povinnosť zostaviť priebežnú účtovnú závierku pre všetky účtovné jednotky, ktoré nemajú povinnosť zostaviť riadnu účtovnú závierku, spôsob ocenenia aktív a pasív, osobitné ustanovenia k inventarizácii majet</w:t>
      </w:r>
      <w:r w:rsidRPr="00575EB2">
        <w:rPr>
          <w:rStyle w:val="PlaceholderText"/>
          <w:rFonts w:ascii="Arial Narrow" w:hAnsi="Arial Narrow" w:cs="Arial Narrow"/>
          <w:color w:val="000000"/>
          <w:sz w:val="22"/>
          <w:szCs w:val="22"/>
        </w:rPr>
        <w:t xml:space="preserve">ku a záväzkov.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II -  návrh novely zákona č. 595/2003 Z.z. o dani z príjmov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nadväznosti na zavedenie meny euro v Slovenskej republike sa v zákone o dani z príjmov navrhujú úpravy súvisiace s prechodom na novú menu. Sumy uvedené v zákone o dani z príjmov v absolútnych hodnotách v Sk sa nahrádzajú sumami v eurách po prepočte konverzným kurzom a zaokrúhlení podľa pravidiel zákona č. 659/2007 Z.z.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tejto súvislosti sa ďalej navrhuje nahradiť ročnú sumu daňového bonusu mesačnou sumou. Súčasne sa v prechodných ustanoveniach upravuje spôsob prepočtu vstupnej a zostatkovej ceny hmotného majetku, ako aj daňových odpisov pri rovnomernom a zrýchlenom odpisovaní hmotného majetku obstaranom v Sk.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III  -  návrh novely zákona č. 222/2004 Z.z. o dani z pridanej hodnoty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zákone o dani z pridanej hodnoty sa niektoré hodnoty vyjadrené v slovenských korunách prepočítajú konverzným kurzom na  eurá, niektoré finančné limity sú určené sumou vyjadrenou v eurách zodpovedajúcou sume uvedenej v príslušných článkoch smernice Európskej únie, a preto boli priamo prevzaté do návrhu novely zákona o dani z pridanej hodnoty. Prechodné ustanovenia k zákonu upravujú postup platiteľov dane pri registrácii, zrušení registrácie, oprave základu dane a prepočtoch peňažných údajov vzťahujúcich sa k obdobiu pred zavedením meny euro.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IV až VIII – návrh noviel zákonov o spotrebných daniach: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V nadväznosti na zavedenie meny euro v Slovenskej republike sa v zákon</w:t>
      </w:r>
      <w:r w:rsidRPr="00575EB2">
        <w:rPr>
          <w:rStyle w:val="PlaceholderText"/>
          <w:rFonts w:ascii="Arial Narrow" w:hAnsi="Arial Narrow" w:cs="Arial Narrow"/>
          <w:color w:val="000000"/>
          <w:sz w:val="22"/>
          <w:szCs w:val="22"/>
        </w:rPr>
        <w:t>e o spotrebnej dani z minerálnych olejov, zákone o spotrebnej dani z vína, zákone o spotrebnej dani z liehu, zákone o spotrebnej dani z tabakových výrobkov  a  zákone o spotrebnej dani z piva navrhujú úpravy súvisiace s prechodom zo slovenskej meny na euro</w:t>
      </w:r>
      <w:r w:rsidRPr="00575EB2">
        <w:rPr>
          <w:rStyle w:val="PlaceholderText"/>
          <w:rFonts w:ascii="Arial Narrow" w:hAnsi="Arial Narrow" w:cs="Arial Narrow"/>
          <w:color w:val="000000"/>
          <w:sz w:val="22"/>
          <w:szCs w:val="22"/>
        </w:rPr>
        <w:t xml:space="preserve">. Sumy uvedené v týchto zákonoch v slovenských korunách sa nahrádzajú sumami v eurách. Súčasne pri spotrebnej dani z elektriny, uhlia a zemného plynu dochádza k zmene spôsobu vyjadrenia merných jednotiek z kilowathodín na megawathodiny z dôvodu veľmi nízkej peňažnej hodnoty sadzby dane.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tejto súvislosti sa ďalej navrhuje iný spôsob zaokrúhľovania pre sadzby dane a iný spôsob zaokrúhľovania pre pokuty v súvislosti s prechodom zo slovenskej meny na euro, ako v iných častiach zákona. Osobitná pozornosť bola venovaná prepočtu konverzným kurzom v prípadoch veľmi nízkych hodnôt sadzieb dane, a to v prípade spotrebnej dane z tabakových výrobkov; v tomto návrhu zákona bolo potrebné pristúpiť aj k zmene spôsobu vyjadrenia daňovej sadzby, a to v záujme zabránenia možného výpadku príjmov  štátneho rozpočtu z dôvodu zaokrúhľovania.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Sumy vyjadrené v Sk sa v týchto ustanoveniach nahrádzajú eurom po prepočítaní konverzným kurzom a po zaokrúhlení matematicky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BodyText3"/>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K čl. IX - návrh novely zákona č. 609/2007 Z.z. o spotrebnej dani z elektriny, uhlia a zemného plynu a o zmene a doplnení zákona č. 98/2004 Z.z. o spotrebnej dani z minerálneho oleja v znení neskorších predpisov v znení zákona č. 283/2008 Z.z.: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Obsahom návrhu zákona sú úpravy súvisiace s prechodom zo slovenskej meny na euro. Sumy uvedené v tomto návrhu zákona v slovenských korunách sa nahrádzajú sumami v eurách. Súčasne dochádza k zmene spôsobu vyjadrenia merných jednotiek z kilowathodín na megawathodiny z dôvodu veľmi nízkej peňažne</w:t>
      </w:r>
      <w:r w:rsidRPr="00575EB2">
        <w:rPr>
          <w:rStyle w:val="PlaceholderText"/>
          <w:rFonts w:ascii="Arial Narrow" w:hAnsi="Arial Narrow" w:cs="Arial Narrow"/>
          <w:color w:val="000000"/>
          <w:sz w:val="22"/>
          <w:szCs w:val="22"/>
        </w:rPr>
        <w:t xml:space="preserve">j hodnoty sadzby dane.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X - návrh novely zákona č. 582/2004 Z.z. o miestnych daniach a miestnom poplatku za komunálne odpady a drobné stavebné odpady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návrhu  novely zákona sa hodnoty nehnuteľností, sadzby dane z nehnuteľností a peňažné sumy  prepočítajú zo slovenskej meny na eurá konverzným kurzom a zároveň sa  ustanovuje spôsob zaokrúhľovania týchto súm. Osobitne sa upravujú prechodné ustanovenia.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BodyText3"/>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K čl. XI - návrh novely zákona SNR č. 511/1992 Zb. o správe daní a poplatkov a o zmenách  v sústave územných finančných orgánov v znení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predloženom návrhu zákona sa navrhujú prepočty  súm zo slovenskej meny na eurá; ide napríklad o sumy sankcií, daňových nedoplatkov daňových dlžníkov, prijatých platieb na daň, úroku vyrubeného za oneskorené  vrátenie daňového preplatku daňovému subjektu, započítavania výšky daňovej pohľadávky, majetku daňového dlžníka, ktorý nepodlieha daňovej exekúcii. Prechodné ustanovenie k zákonu upravuje postup uplatnenia základnej úrokovej sadzby Národnej banky Slovenska pri výpočte sankcií a úroku po zavedení meny euro v Slovenskej republike na  prípady, ktoré vznikli pred zavedením meny euro v Slovenskej republike. Sumy, ktoré nie sú v návrhu tohto zákona prepočítané na eurá, sa po prepočte konverzným kurzom zaokrúhlia podľa  pravidiel o zaokrúhľovaní ustanovených v  § 2 ods. 3  zákona č. 659/2007 Z.z. Ide o ukladanie pokút za porušenie povinností súvisiacich s používaním elektronickej registračnej pokladnice (§ 35 ods. 8 až 12). Dôvodom neprepočítania týchto súm v tomto návrhu zákona je, že tieto ustanovenia boli s účinnosťou od 1. marca 2009  menené a dopĺňané zákonom o používaní elektronickej registračnej  pokladnice, schválenom v Národnej rade Slovenskej republiky dňa 18.06.2008, v ktorom sa novelizuje aj  zákon Slovenskej národnej rady č. 511/1992 Zb.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BodyText3"/>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K čl. XII - návrh novely zákona NR SR č. 145/1995 Z.z. o správnych poplatkoch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predloženom návrhu zákona sa realizujú zmeny v súvislosti so zavedením meny euro v Slovenskej republike, tak v paragrafovom znení zákona, ako aj v sadzobníku správnych poplatkov, ktorý tvorí prílohu zákona. Úprava súm a sadzieb spoplatňovaných úkonov a konaní uvedených v slovenskej mene sa realizovala  prepočtom konverzným kurzom na eurá po zaokrúhlení na 0,50 eurocentov alebo na celé euro nadol. Navrhované riešenie zaokrúhľovania vychádza z najnižšej hodnoty kolkových známok vydaných v mene euro, t. j. 0,50 euro, ktorými  bude možné platiť správne poplatky po zavedení meny euro v Slovenskej republike. Upravuje sa tiež ustanovenie o použití referenčného výmenného kurzu pri prepočte poplatku plateného inou menou.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BodyText3"/>
        <w:rPr>
          <w:rStyle w:val="PlaceholderText"/>
          <w:rFonts w:ascii="Arial Narrow" w:hAnsi="Arial Narrow" w:cs="Arial Narrow"/>
          <w:color w:val="000000"/>
        </w:rPr>
      </w:pPr>
      <w:r w:rsidRPr="00575EB2">
        <w:rPr>
          <w:rStyle w:val="PlaceholderText"/>
          <w:rFonts w:ascii="Arial Narrow" w:hAnsi="Arial Narrow" w:cs="Arial Narrow"/>
          <w:color w:val="000000"/>
        </w:rPr>
        <w:t>K čl. XIII  -  návrh novely zákona SNR č. 71/1992 Zb. o súdnyc</w:t>
      </w:r>
      <w:r w:rsidRPr="00575EB2">
        <w:rPr>
          <w:rStyle w:val="PlaceholderText"/>
          <w:rFonts w:ascii="Arial Narrow" w:hAnsi="Arial Narrow" w:cs="Arial Narrow"/>
          <w:color w:val="000000"/>
        </w:rPr>
        <w:t xml:space="preserve">h poplatkoch a poplatku za výpis z registra trestov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predloženom návrhu zákona sa realizujú zmeny v súvislosti so zavedením meny euro v Slovenskej republike tak v paragrafovom znení zákona, ako aj v sadzobníku súdnych poplatkov, ktorý tvorí prílohu zákona. Úprava súm a sadzieb spoplatňovaných úkonov a konaní uvedených v slovenskej mene sa realizovala prepočtom konverzným kurzom na eurá po zaokrúhlení nadol na 0,50 eura alebo na celé euro tak, aby bolo možné platiť súdne poplatky aj kolkovými známkami v eurách do určenej sumy. Navrhuje sa osobitné zaokrúhľovanie súm prepočítaných konverzným kurzom na eurá v prípadoch, v ktorých sú sadzby poplatkov uvedené v sadzobníku súdnych poplatkov v sume 2 Sk a 10 Sk a to tak, že tieto sumy sa po  prepočítaní konverzným kurzom  zaokrúhľujú na eurocenty nadol.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BodyText3"/>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K čl. XIV - návrh novely zákona č. 199/2004 Z.z. Colný zákon a o zmene a doplnení niektorých zákonov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návrhu zákona  je zohľadnený prechod kompetencií v oblasti kurzovej politiky z Národnej banky Slovenska na Európsku centrálnu banku. Ďalej sa navrhuje prepočet peňažných údajov týkajúcich sa sumy skladného, nákladov na colné konanie mimo colného priestoru a sankcií za colné delikty a colné priestupky zo slovenskej meny na eurá vrátane zaokrúhľovania týchto súm.   </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XV  - návrh novely zákona č. 200/2004 Z.z. o opatreniach proti porušovaniu práv duševného vlastníctva pri dovoze, vývoze a spätnom vývoze tovaru v znení zákona č. 116/2006 </w:t>
      </w:r>
      <w:r w:rsidRPr="00575EB2">
        <w:rPr>
          <w:rStyle w:val="PlaceholderText"/>
          <w:rFonts w:ascii="Arial Narrow" w:hAnsi="Arial Narrow" w:cs="Arial Narrow"/>
          <w:b/>
          <w:bCs/>
          <w:color w:val="000000"/>
          <w:sz w:val="22"/>
          <w:szCs w:val="22"/>
        </w:rPr>
        <w:t xml:space="preserve">Z.z.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Návrh zákona nahrádza sumu pokút, ktorú možno uložiť ako sankciu za priestupky a iné správne delikty v oblasti porušovania práv duševného vlastníctva pri dovoze, vývoze a spätnom vývoze tovaru, vyjadrenú v slovenských korunách sumou pokút vyjadrenou </w:t>
      </w:r>
      <w:r w:rsidRPr="00575EB2">
        <w:rPr>
          <w:rStyle w:val="PlaceholderText"/>
          <w:rFonts w:ascii="Arial Narrow" w:hAnsi="Arial Narrow" w:cs="Arial Narrow"/>
          <w:color w:val="000000"/>
          <w:sz w:val="22"/>
          <w:szCs w:val="22"/>
        </w:rPr>
        <w:t xml:space="preserve">v eurách.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XVI - návrh novely zákona č. 200/1998 Z.z. o štátnej službe colníkov a o zmene a doplnení niektorých ďalších zákonov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Prechod na menu euro v Slovenskej republike si vyžaduje úpravu niektorých ustanovení zákona – navrhuje sa prepočet peňažných údajov zo slovenskej meny na eurá v majetkovom priznaní colníka, peňažných súm jednotlivých zložiek služobného príjmu colníka, náhrad pri presťahovaní colníka a sumy, do ktorej zodpovedá služobný úrad za veci, ktoré colník obvykle nenosí do služby. Pri funkčnom plate, prídavku za výsluhu rokov, príplatku za riadenie a osobnom príplatku sa zároveň navrhuje spôsob zaokrúhľovania výslednej sumy. Ďalej sa upravujú ustanovenia o poskytovaní služobného príjmu colníka, ktorý je vyslaný na výkon štátnej služby alebo na denné štúdium v zahraničí. Spresňujú sa aj ustanovenia o poskytovaní stravného, náhrady výdavkov za pohonné látky pri zahraničnej pracovnej ceste colníka a vreckového študujúcemu colníkovi v eurách v štátoch eurozóny alebo v cudzej mene – ak ide o zahraničnú služobnú cestu colníka mimo štátov eurozóny. Zároveň je v návrhu zákona zohľadnený prechod kompetencií v oblasti kurzovej politiky z Národnej banky Slovenska na Európsku centrálnu banku.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 </w:t>
      </w:r>
    </w:p>
    <w:p w:rsidRPr="00575EB2">
      <w:pPr>
        <w:pStyle w:val="BodyText3"/>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K čl. XVII - návrh novely zákona č. 446/2002 Z.z. o vzájomnej pomoci pri vymáhaní niektorých finančných pohľadávok v znení neskorších predpisov: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Navrhovanými úpravami sa ustanovuje použitie referenčného výmenného kurzu určeného  a vyhláseného Európskou centrálnou bankou alebo Národnou bankou Slovenska pri požadovaní medzinárodnej pomoci pri vymáhaní daňových pohľadávok príslušným orgánom Slovenskej republiky.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color w:val="000000"/>
          <w:sz w:val="22"/>
          <w:szCs w:val="22"/>
        </w:rPr>
        <w:t xml:space="preserve"> </w:t>
      </w:r>
      <w:r w:rsidRPr="00575EB2">
        <w:rPr>
          <w:rStyle w:val="PlaceholderText"/>
          <w:rFonts w:ascii="Arial Narrow" w:hAnsi="Arial Narrow" w:cs="Arial Narrow"/>
          <w:b/>
          <w:bCs/>
          <w:color w:val="000000"/>
          <w:sz w:val="22"/>
          <w:szCs w:val="22"/>
        </w:rPr>
        <w:t xml:space="preserve">K čl. XVIII - účinnosť: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Účinnosť zákona sa navrhuje od 1. decembra 2008, okrem čl. I bodov 1 až 12, 15 a 16, čl. II až XVII, ktoré nadobúdajú účinnosť 1. januára 2009. </w:t>
      </w:r>
    </w:p>
    <w:p w:rsidRPr="00575EB2">
      <w:pPr>
        <w:jc w:val="both"/>
        <w:rPr>
          <w:rFonts w:ascii="Times New Roman" w:hAnsi="Times New Roman" w:cs="Times New Roman"/>
          <w:color w:val="000000"/>
        </w:rPr>
      </w:pPr>
    </w:p>
    <w:p w:rsidRPr="00575EB2">
      <w:pPr>
        <w:pStyle w:val="Title"/>
        <w:rPr>
          <w:sz w:val="22"/>
          <w:szCs w:val="22"/>
        </w:rPr>
      </w:pPr>
      <w:r w:rsidRPr="00575EB2">
        <w:br w:type="page"/>
      </w:r>
      <w:r w:rsidRPr="00575EB2">
        <w:rPr>
          <w:sz w:val="22"/>
          <w:szCs w:val="22"/>
        </w:rPr>
        <w:t>DOLOŽKA ZLUČITEĽNOSTI</w:t>
      </w:r>
    </w:p>
    <w:p w:rsidRPr="00575EB2">
      <w:pPr>
        <w:tabs>
          <w:tab w:val="left" w:pos="180"/>
          <w:tab w:val="left" w:pos="3420"/>
          <w:tab w:val="left" w:pos="3600"/>
          <w:tab w:val="left" w:pos="3960"/>
          <w:tab w:val="left" w:pos="5400"/>
        </w:tabs>
        <w:jc w:val="center"/>
        <w:rPr>
          <w:rFonts w:ascii="Arial Narrow" w:hAnsi="Arial Narrow" w:cs="Arial Narrow"/>
          <w:sz w:val="22"/>
          <w:szCs w:val="22"/>
        </w:rPr>
      </w:pPr>
      <w:r w:rsidRPr="00575EB2">
        <w:rPr>
          <w:rFonts w:ascii="Arial Narrow" w:hAnsi="Arial Narrow" w:cs="Arial Narrow"/>
          <w:sz w:val="22"/>
          <w:szCs w:val="22"/>
        </w:rPr>
        <w:t>návrhu zákona, ktorým sa menia a dopĺňajú zákony v pôsobnosti Ministerstva financií Slovenskej republiky v súvislosti so zavedením meny euro v Slovenskej republi</w:t>
      </w:r>
      <w:r w:rsidRPr="00575EB2">
        <w:rPr>
          <w:rFonts w:ascii="Arial Narrow" w:hAnsi="Arial Narrow" w:cs="Arial Narrow"/>
          <w:sz w:val="22"/>
          <w:szCs w:val="22"/>
        </w:rPr>
        <w:t>ke</w:t>
      </w:r>
    </w:p>
    <w:p w:rsidRPr="00575EB2">
      <w:pPr>
        <w:pBdr>
          <w:bottom w:val="single" w:sz="6" w:space="1" w:color="auto"/>
        </w:pBdr>
        <w:tabs>
          <w:tab w:val="left" w:pos="180"/>
          <w:tab w:val="left" w:pos="3420"/>
          <w:tab w:val="left" w:pos="3600"/>
          <w:tab w:val="left" w:pos="3960"/>
          <w:tab w:val="left" w:pos="5400"/>
        </w:tabs>
        <w:jc w:val="center"/>
        <w:rPr>
          <w:rFonts w:ascii="Arial Narrow" w:hAnsi="Arial Narrow" w:cs="Arial Narrow"/>
          <w:sz w:val="22"/>
          <w:szCs w:val="22"/>
        </w:rPr>
      </w:pPr>
      <w:r w:rsidRPr="00575EB2">
        <w:rPr>
          <w:rFonts w:ascii="Arial Narrow" w:hAnsi="Arial Narrow" w:cs="Arial Narrow"/>
          <w:sz w:val="22"/>
          <w:szCs w:val="22"/>
        </w:rPr>
        <w:t>s právom Európskych spoločenstiev a právom Európskej únie</w:t>
      </w:r>
    </w:p>
    <w:p w:rsidRPr="00575EB2">
      <w:pPr>
        <w:jc w:val="center"/>
        <w:rPr>
          <w:rFonts w:ascii="Arial Narrow" w:hAnsi="Arial Narrow" w:cs="Arial Narrow"/>
          <w:sz w:val="22"/>
          <w:szCs w:val="22"/>
        </w:rPr>
      </w:pPr>
    </w:p>
    <w:p w:rsidRPr="00575EB2">
      <w:pPr>
        <w:numPr>
          <w:ilvl w:val="0"/>
          <w:numId w:val="1"/>
        </w:numPr>
        <w:tabs>
          <w:tab w:val="left" w:pos="0"/>
        </w:tabs>
        <w:spacing w:after="120"/>
        <w:ind w:left="437" w:hanging="437"/>
        <w:jc w:val="both"/>
        <w:rPr>
          <w:rFonts w:ascii="Arial Narrow" w:hAnsi="Arial Narrow" w:cs="Arial Narrow"/>
          <w:sz w:val="22"/>
          <w:szCs w:val="22"/>
        </w:rPr>
      </w:pPr>
      <w:r w:rsidRPr="00575EB2">
        <w:rPr>
          <w:rFonts w:ascii="Arial Narrow" w:hAnsi="Arial Narrow" w:cs="Arial Narrow"/>
          <w:b/>
          <w:bCs/>
          <w:sz w:val="22"/>
          <w:szCs w:val="22"/>
        </w:rPr>
        <w:t>Predkladateľ zákona:</w:t>
      </w:r>
    </w:p>
    <w:p w:rsidRPr="00575EB2">
      <w:pPr>
        <w:spacing w:after="120"/>
        <w:ind w:firstLine="437"/>
        <w:jc w:val="both"/>
        <w:rPr>
          <w:rFonts w:ascii="Arial Narrow" w:hAnsi="Arial Narrow" w:cs="Arial Narrow"/>
          <w:sz w:val="22"/>
          <w:szCs w:val="22"/>
        </w:rPr>
      </w:pPr>
      <w:r w:rsidRPr="00575EB2">
        <w:rPr>
          <w:rFonts w:ascii="Arial Narrow" w:hAnsi="Arial Narrow" w:cs="Arial Narrow"/>
          <w:sz w:val="22"/>
          <w:szCs w:val="22"/>
        </w:rPr>
        <w:t xml:space="preserve">Vláda Slovenskej republiky. </w:t>
      </w:r>
    </w:p>
    <w:p w:rsidRPr="00575EB2">
      <w:pPr>
        <w:numPr>
          <w:ilvl w:val="0"/>
          <w:numId w:val="1"/>
        </w:numPr>
        <w:tabs>
          <w:tab w:val="left" w:pos="0"/>
        </w:tabs>
        <w:spacing w:after="120"/>
        <w:ind w:left="437" w:hanging="437"/>
        <w:jc w:val="both"/>
        <w:rPr>
          <w:rFonts w:ascii="Arial Narrow" w:hAnsi="Arial Narrow" w:cs="Arial Narrow"/>
          <w:b/>
          <w:bCs/>
          <w:sz w:val="22"/>
          <w:szCs w:val="22"/>
        </w:rPr>
      </w:pPr>
      <w:r w:rsidRPr="00575EB2">
        <w:rPr>
          <w:rFonts w:ascii="Arial Narrow" w:hAnsi="Arial Narrow" w:cs="Arial Narrow"/>
          <w:b/>
          <w:bCs/>
          <w:sz w:val="22"/>
          <w:szCs w:val="22"/>
        </w:rPr>
        <w:t>Názov návrhu zákona:</w:t>
      </w:r>
    </w:p>
    <w:p w:rsidRPr="00575EB2">
      <w:pPr>
        <w:autoSpaceDE/>
        <w:autoSpaceDN/>
        <w:ind w:left="437"/>
        <w:jc w:val="both"/>
        <w:rPr>
          <w:rFonts w:ascii="Arial Narrow" w:hAnsi="Arial Narrow" w:cs="Arial Narrow"/>
          <w:sz w:val="22"/>
          <w:szCs w:val="22"/>
        </w:rPr>
      </w:pPr>
      <w:r w:rsidRPr="00575EB2">
        <w:rPr>
          <w:rFonts w:ascii="Arial Narrow" w:hAnsi="Arial Narrow" w:cs="Arial Narrow"/>
          <w:sz w:val="22"/>
          <w:szCs w:val="22"/>
        </w:rPr>
        <w:t>Návrh zákona, ktorým sa menia a dopĺňajú zákony v pôsobnosti Ministerstva financií Slovenskej republiky v súvislosti so zav</w:t>
      </w:r>
      <w:r w:rsidRPr="00575EB2">
        <w:rPr>
          <w:rFonts w:ascii="Arial Narrow" w:hAnsi="Arial Narrow" w:cs="Arial Narrow"/>
          <w:sz w:val="22"/>
          <w:szCs w:val="22"/>
        </w:rPr>
        <w:t>edením meny euro v Slovenskej republike.</w:t>
      </w:r>
    </w:p>
    <w:p w:rsidRPr="00575EB2">
      <w:pPr>
        <w:numPr>
          <w:ilvl w:val="0"/>
          <w:numId w:val="1"/>
        </w:numPr>
        <w:tabs>
          <w:tab w:val="left" w:pos="0"/>
        </w:tabs>
        <w:spacing w:before="120" w:after="120"/>
        <w:ind w:left="437" w:hanging="437"/>
        <w:jc w:val="both"/>
        <w:rPr>
          <w:rFonts w:ascii="Arial Narrow" w:hAnsi="Arial Narrow" w:cs="Arial Narrow"/>
          <w:b/>
          <w:bCs/>
          <w:sz w:val="22"/>
          <w:szCs w:val="22"/>
        </w:rPr>
      </w:pPr>
      <w:r w:rsidRPr="00575EB2">
        <w:rPr>
          <w:rFonts w:ascii="Arial Narrow" w:hAnsi="Arial Narrow" w:cs="Arial Narrow"/>
          <w:b/>
          <w:bCs/>
          <w:sz w:val="22"/>
          <w:szCs w:val="22"/>
        </w:rPr>
        <w:t xml:space="preserve">Problematika návrhu zákona: </w:t>
      </w:r>
    </w:p>
    <w:p w:rsidRPr="00575EB2">
      <w:pPr>
        <w:pStyle w:val="BodyText"/>
        <w:numPr>
          <w:ilvl w:val="1"/>
          <w:numId w:val="1"/>
        </w:numPr>
        <w:tabs>
          <w:tab w:val="clear" w:pos="397"/>
          <w:tab w:val="left" w:pos="437"/>
          <w:tab w:val="left" w:pos="540"/>
        </w:tabs>
        <w:ind w:hanging="850"/>
        <w:jc w:val="left"/>
        <w:rPr>
          <w:sz w:val="22"/>
          <w:szCs w:val="22"/>
        </w:rPr>
      </w:pPr>
      <w:r w:rsidRPr="00575EB2">
        <w:rPr>
          <w:sz w:val="22"/>
          <w:szCs w:val="22"/>
        </w:rPr>
        <w:t>je upravená v práve Európskych spoločenstiev:</w:t>
      </w:r>
    </w:p>
    <w:p w:rsidRPr="00575EB2">
      <w:pPr>
        <w:pStyle w:val="BodyText"/>
        <w:spacing w:before="120"/>
        <w:ind w:left="437"/>
        <w:rPr>
          <w:b/>
          <w:bCs/>
          <w:i/>
          <w:iCs/>
          <w:sz w:val="22"/>
          <w:szCs w:val="22"/>
        </w:rPr>
      </w:pPr>
      <w:r w:rsidRPr="00575EB2">
        <w:rPr>
          <w:b/>
          <w:bCs/>
          <w:i/>
          <w:iCs/>
          <w:sz w:val="22"/>
          <w:szCs w:val="22"/>
        </w:rPr>
        <w:t>v primárnom práve:</w:t>
      </w:r>
    </w:p>
    <w:p w:rsidRPr="00575EB2">
      <w:pPr>
        <w:numPr>
          <w:ilvl w:val="0"/>
          <w:numId w:val="4"/>
        </w:numPr>
        <w:tabs>
          <w:tab w:val="left" w:pos="437"/>
          <w:tab w:val="left" w:pos="1211"/>
        </w:tabs>
        <w:spacing w:after="60"/>
        <w:ind w:left="437" w:hanging="437"/>
        <w:jc w:val="both"/>
        <w:rPr>
          <w:rFonts w:ascii="Arial Narrow" w:hAnsi="Arial Narrow" w:cs="Arial Narrow"/>
          <w:color w:val="000000"/>
          <w:sz w:val="22"/>
          <w:szCs w:val="22"/>
        </w:rPr>
      </w:pPr>
      <w:r w:rsidRPr="00575EB2">
        <w:rPr>
          <w:rFonts w:ascii="Arial Narrow" w:hAnsi="Arial Narrow" w:cs="Arial Narrow"/>
          <w:sz w:val="22"/>
          <w:szCs w:val="22"/>
        </w:rPr>
        <w:t>čl.</w:t>
      </w:r>
      <w:r w:rsidRPr="00575EB2">
        <w:rPr>
          <w:rFonts w:ascii="Symbol" w:hAnsi="Symbol" w:cs="Arial Narrow"/>
          <w:sz w:val="22"/>
          <w:szCs w:val="22"/>
        </w:rPr>
        <w:sym w:font="Symbol" w:char="F020"/>
      </w:r>
      <w:r w:rsidRPr="00575EB2">
        <w:rPr>
          <w:rFonts w:ascii="Arial Narrow" w:hAnsi="Arial Narrow" w:cs="Arial Narrow"/>
          <w:sz w:val="22"/>
          <w:szCs w:val="22"/>
        </w:rPr>
        <w:t>4 ods.</w:t>
      </w:r>
      <w:r w:rsidRPr="00575EB2">
        <w:rPr>
          <w:rFonts w:ascii="Symbol" w:hAnsi="Symbol" w:cs="Arial Narrow"/>
          <w:sz w:val="22"/>
          <w:szCs w:val="22"/>
        </w:rPr>
        <w:sym w:font="Symbol" w:char="F020"/>
      </w:r>
      <w:r w:rsidRPr="00575EB2">
        <w:rPr>
          <w:rFonts w:ascii="Arial Narrow" w:hAnsi="Arial Narrow" w:cs="Arial Narrow"/>
          <w:sz w:val="22"/>
          <w:szCs w:val="22"/>
        </w:rPr>
        <w:t>2, čl.</w:t>
      </w:r>
      <w:r w:rsidRPr="00575EB2">
        <w:rPr>
          <w:rFonts w:ascii="Symbol" w:hAnsi="Symbol" w:cs="Arial Narrow"/>
          <w:sz w:val="22"/>
          <w:szCs w:val="22"/>
        </w:rPr>
        <w:sym w:font="Symbol" w:char="F020"/>
      </w:r>
      <w:r w:rsidRPr="00575EB2">
        <w:rPr>
          <w:rFonts w:ascii="Arial Narrow" w:hAnsi="Arial Narrow" w:cs="Arial Narrow"/>
          <w:sz w:val="22"/>
          <w:szCs w:val="22"/>
        </w:rPr>
        <w:t>8, čl.</w:t>
      </w:r>
      <w:r w:rsidRPr="00575EB2">
        <w:rPr>
          <w:rFonts w:ascii="Symbol" w:hAnsi="Symbol" w:cs="Arial Narrow"/>
          <w:sz w:val="22"/>
          <w:szCs w:val="22"/>
        </w:rPr>
        <w:sym w:font="Symbol" w:char="F020"/>
      </w:r>
      <w:r w:rsidRPr="00575EB2">
        <w:rPr>
          <w:rFonts w:ascii="Arial Narrow" w:hAnsi="Arial Narrow" w:cs="Arial Narrow"/>
          <w:sz w:val="22"/>
          <w:szCs w:val="22"/>
        </w:rPr>
        <w:t>101, čl.</w:t>
      </w:r>
      <w:r w:rsidRPr="00575EB2">
        <w:rPr>
          <w:rFonts w:ascii="Symbol" w:hAnsi="Symbol" w:cs="Arial Narrow"/>
          <w:sz w:val="22"/>
          <w:szCs w:val="22"/>
        </w:rPr>
        <w:sym w:font="Symbol" w:char="F020"/>
      </w:r>
      <w:r w:rsidRPr="00575EB2">
        <w:rPr>
          <w:rFonts w:ascii="Arial Narrow" w:hAnsi="Arial Narrow" w:cs="Arial Narrow"/>
          <w:sz w:val="22"/>
          <w:szCs w:val="22"/>
        </w:rPr>
        <w:t>102, čl.</w:t>
      </w:r>
      <w:r w:rsidRPr="00575EB2">
        <w:rPr>
          <w:rFonts w:ascii="Symbol" w:hAnsi="Symbol" w:cs="Arial Narrow"/>
          <w:sz w:val="22"/>
          <w:szCs w:val="22"/>
        </w:rPr>
        <w:sym w:font="Symbol" w:char="F020"/>
      </w:r>
      <w:r w:rsidRPr="00575EB2">
        <w:rPr>
          <w:rFonts w:ascii="Arial Narrow" w:hAnsi="Arial Narrow" w:cs="Arial Narrow"/>
          <w:sz w:val="22"/>
          <w:szCs w:val="22"/>
        </w:rPr>
        <w:t>105 až 120, tiež čl. 121 až</w:t>
      </w:r>
      <w:r w:rsidRPr="00575EB2">
        <w:rPr>
          <w:rFonts w:ascii="Symbol" w:hAnsi="Symbol" w:cs="Arial Narrow"/>
          <w:sz w:val="22"/>
          <w:szCs w:val="22"/>
        </w:rPr>
        <w:sym w:font="Symbol" w:char="F020"/>
      </w:r>
      <w:r w:rsidRPr="00575EB2">
        <w:rPr>
          <w:rFonts w:ascii="Arial Narrow" w:hAnsi="Arial Narrow" w:cs="Arial Narrow"/>
          <w:sz w:val="22"/>
          <w:szCs w:val="22"/>
        </w:rPr>
        <w:t>124 a čl.</w:t>
      </w:r>
      <w:r w:rsidRPr="00575EB2">
        <w:rPr>
          <w:rFonts w:ascii="Symbol" w:hAnsi="Symbol" w:cs="Arial Narrow"/>
          <w:sz w:val="22"/>
          <w:szCs w:val="22"/>
        </w:rPr>
        <w:sym w:font="Symbol" w:char="F020"/>
      </w:r>
      <w:r w:rsidRPr="00575EB2">
        <w:rPr>
          <w:rFonts w:ascii="Arial Narrow" w:hAnsi="Arial Narrow" w:cs="Arial Narrow"/>
          <w:sz w:val="22"/>
          <w:szCs w:val="22"/>
        </w:rPr>
        <w:t>249 Zmluvy o založení Európskeho spoloče</w:t>
      </w:r>
      <w:r w:rsidRPr="00575EB2">
        <w:rPr>
          <w:rFonts w:ascii="Arial Narrow" w:hAnsi="Arial Narrow" w:cs="Arial Narrow"/>
          <w:sz w:val="22"/>
          <w:szCs w:val="22"/>
        </w:rPr>
        <w:t>nstva v platnom znení,</w:t>
      </w:r>
    </w:p>
    <w:p w:rsidRPr="00575EB2">
      <w:pPr>
        <w:numPr>
          <w:ilvl w:val="0"/>
          <w:numId w:val="5"/>
        </w:numPr>
        <w:tabs>
          <w:tab w:val="left" w:pos="437"/>
          <w:tab w:val="left" w:pos="1211"/>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 xml:space="preserve">Protokol (č.18) o Štatúte Európskeho systému centrálnych bánk a Európskej centrálnej banky v platnom znení, </w:t>
      </w:r>
    </w:p>
    <w:p w:rsidRPr="00575EB2">
      <w:pPr>
        <w:numPr>
          <w:ilvl w:val="0"/>
          <w:numId w:val="6"/>
        </w:numPr>
        <w:tabs>
          <w:tab w:val="left" w:pos="437"/>
          <w:tab w:val="left" w:pos="138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Protokol (č. 20) o postupe pri nadmernom deficite,</w:t>
      </w:r>
    </w:p>
    <w:p w:rsidRPr="00575EB2">
      <w:pPr>
        <w:numPr>
          <w:ilvl w:val="0"/>
          <w:numId w:val="7"/>
        </w:numPr>
        <w:tabs>
          <w:tab w:val="left" w:pos="437"/>
          <w:tab w:val="clear" w:pos="1389"/>
        </w:tabs>
        <w:spacing w:after="120"/>
        <w:ind w:left="437" w:hanging="437"/>
        <w:jc w:val="both"/>
        <w:rPr>
          <w:rFonts w:ascii="Arial Narrow" w:hAnsi="Arial Narrow" w:cs="Arial Narrow"/>
          <w:sz w:val="22"/>
          <w:szCs w:val="22"/>
        </w:rPr>
      </w:pPr>
      <w:r w:rsidRPr="00575EB2">
        <w:rPr>
          <w:rFonts w:ascii="Arial Narrow" w:hAnsi="Arial Narrow" w:cs="Arial Narrow"/>
          <w:sz w:val="22"/>
          <w:szCs w:val="22"/>
        </w:rPr>
        <w:t>Protokol (č. 21) o kritériách konvergencie podľa článku 121 Zmluvy o založení Európskeho spoločenstva.</w:t>
      </w:r>
    </w:p>
    <w:p w:rsidRPr="00575EB2">
      <w:pPr>
        <w:pStyle w:val="BodyText"/>
        <w:spacing w:before="120"/>
        <w:ind w:left="437"/>
        <w:rPr>
          <w:b/>
          <w:bCs/>
          <w:i/>
          <w:iCs/>
          <w:sz w:val="22"/>
          <w:szCs w:val="22"/>
        </w:rPr>
      </w:pPr>
      <w:r w:rsidRPr="00575EB2">
        <w:rPr>
          <w:b/>
          <w:bCs/>
          <w:i/>
          <w:iCs/>
          <w:sz w:val="22"/>
          <w:szCs w:val="22"/>
        </w:rPr>
        <w:t xml:space="preserve">v sekundárnom práve: </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n</w:t>
      </w:r>
      <w:r w:rsidRPr="00575EB2">
        <w:rPr>
          <w:rFonts w:ascii="Arial Narrow" w:hAnsi="Arial Narrow" w:cs="Arial Narrow"/>
          <w:color w:val="000000"/>
          <w:sz w:val="22"/>
          <w:szCs w:val="22"/>
        </w:rPr>
        <w:t xml:space="preserve">ariadenie </w:t>
      </w:r>
      <w:r w:rsidRPr="00575EB2">
        <w:rPr>
          <w:rFonts w:ascii="Arial Narrow" w:hAnsi="Arial Narrow" w:cs="Arial Narrow"/>
          <w:sz w:val="22"/>
          <w:szCs w:val="22"/>
        </w:rPr>
        <w:t>Rady (ES) č. 3603/93 z 13.</w:t>
      </w:r>
      <w:r w:rsidRPr="00575EB2">
        <w:rPr>
          <w:rFonts w:ascii="Symbol" w:hAnsi="Symbol" w:cs="Arial Narrow"/>
          <w:sz w:val="22"/>
          <w:szCs w:val="22"/>
        </w:rPr>
        <w:sym w:font="Symbol" w:char="F020"/>
      </w:r>
      <w:r w:rsidRPr="00575EB2">
        <w:rPr>
          <w:rFonts w:ascii="Arial Narrow" w:hAnsi="Arial Narrow" w:cs="Arial Narrow"/>
          <w:sz w:val="22"/>
          <w:szCs w:val="22"/>
        </w:rPr>
        <w:t>decembra 1993, ktorým sa stanovujú definície na uplatňovanie zákazov uvedené v článkoch</w:t>
      </w:r>
      <w:r w:rsidRPr="00575EB2">
        <w:rPr>
          <w:rFonts w:ascii="Symbol" w:hAnsi="Symbol" w:cs="Arial Narrow"/>
          <w:sz w:val="22"/>
          <w:szCs w:val="22"/>
        </w:rPr>
        <w:sym w:font="Symbol" w:char="F020"/>
      </w:r>
      <w:r w:rsidRPr="00575EB2">
        <w:rPr>
          <w:rFonts w:ascii="Arial Narrow" w:hAnsi="Arial Narrow" w:cs="Arial Narrow"/>
          <w:sz w:val="22"/>
          <w:szCs w:val="22"/>
        </w:rPr>
        <w:t>104 a 104b ods.</w:t>
      </w:r>
      <w:r w:rsidRPr="00575EB2">
        <w:rPr>
          <w:rFonts w:ascii="Symbol" w:hAnsi="Symbol" w:cs="Arial Narrow"/>
          <w:sz w:val="22"/>
          <w:szCs w:val="22"/>
        </w:rPr>
        <w:sym w:font="Symbol" w:char="F020"/>
      </w:r>
      <w:r w:rsidRPr="00575EB2">
        <w:rPr>
          <w:rFonts w:ascii="Arial Narrow" w:hAnsi="Arial Narrow" w:cs="Arial Narrow"/>
          <w:sz w:val="22"/>
          <w:szCs w:val="22"/>
        </w:rPr>
        <w:t>1 zmluvy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kap.10/zv.</w:t>
      </w:r>
      <w:r w:rsidRPr="00575EB2">
        <w:rPr>
          <w:rFonts w:ascii="Symbol" w:hAnsi="Symbol" w:cs="Arial Narrow"/>
          <w:sz w:val="22"/>
          <w:szCs w:val="22"/>
        </w:rPr>
        <w:sym w:font="Symbol" w:char="F020"/>
      </w:r>
      <w:r w:rsidRPr="00575EB2">
        <w:rPr>
          <w:rFonts w:ascii="Arial Narrow" w:hAnsi="Arial Narrow" w:cs="Arial Narrow"/>
          <w:sz w:val="22"/>
          <w:szCs w:val="22"/>
        </w:rPr>
        <w:t>01),</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n</w:t>
      </w:r>
      <w:r w:rsidRPr="00575EB2">
        <w:rPr>
          <w:rFonts w:ascii="Arial Narrow" w:hAnsi="Arial Narrow" w:cs="Arial Narrow"/>
          <w:color w:val="000000"/>
          <w:sz w:val="22"/>
          <w:szCs w:val="22"/>
        </w:rPr>
        <w:t>ariade</w:t>
      </w:r>
      <w:r w:rsidRPr="00575EB2">
        <w:rPr>
          <w:rFonts w:ascii="Arial Narrow" w:hAnsi="Arial Narrow" w:cs="Arial Narrow"/>
          <w:color w:val="000000"/>
          <w:sz w:val="22"/>
          <w:szCs w:val="22"/>
        </w:rPr>
        <w:t xml:space="preserve">nie </w:t>
      </w:r>
      <w:r w:rsidRPr="00575EB2">
        <w:rPr>
          <w:rFonts w:ascii="Arial Narrow" w:hAnsi="Arial Narrow" w:cs="Arial Narrow"/>
          <w:sz w:val="22"/>
          <w:szCs w:val="22"/>
        </w:rPr>
        <w:t>Rady (ES) č. 3604/93 z 13.</w:t>
      </w:r>
      <w:r w:rsidRPr="00575EB2">
        <w:rPr>
          <w:rFonts w:ascii="Symbol" w:hAnsi="Symbol" w:cs="Arial Narrow"/>
          <w:sz w:val="22"/>
          <w:szCs w:val="22"/>
        </w:rPr>
        <w:sym w:font="Symbol" w:char="F020"/>
      </w:r>
      <w:r w:rsidRPr="00575EB2">
        <w:rPr>
          <w:rFonts w:ascii="Arial Narrow" w:hAnsi="Arial Narrow" w:cs="Arial Narrow"/>
          <w:sz w:val="22"/>
          <w:szCs w:val="22"/>
        </w:rPr>
        <w:t>decembra 1993, ktorým sa stanovujú definície na uplatňovanie zákazu zvýhodneného prístupu, uvedeného v článku</w:t>
      </w:r>
      <w:r w:rsidRPr="00575EB2">
        <w:rPr>
          <w:rFonts w:ascii="Symbol" w:hAnsi="Symbol" w:cs="Arial Narrow"/>
          <w:sz w:val="22"/>
          <w:szCs w:val="22"/>
        </w:rPr>
        <w:sym w:font="Symbol" w:char="F020"/>
      </w:r>
      <w:r w:rsidRPr="00575EB2">
        <w:rPr>
          <w:rFonts w:ascii="Arial Narrow" w:hAnsi="Arial Narrow" w:cs="Arial Narrow"/>
          <w:sz w:val="22"/>
          <w:szCs w:val="22"/>
        </w:rPr>
        <w:t>104a zmluvy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kap.10/zv.</w:t>
      </w:r>
      <w:r w:rsidRPr="00575EB2">
        <w:rPr>
          <w:rFonts w:ascii="Symbol" w:hAnsi="Symbol" w:cs="Arial Narrow"/>
          <w:sz w:val="22"/>
          <w:szCs w:val="22"/>
        </w:rPr>
        <w:sym w:font="Symbol" w:char="F020"/>
      </w:r>
      <w:r w:rsidRPr="00575EB2">
        <w:rPr>
          <w:rFonts w:ascii="Arial Narrow" w:hAnsi="Arial Narrow" w:cs="Arial Narrow"/>
          <w:sz w:val="22"/>
          <w:szCs w:val="22"/>
        </w:rPr>
        <w:t>01),</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n</w:t>
      </w:r>
      <w:r w:rsidRPr="00575EB2">
        <w:rPr>
          <w:rFonts w:ascii="Arial Narrow" w:hAnsi="Arial Narrow" w:cs="Arial Narrow"/>
          <w:color w:val="000000"/>
          <w:sz w:val="22"/>
          <w:szCs w:val="22"/>
        </w:rPr>
        <w:t>ariadenie</w:t>
      </w:r>
      <w:r w:rsidRPr="00575EB2">
        <w:rPr>
          <w:rFonts w:ascii="Arial Narrow" w:hAnsi="Arial Narrow" w:cs="Arial Narrow"/>
          <w:sz w:val="22"/>
          <w:szCs w:val="22"/>
        </w:rPr>
        <w:t xml:space="preserve"> Rady (ES) č.</w:t>
      </w:r>
      <w:r w:rsidRPr="00575EB2">
        <w:rPr>
          <w:rFonts w:ascii="Symbol" w:hAnsi="Symbol" w:cs="Arial Narrow"/>
          <w:sz w:val="22"/>
          <w:szCs w:val="22"/>
        </w:rPr>
        <w:sym w:font="Symbol" w:char="F020"/>
      </w:r>
      <w:r w:rsidRPr="00575EB2">
        <w:rPr>
          <w:rFonts w:ascii="Arial Narrow" w:hAnsi="Arial Narrow" w:cs="Arial Narrow"/>
          <w:sz w:val="22"/>
          <w:szCs w:val="22"/>
        </w:rPr>
        <w:t>1103/97 zo 17.</w:t>
      </w:r>
      <w:r w:rsidRPr="00575EB2">
        <w:rPr>
          <w:rFonts w:ascii="Symbol" w:hAnsi="Symbol" w:cs="Arial Narrow"/>
          <w:sz w:val="22"/>
          <w:szCs w:val="22"/>
        </w:rPr>
        <w:sym w:font="Symbol" w:char="F020"/>
      </w:r>
      <w:r w:rsidRPr="00575EB2">
        <w:rPr>
          <w:rFonts w:ascii="Arial Narrow" w:hAnsi="Arial Narrow" w:cs="Arial Narrow"/>
          <w:sz w:val="22"/>
          <w:szCs w:val="22"/>
        </w:rPr>
        <w:t>júna 1997 o určitý</w:t>
      </w:r>
      <w:r w:rsidRPr="00575EB2">
        <w:rPr>
          <w:rFonts w:ascii="Arial Narrow" w:hAnsi="Arial Narrow" w:cs="Arial Narrow"/>
          <w:sz w:val="22"/>
          <w:szCs w:val="22"/>
        </w:rPr>
        <w:t>ch ustanoveniach týkajúcich sa zavedenia eura v platnom znení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 10/zv.</w:t>
      </w:r>
      <w:r w:rsidRPr="00575EB2">
        <w:rPr>
          <w:rFonts w:ascii="Symbol" w:hAnsi="Symbol" w:cs="Arial Narrow"/>
          <w:sz w:val="22"/>
          <w:szCs w:val="22"/>
        </w:rPr>
        <w:sym w:font="Symbol" w:char="F020"/>
      </w:r>
      <w:r w:rsidRPr="00575EB2">
        <w:rPr>
          <w:rFonts w:ascii="Arial Narrow" w:hAnsi="Arial Narrow" w:cs="Arial Narrow"/>
          <w:sz w:val="22"/>
          <w:szCs w:val="22"/>
        </w:rPr>
        <w:t xml:space="preserve">01), </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n</w:t>
      </w:r>
      <w:r w:rsidRPr="00575EB2">
        <w:rPr>
          <w:rFonts w:ascii="Arial Narrow" w:hAnsi="Arial Narrow" w:cs="Arial Narrow"/>
          <w:color w:val="000000"/>
          <w:sz w:val="22"/>
          <w:szCs w:val="22"/>
        </w:rPr>
        <w:t xml:space="preserve">ariadenie </w:t>
      </w:r>
      <w:r w:rsidRPr="00575EB2">
        <w:rPr>
          <w:rFonts w:ascii="Arial Narrow" w:hAnsi="Arial Narrow" w:cs="Arial Narrow"/>
          <w:sz w:val="22"/>
          <w:szCs w:val="22"/>
        </w:rPr>
        <w:t>Rady (ES) č. 974/98 z 3.</w:t>
      </w:r>
      <w:r w:rsidRPr="00575EB2">
        <w:rPr>
          <w:rFonts w:ascii="Symbol" w:hAnsi="Symbol" w:cs="Arial Narrow"/>
          <w:sz w:val="22"/>
          <w:szCs w:val="22"/>
        </w:rPr>
        <w:sym w:font="Symbol" w:char="F020"/>
      </w:r>
      <w:r w:rsidRPr="00575EB2">
        <w:rPr>
          <w:rFonts w:ascii="Arial Narrow" w:hAnsi="Arial Narrow" w:cs="Arial Narrow"/>
          <w:sz w:val="22"/>
          <w:szCs w:val="22"/>
        </w:rPr>
        <w:t>mája 1998 o zavedení eura v platnom znení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kap.10/zv.</w:t>
      </w:r>
      <w:r w:rsidRPr="00575EB2">
        <w:rPr>
          <w:rFonts w:ascii="Symbol" w:hAnsi="Symbol" w:cs="Arial Narrow"/>
          <w:sz w:val="22"/>
          <w:szCs w:val="22"/>
        </w:rPr>
        <w:sym w:font="Symbol" w:char="F020"/>
      </w:r>
      <w:r w:rsidRPr="00575EB2">
        <w:rPr>
          <w:rFonts w:ascii="Arial Narrow" w:hAnsi="Arial Narrow" w:cs="Arial Narrow"/>
          <w:sz w:val="22"/>
          <w:szCs w:val="22"/>
        </w:rPr>
        <w:t>01),</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n</w:t>
      </w:r>
      <w:r w:rsidRPr="00575EB2">
        <w:rPr>
          <w:rFonts w:ascii="Arial Narrow" w:hAnsi="Arial Narrow" w:cs="Arial Narrow"/>
          <w:color w:val="000000"/>
          <w:sz w:val="22"/>
          <w:szCs w:val="22"/>
        </w:rPr>
        <w:t xml:space="preserve">ariadenie </w:t>
      </w:r>
      <w:r w:rsidRPr="00575EB2">
        <w:rPr>
          <w:rFonts w:ascii="Arial Narrow" w:hAnsi="Arial Narrow" w:cs="Arial Narrow"/>
          <w:sz w:val="22"/>
          <w:szCs w:val="22"/>
        </w:rPr>
        <w:t>Rady (ES) č</w:t>
      </w:r>
      <w:r w:rsidRPr="00575EB2">
        <w:rPr>
          <w:rFonts w:ascii="Arial Narrow" w:hAnsi="Arial Narrow" w:cs="Arial Narrow"/>
          <w:sz w:val="22"/>
          <w:szCs w:val="22"/>
        </w:rPr>
        <w:t>.</w:t>
      </w:r>
      <w:r w:rsidRPr="00575EB2">
        <w:rPr>
          <w:rFonts w:ascii="Symbol" w:hAnsi="Symbol" w:cs="Arial Narrow"/>
          <w:sz w:val="22"/>
          <w:szCs w:val="22"/>
        </w:rPr>
        <w:sym w:font="Symbol" w:char="F020"/>
      </w:r>
      <w:r w:rsidRPr="00575EB2">
        <w:rPr>
          <w:rFonts w:ascii="Arial Narrow" w:hAnsi="Arial Narrow" w:cs="Arial Narrow"/>
          <w:sz w:val="22"/>
          <w:szCs w:val="22"/>
        </w:rPr>
        <w:t>975/98 z 3.</w:t>
      </w:r>
      <w:r w:rsidRPr="00575EB2">
        <w:rPr>
          <w:rFonts w:ascii="Symbol" w:hAnsi="Symbol" w:cs="Arial Narrow"/>
          <w:sz w:val="22"/>
          <w:szCs w:val="22"/>
        </w:rPr>
        <w:sym w:font="Symbol" w:char="F020"/>
      </w:r>
      <w:r w:rsidRPr="00575EB2">
        <w:rPr>
          <w:rFonts w:ascii="Arial Narrow" w:hAnsi="Arial Narrow" w:cs="Arial Narrow"/>
          <w:sz w:val="22"/>
          <w:szCs w:val="22"/>
        </w:rPr>
        <w:t>mája 1998 o nominálnych hodnotách a technických špecifikáciách euromincí určených do obehu v platnom znení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kap.10/zv.</w:t>
      </w:r>
      <w:r w:rsidRPr="00575EB2">
        <w:rPr>
          <w:rFonts w:ascii="Symbol" w:hAnsi="Symbol" w:cs="Arial Narrow"/>
          <w:sz w:val="22"/>
          <w:szCs w:val="22"/>
        </w:rPr>
        <w:sym w:font="Symbol" w:char="F020"/>
      </w:r>
      <w:r w:rsidRPr="00575EB2">
        <w:rPr>
          <w:rFonts w:ascii="Arial Narrow" w:hAnsi="Arial Narrow" w:cs="Arial Narrow"/>
          <w:sz w:val="22"/>
          <w:szCs w:val="22"/>
        </w:rPr>
        <w:t xml:space="preserve">01), </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rozhodnutie Rady (ES) č. 98/415/ES z 29.</w:t>
      </w:r>
      <w:r w:rsidRPr="00575EB2">
        <w:rPr>
          <w:rFonts w:ascii="Symbol" w:hAnsi="Symbol" w:cs="Arial Narrow"/>
          <w:sz w:val="22"/>
          <w:szCs w:val="22"/>
        </w:rPr>
        <w:sym w:font="Symbol" w:char="F020"/>
      </w:r>
      <w:r w:rsidRPr="00575EB2">
        <w:rPr>
          <w:rFonts w:ascii="Arial Narrow" w:hAnsi="Arial Narrow" w:cs="Arial Narrow"/>
          <w:sz w:val="22"/>
          <w:szCs w:val="22"/>
        </w:rPr>
        <w:t>júna 1998 o poradení sa vnútroštátnych orgánov s Európskou centrálnou bankou ohľadom návrhov právnych predpisov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 1/zv.</w:t>
      </w:r>
      <w:r w:rsidRPr="00575EB2">
        <w:rPr>
          <w:rFonts w:ascii="Symbol" w:hAnsi="Symbol" w:cs="Arial Narrow"/>
          <w:sz w:val="22"/>
          <w:szCs w:val="22"/>
        </w:rPr>
        <w:sym w:font="Symbol" w:char="F020"/>
      </w:r>
      <w:r w:rsidRPr="00575EB2">
        <w:rPr>
          <w:rFonts w:ascii="Arial Narrow" w:hAnsi="Arial Narrow" w:cs="Arial Narrow"/>
          <w:sz w:val="22"/>
          <w:szCs w:val="22"/>
        </w:rPr>
        <w:t>01),</w:t>
      </w:r>
    </w:p>
    <w:p w:rsidRPr="00575EB2">
      <w:pPr>
        <w:numPr>
          <w:ilvl w:val="2"/>
          <w:numId w:val="3"/>
        </w:numPr>
        <w:tabs>
          <w:tab w:val="left" w:pos="437"/>
          <w:tab w:val="clear" w:pos="2829"/>
        </w:tabs>
        <w:spacing w:after="20"/>
        <w:ind w:left="437" w:hanging="437"/>
        <w:jc w:val="both"/>
        <w:rPr>
          <w:rFonts w:ascii="Arial Narrow" w:hAnsi="Arial Narrow" w:cs="Arial Narrow"/>
          <w:sz w:val="22"/>
          <w:szCs w:val="22"/>
        </w:rPr>
      </w:pPr>
      <w:r w:rsidRPr="00575EB2">
        <w:rPr>
          <w:rFonts w:ascii="Arial Narrow" w:hAnsi="Arial Narrow" w:cs="Arial Narrow"/>
          <w:sz w:val="22"/>
          <w:szCs w:val="22"/>
        </w:rPr>
        <w:t>n</w:t>
      </w:r>
      <w:r w:rsidRPr="00575EB2">
        <w:rPr>
          <w:rFonts w:ascii="Arial Narrow" w:hAnsi="Arial Narrow" w:cs="Arial Narrow"/>
          <w:color w:val="000000"/>
          <w:sz w:val="22"/>
          <w:szCs w:val="22"/>
        </w:rPr>
        <w:t xml:space="preserve">ariadenie </w:t>
      </w:r>
      <w:r w:rsidRPr="00575EB2">
        <w:rPr>
          <w:rFonts w:ascii="Arial Narrow" w:hAnsi="Arial Narrow" w:cs="Arial Narrow"/>
          <w:sz w:val="22"/>
          <w:szCs w:val="22"/>
        </w:rPr>
        <w:t>Rady (ES) č.</w:t>
      </w:r>
      <w:r w:rsidRPr="00575EB2">
        <w:rPr>
          <w:rFonts w:ascii="Symbol" w:hAnsi="Symbol" w:cs="Arial Narrow"/>
          <w:sz w:val="22"/>
          <w:szCs w:val="22"/>
        </w:rPr>
        <w:sym w:font="Symbol" w:char="F020"/>
      </w:r>
      <w:r w:rsidRPr="00575EB2">
        <w:rPr>
          <w:rFonts w:ascii="Arial Narrow" w:hAnsi="Arial Narrow" w:cs="Arial Narrow"/>
          <w:sz w:val="22"/>
          <w:szCs w:val="22"/>
        </w:rPr>
        <w:t>2866/98 z 31.</w:t>
      </w:r>
      <w:r w:rsidRPr="00575EB2">
        <w:rPr>
          <w:rFonts w:ascii="Symbol" w:hAnsi="Symbol" w:cs="Arial Narrow"/>
          <w:sz w:val="22"/>
          <w:szCs w:val="22"/>
        </w:rPr>
        <w:sym w:font="Symbol" w:char="F020"/>
      </w:r>
      <w:r w:rsidRPr="00575EB2">
        <w:rPr>
          <w:rFonts w:ascii="Arial Narrow" w:hAnsi="Arial Narrow" w:cs="Arial Narrow"/>
          <w:sz w:val="22"/>
          <w:szCs w:val="22"/>
        </w:rPr>
        <w:t xml:space="preserve">decembra 1998 o výmenných kurzoch medzi eurom a menami členských štátov zavádzajúcich euro v platnom znení </w:t>
      </w:r>
      <w:r w:rsidRPr="00575EB2">
        <w:rPr>
          <w:rFonts w:ascii="Arial Narrow" w:hAnsi="Arial Narrow" w:cs="Arial Narrow"/>
          <w:sz w:val="22"/>
          <w:szCs w:val="22"/>
        </w:rPr>
        <w:t>(Ú.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ES L</w:t>
      </w:r>
      <w:r w:rsidRPr="00575EB2">
        <w:rPr>
          <w:rFonts w:ascii="Symbol" w:hAnsi="Symbol" w:cs="Arial Narrow"/>
          <w:sz w:val="22"/>
          <w:szCs w:val="22"/>
        </w:rPr>
        <w:sym w:font="Symbol" w:char="F020"/>
      </w:r>
      <w:r w:rsidRPr="00575EB2">
        <w:rPr>
          <w:rFonts w:ascii="Arial Narrow" w:hAnsi="Arial Narrow" w:cs="Arial Narrow"/>
          <w:sz w:val="22"/>
          <w:szCs w:val="22"/>
        </w:rPr>
        <w:t>359 z 31.</w:t>
      </w:r>
      <w:r w:rsidRPr="00575EB2">
        <w:rPr>
          <w:rFonts w:ascii="Symbol" w:hAnsi="Symbol" w:cs="Arial Narrow"/>
          <w:sz w:val="22"/>
          <w:szCs w:val="22"/>
        </w:rPr>
        <w:sym w:font="Symbol" w:char="F020"/>
      </w:r>
      <w:r w:rsidRPr="00575EB2">
        <w:rPr>
          <w:rFonts w:ascii="Arial Narrow" w:hAnsi="Arial Narrow" w:cs="Arial Narrow"/>
          <w:sz w:val="22"/>
          <w:szCs w:val="22"/>
        </w:rPr>
        <w:t>12</w:t>
      </w:r>
      <w:r w:rsidRPr="00575EB2">
        <w:rPr>
          <w:rFonts w:ascii="Symbol" w:hAnsi="Symbol" w:cs="Arial Narrow"/>
          <w:sz w:val="22"/>
          <w:szCs w:val="22"/>
        </w:rPr>
        <w:sym w:font="Symbol" w:char="F020"/>
      </w:r>
      <w:r w:rsidRPr="00575EB2">
        <w:rPr>
          <w:rFonts w:ascii="Arial Narrow" w:hAnsi="Arial Narrow" w:cs="Arial Narrow"/>
          <w:sz w:val="22"/>
          <w:szCs w:val="22"/>
        </w:rPr>
        <w:t xml:space="preserve">1998), </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usmernenie Európskej centrálnej banky z 31.</w:t>
      </w:r>
      <w:r w:rsidRPr="00575EB2">
        <w:rPr>
          <w:rFonts w:ascii="Symbol" w:hAnsi="Symbol" w:cs="Arial Narrow"/>
          <w:sz w:val="22"/>
          <w:szCs w:val="22"/>
        </w:rPr>
        <w:sym w:font="Symbol" w:char="F020"/>
      </w:r>
      <w:r w:rsidRPr="00575EB2">
        <w:rPr>
          <w:rFonts w:ascii="Arial Narrow" w:hAnsi="Arial Narrow" w:cs="Arial Narrow"/>
          <w:sz w:val="22"/>
          <w:szCs w:val="22"/>
        </w:rPr>
        <w:t>augusta 2000 o nástrojoch menovej politiky a postupoch Eurosystému (ECB/2000/7) v platnom znení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kap.10/zv.</w:t>
      </w:r>
      <w:r w:rsidRPr="00575EB2">
        <w:rPr>
          <w:rFonts w:ascii="Symbol" w:hAnsi="Symbol" w:cs="Arial Narrow"/>
          <w:sz w:val="22"/>
          <w:szCs w:val="22"/>
        </w:rPr>
        <w:sym w:font="Symbol" w:char="F020"/>
      </w:r>
      <w:r w:rsidRPr="00575EB2">
        <w:rPr>
          <w:rFonts w:ascii="Arial Narrow" w:hAnsi="Arial Narrow" w:cs="Arial Narrow"/>
          <w:sz w:val="22"/>
          <w:szCs w:val="22"/>
        </w:rPr>
        <w:t>01),</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n</w:t>
      </w:r>
      <w:r w:rsidRPr="00575EB2">
        <w:rPr>
          <w:rFonts w:ascii="Arial Narrow" w:hAnsi="Arial Narrow" w:cs="Arial Narrow"/>
          <w:color w:val="000000"/>
          <w:sz w:val="22"/>
          <w:szCs w:val="22"/>
        </w:rPr>
        <w:t>ariadenie</w:t>
      </w:r>
      <w:r w:rsidRPr="00575EB2">
        <w:rPr>
          <w:rFonts w:ascii="Arial Narrow" w:hAnsi="Arial Narrow" w:cs="Arial Narrow"/>
          <w:sz w:val="22"/>
          <w:szCs w:val="22"/>
        </w:rPr>
        <w:t xml:space="preserve"> Rady (ES) č.</w:t>
      </w:r>
      <w:r w:rsidRPr="00575EB2">
        <w:rPr>
          <w:rFonts w:ascii="Symbol" w:hAnsi="Symbol" w:cs="Arial Narrow"/>
          <w:sz w:val="22"/>
          <w:szCs w:val="22"/>
        </w:rPr>
        <w:sym w:font="Symbol" w:char="F020"/>
      </w:r>
      <w:r w:rsidRPr="00575EB2">
        <w:rPr>
          <w:rFonts w:ascii="Arial Narrow" w:hAnsi="Arial Narrow" w:cs="Arial Narrow"/>
          <w:sz w:val="22"/>
          <w:szCs w:val="22"/>
        </w:rPr>
        <w:t>1338/2001 z 2</w:t>
      </w:r>
      <w:r w:rsidRPr="00575EB2">
        <w:rPr>
          <w:rFonts w:ascii="Arial Narrow" w:hAnsi="Arial Narrow" w:cs="Arial Narrow"/>
          <w:sz w:val="22"/>
          <w:szCs w:val="22"/>
        </w:rPr>
        <w:t>8.</w:t>
      </w:r>
      <w:r w:rsidRPr="00575EB2">
        <w:rPr>
          <w:rFonts w:ascii="Symbol" w:hAnsi="Symbol" w:cs="Arial Narrow"/>
          <w:sz w:val="22"/>
          <w:szCs w:val="22"/>
        </w:rPr>
        <w:sym w:font="Symbol" w:char="F020"/>
      </w:r>
      <w:r w:rsidRPr="00575EB2">
        <w:rPr>
          <w:rFonts w:ascii="Arial Narrow" w:hAnsi="Arial Narrow" w:cs="Arial Narrow"/>
          <w:sz w:val="22"/>
          <w:szCs w:val="22"/>
        </w:rPr>
        <w:t>júna 2001 stanovujúce opatrenia nevyhnutné na ochranu eura proti falšovaniu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 19/zv.</w:t>
      </w:r>
      <w:r w:rsidRPr="00575EB2">
        <w:rPr>
          <w:rFonts w:ascii="Symbol" w:hAnsi="Symbol" w:cs="Arial Narrow"/>
          <w:sz w:val="22"/>
          <w:szCs w:val="22"/>
        </w:rPr>
        <w:sym w:font="Symbol" w:char="F020"/>
      </w:r>
      <w:r w:rsidRPr="00575EB2">
        <w:rPr>
          <w:rFonts w:ascii="Arial Narrow" w:hAnsi="Arial Narrow" w:cs="Arial Narrow"/>
          <w:sz w:val="22"/>
          <w:szCs w:val="22"/>
        </w:rPr>
        <w:t>04),</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n</w:t>
      </w:r>
      <w:r w:rsidRPr="00575EB2">
        <w:rPr>
          <w:rFonts w:ascii="Arial Narrow" w:hAnsi="Arial Narrow" w:cs="Arial Narrow"/>
          <w:color w:val="000000"/>
          <w:sz w:val="22"/>
          <w:szCs w:val="22"/>
        </w:rPr>
        <w:t>ariadenie</w:t>
      </w:r>
      <w:r w:rsidRPr="00575EB2">
        <w:rPr>
          <w:rFonts w:ascii="Arial Narrow" w:hAnsi="Arial Narrow" w:cs="Arial Narrow"/>
          <w:sz w:val="22"/>
          <w:szCs w:val="22"/>
        </w:rPr>
        <w:t xml:space="preserve"> Rady (ES) č.</w:t>
      </w:r>
      <w:r w:rsidRPr="00575EB2">
        <w:rPr>
          <w:rFonts w:ascii="Symbol" w:hAnsi="Symbol" w:cs="Arial Narrow"/>
          <w:sz w:val="22"/>
          <w:szCs w:val="22"/>
        </w:rPr>
        <w:sym w:font="Symbol" w:char="F020"/>
      </w:r>
      <w:r w:rsidRPr="00575EB2">
        <w:rPr>
          <w:rFonts w:ascii="Arial Narrow" w:hAnsi="Arial Narrow" w:cs="Arial Narrow"/>
          <w:sz w:val="22"/>
          <w:szCs w:val="22"/>
        </w:rPr>
        <w:t>1339/2001 z 28.</w:t>
      </w:r>
      <w:r w:rsidRPr="00575EB2">
        <w:rPr>
          <w:rFonts w:ascii="Symbol" w:hAnsi="Symbol" w:cs="Arial Narrow"/>
          <w:sz w:val="22"/>
          <w:szCs w:val="22"/>
        </w:rPr>
        <w:sym w:font="Symbol" w:char="F020"/>
      </w:r>
      <w:r w:rsidRPr="00575EB2">
        <w:rPr>
          <w:rFonts w:ascii="Arial Narrow" w:hAnsi="Arial Narrow" w:cs="Arial Narrow"/>
          <w:sz w:val="22"/>
          <w:szCs w:val="22"/>
        </w:rPr>
        <w:t>júna 2001, ktorým sa rozširuje účinnosť nariadenia (ES) č.</w:t>
      </w:r>
      <w:r w:rsidRPr="00575EB2">
        <w:rPr>
          <w:rFonts w:ascii="Symbol" w:hAnsi="Symbol" w:cs="Arial Narrow"/>
          <w:sz w:val="22"/>
          <w:szCs w:val="22"/>
        </w:rPr>
        <w:sym w:font="Symbol" w:char="F020"/>
      </w:r>
      <w:r w:rsidRPr="00575EB2">
        <w:rPr>
          <w:rFonts w:ascii="Arial Narrow" w:hAnsi="Arial Narrow" w:cs="Arial Narrow"/>
          <w:sz w:val="22"/>
          <w:szCs w:val="22"/>
        </w:rPr>
        <w:t>1338/2001 stanovujúceho opatren</w:t>
      </w:r>
      <w:r w:rsidRPr="00575EB2">
        <w:rPr>
          <w:rFonts w:ascii="Arial Narrow" w:hAnsi="Arial Narrow" w:cs="Arial Narrow"/>
          <w:sz w:val="22"/>
          <w:szCs w:val="22"/>
        </w:rPr>
        <w:t>ia nevyhnutné na ochranu eura proti falšovaniu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 19/zv.</w:t>
      </w:r>
      <w:r w:rsidRPr="00575EB2">
        <w:rPr>
          <w:rFonts w:ascii="Symbol" w:hAnsi="Symbol" w:cs="Arial Narrow"/>
          <w:sz w:val="22"/>
          <w:szCs w:val="22"/>
        </w:rPr>
        <w:sym w:font="Symbol" w:char="F020"/>
      </w:r>
      <w:r w:rsidRPr="00575EB2">
        <w:rPr>
          <w:rFonts w:ascii="Arial Narrow" w:hAnsi="Arial Narrow" w:cs="Arial Narrow"/>
          <w:sz w:val="22"/>
          <w:szCs w:val="22"/>
        </w:rPr>
        <w:t>04),</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rozhodnutie Európskej centrálnej banky zo 6.</w:t>
      </w:r>
      <w:r w:rsidRPr="00575EB2">
        <w:rPr>
          <w:rFonts w:ascii="Symbol" w:hAnsi="Symbol" w:cs="Arial Narrow"/>
          <w:sz w:val="22"/>
          <w:szCs w:val="22"/>
        </w:rPr>
        <w:sym w:font="Symbol" w:char="F020"/>
      </w:r>
      <w:r w:rsidRPr="00575EB2">
        <w:rPr>
          <w:rFonts w:ascii="Arial Narrow" w:hAnsi="Arial Narrow" w:cs="Arial Narrow"/>
          <w:sz w:val="22"/>
          <w:szCs w:val="22"/>
        </w:rPr>
        <w:t>decembra 2001 o vydaní eurobankoviek  (ECB/2001/15) v platnom znení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 10/zv.</w:t>
      </w:r>
      <w:r w:rsidRPr="00575EB2">
        <w:rPr>
          <w:rFonts w:ascii="Symbol" w:hAnsi="Symbol" w:cs="Arial Narrow"/>
          <w:sz w:val="22"/>
          <w:szCs w:val="22"/>
        </w:rPr>
        <w:sym w:font="Symbol" w:char="F020"/>
      </w:r>
      <w:r w:rsidRPr="00575EB2">
        <w:rPr>
          <w:rFonts w:ascii="Arial Narrow" w:hAnsi="Arial Narrow" w:cs="Arial Narrow"/>
          <w:sz w:val="22"/>
          <w:szCs w:val="22"/>
        </w:rPr>
        <w:t>03),</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rozhodnutie Európskej centrálnej banky z 20.</w:t>
      </w:r>
      <w:r w:rsidRPr="00575EB2">
        <w:rPr>
          <w:rFonts w:ascii="Symbol" w:hAnsi="Symbol" w:cs="Arial Narrow"/>
          <w:sz w:val="22"/>
          <w:szCs w:val="22"/>
        </w:rPr>
        <w:sym w:font="Symbol" w:char="F020"/>
      </w:r>
      <w:r w:rsidRPr="00575EB2">
        <w:rPr>
          <w:rFonts w:ascii="Arial Narrow" w:hAnsi="Arial Narrow" w:cs="Arial Narrow"/>
          <w:sz w:val="22"/>
          <w:szCs w:val="22"/>
        </w:rPr>
        <w:t>marca 2003 o nominálnych hodnotách, špecifikáciách, reprodukcii, výmene a sťahovaní eurobankoviek z obehu (ECB/2003/4)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kap.10/zv.</w:t>
      </w:r>
      <w:r w:rsidRPr="00575EB2">
        <w:rPr>
          <w:rFonts w:ascii="Symbol" w:hAnsi="Symbol" w:cs="Arial Narrow"/>
          <w:sz w:val="22"/>
          <w:szCs w:val="22"/>
        </w:rPr>
        <w:sym w:font="Symbol" w:char="F020"/>
      </w:r>
      <w:r w:rsidRPr="00575EB2">
        <w:rPr>
          <w:rFonts w:ascii="Arial Narrow" w:hAnsi="Arial Narrow" w:cs="Arial Narrow"/>
          <w:sz w:val="22"/>
          <w:szCs w:val="22"/>
        </w:rPr>
        <w:t>03),</w:t>
      </w:r>
    </w:p>
    <w:p w:rsidRPr="00575EB2">
      <w:pPr>
        <w:numPr>
          <w:ilvl w:val="2"/>
          <w:numId w:val="3"/>
        </w:numPr>
        <w:tabs>
          <w:tab w:val="left" w:pos="437"/>
          <w:tab w:val="clear" w:pos="2829"/>
        </w:tabs>
        <w:spacing w:after="60"/>
        <w:ind w:left="437" w:hanging="437"/>
        <w:jc w:val="both"/>
        <w:rPr>
          <w:rFonts w:ascii="Arial Narrow" w:hAnsi="Arial Narrow" w:cs="Arial Narrow"/>
          <w:i/>
          <w:iCs/>
          <w:sz w:val="22"/>
          <w:szCs w:val="22"/>
        </w:rPr>
      </w:pPr>
      <w:r w:rsidRPr="00575EB2">
        <w:rPr>
          <w:rFonts w:ascii="Arial Narrow" w:hAnsi="Arial Narrow" w:cs="Arial Narrow"/>
          <w:sz w:val="22"/>
          <w:szCs w:val="22"/>
        </w:rPr>
        <w:t>nariadenie Komisie (ES) č. 1725/2003 z 29. septembra 2003, ktorým sa prijímajú určité medzinárodné účtovné štandardy v súlade s nariadením Európskeho parlamentu a Rady (ES) č. 1606/2002 v platnom znení (</w:t>
      </w:r>
      <w:r w:rsidRPr="00575EB2">
        <w:rPr>
          <w:rStyle w:val="Emphasis"/>
          <w:rFonts w:ascii="Arial Narrow" w:hAnsi="Arial Narrow" w:cs="Arial Narrow"/>
          <w:i w:val="0"/>
          <w:iCs w:val="0"/>
          <w:sz w:val="22"/>
          <w:szCs w:val="22"/>
        </w:rPr>
        <w:t>Mimoriadne vydanie Ú. v. EÚ, kap.13/zv. 32),</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n</w:t>
      </w:r>
      <w:r w:rsidRPr="00575EB2">
        <w:rPr>
          <w:rFonts w:ascii="Arial Narrow" w:hAnsi="Arial Narrow" w:cs="Arial Narrow"/>
          <w:color w:val="000000"/>
          <w:sz w:val="22"/>
          <w:szCs w:val="22"/>
        </w:rPr>
        <w:t>ariadenie</w:t>
      </w:r>
      <w:r w:rsidRPr="00575EB2">
        <w:rPr>
          <w:rFonts w:ascii="Arial Narrow" w:hAnsi="Arial Narrow" w:cs="Arial Narrow"/>
          <w:sz w:val="22"/>
          <w:szCs w:val="22"/>
        </w:rPr>
        <w:t xml:space="preserve"> Európskej centrálnej banky č. 1745/2003 z 12.</w:t>
      </w:r>
      <w:r w:rsidRPr="00575EB2">
        <w:rPr>
          <w:rFonts w:ascii="Symbol" w:hAnsi="Symbol" w:cs="Arial Narrow"/>
          <w:sz w:val="22"/>
          <w:szCs w:val="22"/>
        </w:rPr>
        <w:sym w:font="Symbol" w:char="F020"/>
      </w:r>
      <w:r w:rsidRPr="00575EB2">
        <w:rPr>
          <w:rFonts w:ascii="Arial Narrow" w:hAnsi="Arial Narrow" w:cs="Arial Narrow"/>
          <w:sz w:val="22"/>
          <w:szCs w:val="22"/>
        </w:rPr>
        <w:t>septembra 2003 o povinných minimálnych rez</w:t>
      </w:r>
      <w:r w:rsidRPr="00575EB2">
        <w:rPr>
          <w:rFonts w:ascii="Arial Narrow" w:hAnsi="Arial Narrow" w:cs="Arial Narrow"/>
          <w:sz w:val="22"/>
          <w:szCs w:val="22"/>
        </w:rPr>
        <w:t>ervách (ECB/2003/9) (Mimoriadne vydanie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kap.10/zv.</w:t>
      </w:r>
      <w:r w:rsidRPr="00575EB2">
        <w:rPr>
          <w:rFonts w:ascii="Symbol" w:hAnsi="Symbol" w:cs="Arial Narrow"/>
          <w:sz w:val="22"/>
          <w:szCs w:val="22"/>
        </w:rPr>
        <w:sym w:font="Symbol" w:char="F020"/>
      </w:r>
      <w:r w:rsidRPr="00575EB2">
        <w:rPr>
          <w:rFonts w:ascii="Arial Narrow" w:hAnsi="Arial Narrow" w:cs="Arial Narrow"/>
          <w:sz w:val="22"/>
          <w:szCs w:val="22"/>
        </w:rPr>
        <w:t>03),</w:t>
      </w:r>
    </w:p>
    <w:p w:rsidRPr="00575EB2">
      <w:pPr>
        <w:numPr>
          <w:ilvl w:val="2"/>
          <w:numId w:val="3"/>
        </w:numPr>
        <w:tabs>
          <w:tab w:val="left" w:pos="437"/>
          <w:tab w:val="clear" w:pos="2829"/>
        </w:tabs>
        <w:spacing w:after="60"/>
        <w:ind w:left="437" w:hanging="437"/>
        <w:jc w:val="both"/>
        <w:rPr>
          <w:rFonts w:ascii="Arial Narrow" w:hAnsi="Arial Narrow" w:cs="Arial Narrow"/>
          <w:sz w:val="22"/>
          <w:szCs w:val="22"/>
        </w:rPr>
      </w:pPr>
      <w:r w:rsidRPr="00575EB2">
        <w:rPr>
          <w:rFonts w:ascii="Arial Narrow" w:hAnsi="Arial Narrow" w:cs="Arial Narrow"/>
          <w:sz w:val="22"/>
          <w:szCs w:val="22"/>
        </w:rPr>
        <w:t>nariadenie Rady (ES) č. 2182/2004 zo 6. decembra 2004 o medailách a žetónoch podobných eurominciam (</w:t>
      </w:r>
      <w:r w:rsidRPr="00575EB2">
        <w:rPr>
          <w:rStyle w:val="Emphasis"/>
          <w:rFonts w:ascii="Arial Narrow" w:hAnsi="Arial Narrow" w:cs="Arial Narrow"/>
          <w:i w:val="0"/>
          <w:iCs w:val="0"/>
          <w:sz w:val="22"/>
          <w:szCs w:val="22"/>
        </w:rPr>
        <w:t>Ú. v. EÚ L 373, 21.12.2004),</w:t>
      </w:r>
    </w:p>
    <w:p w:rsidRPr="00575EB2">
      <w:pPr>
        <w:numPr>
          <w:ilvl w:val="2"/>
          <w:numId w:val="3"/>
        </w:numPr>
        <w:tabs>
          <w:tab w:val="left" w:pos="437"/>
          <w:tab w:val="clear" w:pos="2829"/>
        </w:tabs>
        <w:spacing w:after="60"/>
        <w:ind w:left="437" w:hanging="437"/>
        <w:jc w:val="both"/>
        <w:rPr>
          <w:rFonts w:ascii="Arial Narrow" w:hAnsi="Arial Narrow" w:cs="Arial Narrow"/>
          <w:i/>
          <w:iCs/>
          <w:sz w:val="22"/>
          <w:szCs w:val="22"/>
        </w:rPr>
      </w:pPr>
      <w:r w:rsidRPr="00575EB2">
        <w:rPr>
          <w:rFonts w:ascii="Arial Narrow" w:hAnsi="Arial Narrow" w:cs="Arial Narrow"/>
          <w:sz w:val="22"/>
          <w:szCs w:val="22"/>
        </w:rPr>
        <w:t>nariadenie Rady (ES) č. 2183/2004 zo 6. decembra 2004, ktorým sa rozširuje na neúčastnícke členské štáty uplatňovanie nariadenia (ES) č. 2182/2004 o medailách a žetónoch podobných eurominciam (</w:t>
      </w:r>
      <w:r w:rsidRPr="00575EB2">
        <w:rPr>
          <w:rStyle w:val="Emphasis"/>
          <w:rFonts w:ascii="Arial Narrow" w:hAnsi="Arial Narrow" w:cs="Arial Narrow"/>
          <w:i w:val="0"/>
          <w:iCs w:val="0"/>
          <w:sz w:val="22"/>
          <w:szCs w:val="22"/>
        </w:rPr>
        <w:t>Ú. v. EÚ L 373, 21.12.2004 ),</w:t>
      </w:r>
    </w:p>
    <w:p w:rsidRPr="00575EB2">
      <w:pPr>
        <w:numPr>
          <w:ilvl w:val="2"/>
          <w:numId w:val="3"/>
        </w:numPr>
        <w:tabs>
          <w:tab w:val="left" w:pos="437"/>
          <w:tab w:val="clear" w:pos="2829"/>
        </w:tabs>
        <w:spacing w:after="240"/>
        <w:ind w:left="437" w:hanging="437"/>
        <w:jc w:val="both"/>
        <w:rPr>
          <w:rFonts w:ascii="Arial Narrow" w:hAnsi="Arial Narrow" w:cs="Arial Narrow"/>
          <w:sz w:val="22"/>
          <w:szCs w:val="22"/>
        </w:rPr>
      </w:pPr>
      <w:r w:rsidRPr="00575EB2">
        <w:rPr>
          <w:rFonts w:ascii="Arial Narrow" w:hAnsi="Arial Narrow" w:cs="Arial Narrow"/>
          <w:sz w:val="22"/>
          <w:szCs w:val="22"/>
        </w:rPr>
        <w:t>usmernenie Európskej centrálnej banky z 10.</w:t>
      </w:r>
      <w:r w:rsidRPr="00575EB2">
        <w:rPr>
          <w:rFonts w:ascii="Symbol" w:hAnsi="Symbol" w:cs="Arial Narrow"/>
          <w:sz w:val="22"/>
          <w:szCs w:val="22"/>
        </w:rPr>
        <w:sym w:font="Symbol" w:char="F020"/>
      </w:r>
      <w:r w:rsidRPr="00575EB2">
        <w:rPr>
          <w:rFonts w:ascii="Arial Narrow" w:hAnsi="Arial Narrow" w:cs="Arial Narrow"/>
          <w:sz w:val="22"/>
          <w:szCs w:val="22"/>
        </w:rPr>
        <w:t>novembra 2006 o právnom rámci pre účtovníctvo a finančné výkazníctvo v Európskom systéme centrálnych bánk (ECB/2006/16) (Ú.</w:t>
      </w:r>
      <w:r w:rsidRPr="00575EB2">
        <w:rPr>
          <w:rFonts w:ascii="Symbol" w:hAnsi="Symbol" w:cs="Arial Narrow"/>
          <w:sz w:val="22"/>
          <w:szCs w:val="22"/>
        </w:rPr>
        <w:sym w:font="Symbol" w:char="F020"/>
      </w:r>
      <w:r w:rsidRPr="00575EB2">
        <w:rPr>
          <w:rFonts w:ascii="Arial Narrow" w:hAnsi="Arial Narrow" w:cs="Arial Narrow"/>
          <w:sz w:val="22"/>
          <w:szCs w:val="22"/>
        </w:rPr>
        <w:t>v.</w:t>
      </w:r>
      <w:r w:rsidRPr="00575EB2">
        <w:rPr>
          <w:rFonts w:ascii="Symbol" w:hAnsi="Symbol" w:cs="Arial Narrow"/>
          <w:sz w:val="22"/>
          <w:szCs w:val="22"/>
        </w:rPr>
        <w:sym w:font="Symbol" w:char="F020"/>
      </w:r>
      <w:r w:rsidRPr="00575EB2">
        <w:rPr>
          <w:rFonts w:ascii="Arial Narrow" w:hAnsi="Arial Narrow" w:cs="Arial Narrow"/>
          <w:sz w:val="22"/>
          <w:szCs w:val="22"/>
        </w:rPr>
        <w:t>EÚ L</w:t>
      </w:r>
      <w:r w:rsidRPr="00575EB2">
        <w:rPr>
          <w:rFonts w:ascii="Symbol" w:hAnsi="Symbol" w:cs="Arial Narrow"/>
          <w:sz w:val="22"/>
          <w:szCs w:val="22"/>
        </w:rPr>
        <w:sym w:font="Symbol" w:char="F020"/>
      </w:r>
      <w:r w:rsidRPr="00575EB2">
        <w:rPr>
          <w:rFonts w:ascii="Arial Narrow" w:hAnsi="Arial Narrow" w:cs="Arial Narrow"/>
          <w:sz w:val="22"/>
          <w:szCs w:val="22"/>
        </w:rPr>
        <w:t>348, 11.</w:t>
      </w:r>
      <w:r w:rsidRPr="00575EB2">
        <w:rPr>
          <w:rFonts w:ascii="Symbol" w:hAnsi="Symbol" w:cs="Arial Narrow"/>
          <w:sz w:val="22"/>
          <w:szCs w:val="22"/>
        </w:rPr>
        <w:sym w:font="Symbol" w:char="F020"/>
      </w:r>
      <w:r w:rsidRPr="00575EB2">
        <w:rPr>
          <w:rFonts w:ascii="Arial Narrow" w:hAnsi="Arial Narrow" w:cs="Arial Narrow"/>
          <w:sz w:val="22"/>
          <w:szCs w:val="22"/>
        </w:rPr>
        <w:t>12.</w:t>
      </w:r>
      <w:r w:rsidRPr="00575EB2">
        <w:rPr>
          <w:rFonts w:ascii="Symbol" w:hAnsi="Symbol" w:cs="Arial Narrow"/>
          <w:sz w:val="22"/>
          <w:szCs w:val="22"/>
        </w:rPr>
        <w:sym w:font="Symbol" w:char="F020"/>
      </w:r>
      <w:r w:rsidRPr="00575EB2">
        <w:rPr>
          <w:rFonts w:ascii="Arial Narrow" w:hAnsi="Arial Narrow" w:cs="Arial Narrow"/>
          <w:sz w:val="22"/>
          <w:szCs w:val="22"/>
        </w:rPr>
        <w:t>2006),</w:t>
      </w:r>
    </w:p>
    <w:p w:rsidRPr="00575EB2">
      <w:pPr>
        <w:numPr>
          <w:ilvl w:val="2"/>
          <w:numId w:val="3"/>
        </w:numPr>
        <w:tabs>
          <w:tab w:val="left" w:pos="437"/>
          <w:tab w:val="clear" w:pos="2829"/>
        </w:tabs>
        <w:spacing w:after="240"/>
        <w:ind w:left="437" w:hanging="437"/>
        <w:jc w:val="both"/>
        <w:rPr>
          <w:rStyle w:val="Emphasis"/>
          <w:rFonts w:ascii="Arial Narrow" w:hAnsi="Arial Narrow" w:cs="Arial Narrow"/>
          <w:i w:val="0"/>
          <w:iCs w:val="0"/>
          <w:sz w:val="22"/>
          <w:szCs w:val="22"/>
        </w:rPr>
      </w:pPr>
      <w:r w:rsidRPr="00575EB2">
        <w:rPr>
          <w:rFonts w:ascii="Arial Narrow" w:hAnsi="Arial Narrow" w:cs="Arial Narrow"/>
          <w:sz w:val="22"/>
          <w:szCs w:val="22"/>
        </w:rPr>
        <w:t>smernica Rady 2006/112/ES z  28. novembra 2006 o spoločnom systéme dane z pridanej hodnoty v platnom znení (</w:t>
      </w:r>
      <w:r w:rsidRPr="00575EB2">
        <w:rPr>
          <w:rStyle w:val="Emphasis"/>
          <w:rFonts w:ascii="Arial Narrow" w:hAnsi="Arial Narrow" w:cs="Arial Narrow"/>
          <w:i w:val="0"/>
          <w:iCs w:val="0"/>
          <w:sz w:val="22"/>
          <w:szCs w:val="22"/>
        </w:rPr>
        <w:t>Ú. v. EÚ L 347, 11.12.2006),</w:t>
      </w:r>
    </w:p>
    <w:p w:rsidRPr="00575EB2">
      <w:pPr>
        <w:numPr>
          <w:ilvl w:val="2"/>
          <w:numId w:val="3"/>
        </w:numPr>
        <w:tabs>
          <w:tab w:val="left" w:pos="437"/>
          <w:tab w:val="clear" w:pos="2829"/>
        </w:tabs>
        <w:spacing w:after="240"/>
        <w:ind w:left="437" w:hanging="437"/>
        <w:jc w:val="both"/>
        <w:rPr>
          <w:rStyle w:val="Emphasis"/>
          <w:rFonts w:ascii="Arial Narrow" w:hAnsi="Arial Narrow" w:cs="Arial Narrow"/>
          <w:i w:val="0"/>
          <w:iCs w:val="0"/>
          <w:sz w:val="22"/>
          <w:szCs w:val="22"/>
        </w:rPr>
      </w:pPr>
      <w:r w:rsidRPr="00575EB2">
        <w:rPr>
          <w:rFonts w:ascii="Arial Narrow" w:hAnsi="Arial Narrow" w:cs="Arial Narrow"/>
          <w:sz w:val="22"/>
          <w:szCs w:val="22"/>
        </w:rPr>
        <w:t xml:space="preserve">ôsma smernica Rady 79/1072/EHS zo 6. decembra 1979 o zosúladení právnych predpisov členských štátov týkajúcich sa daní z obratu — Úpravy o vrátení dane z pridanej hodnoty platiteľom dane, ktorí nemajú sídlo na území štátu v platnom znení </w:t>
      </w:r>
      <w:r w:rsidRPr="00575EB2">
        <w:rPr>
          <w:rStyle w:val="ZkladntextChar"/>
          <w:rFonts w:ascii="Arial Narrow" w:hAnsi="Arial Narrow" w:cs="Arial Narrow"/>
          <w:sz w:val="22"/>
          <w:szCs w:val="22"/>
        </w:rPr>
        <w:t>(</w:t>
      </w:r>
      <w:r w:rsidRPr="00575EB2">
        <w:rPr>
          <w:rStyle w:val="Emphasis"/>
          <w:rFonts w:ascii="Arial Narrow" w:hAnsi="Arial Narrow" w:cs="Arial Narrow"/>
          <w:i w:val="0"/>
          <w:iCs w:val="0"/>
          <w:sz w:val="22"/>
          <w:szCs w:val="22"/>
        </w:rPr>
        <w:t xml:space="preserve">Mimoriadne vydanie </w:t>
      </w:r>
      <w:r w:rsidRPr="00575EB2">
        <w:rPr>
          <w:rStyle w:val="ZkladntextChar"/>
          <w:rFonts w:ascii="Arial Narrow" w:hAnsi="Arial Narrow" w:cs="Arial Narrow"/>
          <w:sz w:val="22"/>
          <w:szCs w:val="22"/>
        </w:rPr>
        <w:t>Ú.v.</w:t>
      </w:r>
      <w:r w:rsidRPr="00575EB2">
        <w:rPr>
          <w:rStyle w:val="ZkladntextChar"/>
          <w:rFonts w:ascii="Arial Narrow" w:hAnsi="Arial Narrow" w:cs="Arial Narrow"/>
          <w:i/>
          <w:iCs/>
          <w:sz w:val="22"/>
          <w:szCs w:val="22"/>
        </w:rPr>
        <w:t xml:space="preserve"> </w:t>
      </w:r>
      <w:r w:rsidRPr="00575EB2">
        <w:rPr>
          <w:rStyle w:val="Emphasis"/>
          <w:rFonts w:ascii="Arial Narrow" w:hAnsi="Arial Narrow" w:cs="Arial Narrow"/>
          <w:i w:val="0"/>
          <w:iCs w:val="0"/>
          <w:sz w:val="22"/>
          <w:szCs w:val="22"/>
        </w:rPr>
        <w:t>EÚ, kap. 9</w:t>
      </w:r>
      <w:r w:rsidRPr="00575EB2">
        <w:rPr>
          <w:rStyle w:val="Emphasis"/>
          <w:rFonts w:ascii="Arial Narrow" w:hAnsi="Arial Narrow" w:cs="Arial Narrow"/>
          <w:i w:val="0"/>
          <w:iCs w:val="0"/>
          <w:sz w:val="22"/>
          <w:szCs w:val="22"/>
        </w:rPr>
        <w:t xml:space="preserve"> / zv. 1),</w:t>
      </w:r>
    </w:p>
    <w:p w:rsidRPr="00575EB2">
      <w:pPr>
        <w:numPr>
          <w:ilvl w:val="2"/>
          <w:numId w:val="3"/>
        </w:numPr>
        <w:tabs>
          <w:tab w:val="left" w:pos="437"/>
          <w:tab w:val="clear" w:pos="2829"/>
        </w:tabs>
        <w:spacing w:after="240"/>
        <w:ind w:left="437" w:hanging="437"/>
        <w:jc w:val="both"/>
        <w:rPr>
          <w:rFonts w:ascii="Arial Narrow" w:hAnsi="Arial Narrow" w:cs="Arial Narrow"/>
          <w:sz w:val="22"/>
          <w:szCs w:val="22"/>
        </w:rPr>
      </w:pPr>
      <w:r w:rsidRPr="00575EB2">
        <w:rPr>
          <w:rFonts w:ascii="Arial Narrow" w:hAnsi="Arial Narrow" w:cs="Arial Narrow"/>
          <w:sz w:val="22"/>
          <w:szCs w:val="22"/>
        </w:rPr>
        <w:t xml:space="preserve">trinásta smernica Rady 86/560/EHS zo 17. novembra 1986 o harmonizácii zákonov členských štátov týkajúcich sa daní z obratu — postup vrátenia dane z pridanej hodnoty osobám podliehajúcim zdaneniu, ktoré nesídlia na území spoločenstva </w:t>
      </w:r>
      <w:r w:rsidRPr="00575EB2">
        <w:rPr>
          <w:rStyle w:val="ZkladntextChar"/>
          <w:rFonts w:ascii="Arial Narrow" w:hAnsi="Arial Narrow" w:cs="Arial Narrow"/>
          <w:sz w:val="22"/>
          <w:szCs w:val="22"/>
        </w:rPr>
        <w:t>(</w:t>
      </w:r>
      <w:r w:rsidRPr="00575EB2">
        <w:rPr>
          <w:rStyle w:val="Emphasis"/>
          <w:rFonts w:ascii="Arial Narrow" w:hAnsi="Arial Narrow" w:cs="Arial Narrow"/>
          <w:i w:val="0"/>
          <w:iCs w:val="0"/>
          <w:sz w:val="22"/>
          <w:szCs w:val="22"/>
        </w:rPr>
        <w:t xml:space="preserve">Mimoriadne </w:t>
      </w:r>
      <w:r w:rsidRPr="00575EB2">
        <w:rPr>
          <w:rStyle w:val="Emphasis"/>
          <w:rFonts w:ascii="Arial Narrow" w:hAnsi="Arial Narrow" w:cs="Arial Narrow"/>
          <w:i w:val="0"/>
          <w:iCs w:val="0"/>
          <w:sz w:val="22"/>
          <w:szCs w:val="22"/>
        </w:rPr>
        <w:t xml:space="preserve">vydanie </w:t>
      </w:r>
      <w:r w:rsidRPr="00575EB2">
        <w:rPr>
          <w:rStyle w:val="ZkladntextChar"/>
          <w:rFonts w:ascii="Arial Narrow" w:hAnsi="Arial Narrow" w:cs="Arial Narrow"/>
          <w:sz w:val="22"/>
          <w:szCs w:val="22"/>
        </w:rPr>
        <w:t>Ú.v.</w:t>
      </w:r>
      <w:r w:rsidRPr="00575EB2">
        <w:rPr>
          <w:rStyle w:val="ZkladntextChar"/>
          <w:rFonts w:ascii="Arial Narrow" w:hAnsi="Arial Narrow" w:cs="Arial Narrow"/>
          <w:i/>
          <w:iCs/>
          <w:sz w:val="22"/>
          <w:szCs w:val="22"/>
        </w:rPr>
        <w:t xml:space="preserve"> </w:t>
      </w:r>
      <w:r w:rsidRPr="00575EB2">
        <w:rPr>
          <w:rStyle w:val="Emphasis"/>
          <w:rFonts w:ascii="Arial Narrow" w:hAnsi="Arial Narrow" w:cs="Arial Narrow"/>
          <w:i w:val="0"/>
          <w:iCs w:val="0"/>
          <w:sz w:val="22"/>
          <w:szCs w:val="22"/>
        </w:rPr>
        <w:t>EÚ, kap. 9 / zv. 1),</w:t>
      </w:r>
    </w:p>
    <w:p w:rsidRPr="00575EB2">
      <w:pPr>
        <w:pStyle w:val="BodyText"/>
        <w:numPr>
          <w:ilvl w:val="1"/>
          <w:numId w:val="1"/>
        </w:numPr>
        <w:tabs>
          <w:tab w:val="left" w:pos="397"/>
        </w:tabs>
        <w:spacing w:after="120"/>
        <w:ind w:left="346" w:hanging="340"/>
        <w:jc w:val="left"/>
        <w:rPr>
          <w:sz w:val="22"/>
          <w:szCs w:val="22"/>
        </w:rPr>
      </w:pPr>
      <w:r w:rsidRPr="00575EB2">
        <w:rPr>
          <w:sz w:val="22"/>
          <w:szCs w:val="22"/>
        </w:rPr>
        <w:t xml:space="preserve"> je upravená v práve Európskej únie:</w:t>
      </w:r>
    </w:p>
    <w:p w:rsidRPr="00575EB2">
      <w:pPr>
        <w:numPr>
          <w:ilvl w:val="2"/>
          <w:numId w:val="8"/>
        </w:numPr>
        <w:tabs>
          <w:tab w:val="left" w:pos="437"/>
          <w:tab w:val="clear" w:pos="2829"/>
        </w:tabs>
        <w:spacing w:after="120"/>
        <w:ind w:left="437" w:hanging="437"/>
        <w:jc w:val="both"/>
        <w:rPr>
          <w:rFonts w:ascii="Arial Narrow" w:hAnsi="Arial Narrow" w:cs="Arial Narrow"/>
          <w:color w:val="000000"/>
          <w:sz w:val="22"/>
          <w:szCs w:val="22"/>
        </w:rPr>
      </w:pPr>
      <w:r w:rsidRPr="00575EB2">
        <w:rPr>
          <w:rFonts w:ascii="Arial Narrow" w:hAnsi="Arial Narrow" w:cs="Arial Narrow"/>
          <w:sz w:val="22"/>
          <w:szCs w:val="22"/>
        </w:rPr>
        <w:t>čl.</w:t>
      </w:r>
      <w:r w:rsidRPr="00575EB2">
        <w:rPr>
          <w:rFonts w:ascii="Symbol" w:hAnsi="Symbol" w:cs="Arial Narrow"/>
          <w:sz w:val="22"/>
          <w:szCs w:val="22"/>
        </w:rPr>
        <w:sym w:font="Symbol" w:char="F020"/>
      </w:r>
      <w:r w:rsidRPr="00575EB2">
        <w:rPr>
          <w:rFonts w:ascii="Arial Narrow" w:hAnsi="Arial Narrow" w:cs="Arial Narrow"/>
          <w:sz w:val="22"/>
          <w:szCs w:val="22"/>
        </w:rPr>
        <w:t>1 ods.</w:t>
      </w:r>
      <w:r w:rsidRPr="00575EB2">
        <w:rPr>
          <w:rFonts w:ascii="Symbol" w:hAnsi="Symbol" w:cs="Arial Narrow"/>
          <w:sz w:val="22"/>
          <w:szCs w:val="22"/>
        </w:rPr>
        <w:sym w:font="Symbol" w:char="F020"/>
      </w:r>
      <w:r w:rsidRPr="00575EB2">
        <w:rPr>
          <w:rFonts w:ascii="Arial Narrow" w:hAnsi="Arial Narrow" w:cs="Arial Narrow"/>
          <w:sz w:val="22"/>
          <w:szCs w:val="22"/>
        </w:rPr>
        <w:t>2 Zmluvy o pristúpení Slovenskej republiky k Európskej únii</w:t>
      </w:r>
      <w:r w:rsidRPr="00575EB2">
        <w:rPr>
          <w:rFonts w:ascii="Arial Narrow" w:hAnsi="Arial Narrow" w:cs="Arial Narrow"/>
          <w:color w:val="000000"/>
          <w:sz w:val="22"/>
          <w:szCs w:val="22"/>
        </w:rPr>
        <w:t xml:space="preserve"> a </w:t>
      </w:r>
      <w:r w:rsidRPr="00575EB2">
        <w:rPr>
          <w:rFonts w:ascii="Arial Narrow" w:hAnsi="Arial Narrow" w:cs="Arial Narrow"/>
          <w:sz w:val="22"/>
          <w:szCs w:val="22"/>
        </w:rPr>
        <w:t>čl.</w:t>
      </w:r>
      <w:r w:rsidRPr="00575EB2">
        <w:rPr>
          <w:rFonts w:ascii="Symbol" w:hAnsi="Symbol" w:cs="Arial Narrow"/>
          <w:sz w:val="22"/>
          <w:szCs w:val="22"/>
        </w:rPr>
        <w:sym w:font="Symbol" w:char="F020"/>
      </w:r>
      <w:r w:rsidRPr="00575EB2">
        <w:rPr>
          <w:rFonts w:ascii="Arial Narrow" w:hAnsi="Arial Narrow" w:cs="Arial Narrow"/>
          <w:sz w:val="22"/>
          <w:szCs w:val="22"/>
        </w:rPr>
        <w:t>2 a čl. 4 Aktu o podmienkach pristúpenia pripojenom k Zmluve o pristúpení Slovenskej republiky k Európskej ú</w:t>
      </w:r>
      <w:r w:rsidRPr="00575EB2">
        <w:rPr>
          <w:rFonts w:ascii="Arial Narrow" w:hAnsi="Arial Narrow" w:cs="Arial Narrow"/>
          <w:sz w:val="22"/>
          <w:szCs w:val="22"/>
        </w:rPr>
        <w:t xml:space="preserve">nii, </w:t>
      </w:r>
    </w:p>
    <w:p w:rsidRPr="00575EB2">
      <w:pPr>
        <w:numPr>
          <w:ilvl w:val="2"/>
          <w:numId w:val="9"/>
        </w:numPr>
        <w:tabs>
          <w:tab w:val="left" w:pos="437"/>
          <w:tab w:val="clear" w:pos="2829"/>
        </w:tabs>
        <w:spacing w:after="120"/>
        <w:ind w:left="437" w:hanging="437"/>
        <w:jc w:val="both"/>
        <w:rPr>
          <w:rFonts w:ascii="Arial Narrow" w:hAnsi="Arial Narrow" w:cs="Arial Narrow"/>
          <w:color w:val="000000"/>
          <w:sz w:val="22"/>
          <w:szCs w:val="22"/>
        </w:rPr>
      </w:pPr>
      <w:r w:rsidRPr="00575EB2">
        <w:rPr>
          <w:rFonts w:ascii="Arial Narrow" w:hAnsi="Arial Narrow" w:cs="Arial Narrow"/>
          <w:sz w:val="22"/>
          <w:szCs w:val="22"/>
        </w:rPr>
        <w:t>čl. 2 Zmluvy o Európskej únii v platnom znení.</w:t>
      </w:r>
    </w:p>
    <w:p w:rsidRPr="00575EB2">
      <w:pPr>
        <w:pStyle w:val="BodyText"/>
        <w:numPr>
          <w:ilvl w:val="1"/>
          <w:numId w:val="1"/>
        </w:numPr>
        <w:tabs>
          <w:tab w:val="left" w:pos="397"/>
        </w:tabs>
        <w:spacing w:after="120"/>
        <w:ind w:left="397" w:hanging="397"/>
        <w:rPr>
          <w:sz w:val="22"/>
          <w:szCs w:val="22"/>
        </w:rPr>
      </w:pPr>
      <w:r w:rsidRPr="00575EB2">
        <w:rPr>
          <w:sz w:val="22"/>
          <w:szCs w:val="22"/>
        </w:rPr>
        <w:t>je obsiahnutá v judikatúre Súdneho dvora Európskych spoločenstiev alebo Súdu prvého stupňa  Európskych spoločenstiev:</w:t>
      </w:r>
    </w:p>
    <w:p w:rsidRPr="00575EB2">
      <w:pPr>
        <w:numPr>
          <w:ilvl w:val="2"/>
          <w:numId w:val="10"/>
        </w:numPr>
        <w:tabs>
          <w:tab w:val="left" w:pos="437"/>
          <w:tab w:val="clear" w:pos="2829"/>
        </w:tabs>
        <w:spacing w:after="120"/>
        <w:ind w:left="437" w:hanging="437"/>
        <w:jc w:val="both"/>
        <w:rPr>
          <w:rFonts w:ascii="Arial Narrow" w:hAnsi="Arial Narrow" w:cs="Arial Narrow"/>
          <w:color w:val="000000"/>
          <w:sz w:val="22"/>
          <w:szCs w:val="22"/>
        </w:rPr>
      </w:pPr>
      <w:r w:rsidRPr="00575EB2">
        <w:rPr>
          <w:rFonts w:ascii="Arial Narrow" w:hAnsi="Arial Narrow" w:cs="Arial Narrow"/>
          <w:sz w:val="22"/>
          <w:szCs w:val="22"/>
        </w:rPr>
        <w:t>rozhodnutie Súdneho dvora Európskych spoločenstiev vo veci C - 19/03, Landgericht Mün</w:t>
      </w:r>
      <w:r w:rsidRPr="00575EB2">
        <w:rPr>
          <w:rFonts w:ascii="Arial Narrow" w:hAnsi="Arial Narrow" w:cs="Arial Narrow"/>
          <w:sz w:val="22"/>
          <w:szCs w:val="22"/>
        </w:rPr>
        <w:t xml:space="preserve">chen I): Verbraucher-Zentrale Hamburg eV v. O2 (Germany) GmbH &amp; Co. OHG, rok  2004, Zb. roz. ESD (I – 08183), </w:t>
      </w:r>
    </w:p>
    <w:p w:rsidRPr="00575EB2">
      <w:pPr>
        <w:numPr>
          <w:ilvl w:val="2"/>
          <w:numId w:val="10"/>
        </w:numPr>
        <w:tabs>
          <w:tab w:val="left" w:pos="437"/>
          <w:tab w:val="clear" w:pos="2829"/>
        </w:tabs>
        <w:spacing w:after="120"/>
        <w:ind w:left="437" w:hanging="437"/>
        <w:jc w:val="both"/>
        <w:rPr>
          <w:rFonts w:ascii="Arial Narrow" w:hAnsi="Arial Narrow" w:cs="Arial Narrow"/>
          <w:color w:val="000000"/>
          <w:sz w:val="22"/>
          <w:szCs w:val="22"/>
        </w:rPr>
      </w:pPr>
      <w:r w:rsidRPr="00575EB2">
        <w:rPr>
          <w:rFonts w:ascii="Arial Narrow" w:hAnsi="Arial Narrow" w:cs="Arial Narrow"/>
          <w:sz w:val="22"/>
          <w:szCs w:val="22"/>
        </w:rPr>
        <w:t xml:space="preserve">rozhodnutie Súdneho dvora Európskych spoločenstiev vo veci C - 359/05, Estager SA v. Receveur principal de la recette des douanes de Brive, rok  </w:t>
      </w:r>
      <w:r w:rsidRPr="00575EB2">
        <w:rPr>
          <w:rFonts w:ascii="Arial Narrow" w:hAnsi="Arial Narrow" w:cs="Arial Narrow"/>
          <w:sz w:val="22"/>
          <w:szCs w:val="22"/>
        </w:rPr>
        <w:t>2007, Zb. roz. ESD (I - 00581).</w:t>
      </w:r>
    </w:p>
    <w:p w:rsidRPr="00575EB2">
      <w:pPr>
        <w:pStyle w:val="BodyText"/>
        <w:rPr>
          <w:sz w:val="22"/>
          <w:szCs w:val="22"/>
        </w:rPr>
      </w:pPr>
    </w:p>
    <w:p w:rsidRPr="00575EB2">
      <w:pPr>
        <w:numPr>
          <w:ilvl w:val="0"/>
          <w:numId w:val="1"/>
        </w:numPr>
        <w:tabs>
          <w:tab w:val="left" w:pos="0"/>
        </w:tabs>
        <w:spacing w:after="120"/>
        <w:ind w:left="437" w:hanging="437"/>
        <w:jc w:val="both"/>
        <w:rPr>
          <w:rFonts w:ascii="Arial Narrow" w:hAnsi="Arial Narrow" w:cs="Arial Narrow"/>
          <w:b/>
          <w:bCs/>
          <w:sz w:val="22"/>
          <w:szCs w:val="22"/>
        </w:rPr>
      </w:pPr>
      <w:r w:rsidRPr="00575EB2">
        <w:rPr>
          <w:rFonts w:ascii="Arial Narrow" w:hAnsi="Arial Narrow" w:cs="Arial Narrow"/>
          <w:b/>
          <w:bCs/>
          <w:sz w:val="22"/>
          <w:szCs w:val="22"/>
        </w:rPr>
        <w:t>Záväzky Slovenskej republiky vo vzťahu k Európskym spoločenstvám a Európskej únii:</w:t>
      </w:r>
    </w:p>
    <w:p w:rsidRPr="00575EB2">
      <w:pPr>
        <w:numPr>
          <w:ilvl w:val="0"/>
          <w:numId w:val="2"/>
        </w:numPr>
        <w:tabs>
          <w:tab w:val="clear" w:pos="360"/>
          <w:tab w:val="left" w:pos="437"/>
          <w:tab w:val="left" w:pos="709"/>
        </w:tabs>
        <w:spacing w:after="120"/>
        <w:ind w:left="437" w:hanging="437"/>
        <w:jc w:val="both"/>
        <w:rPr>
          <w:rFonts w:ascii="Arial Narrow" w:hAnsi="Arial Narrow" w:cs="Arial Narrow"/>
          <w:sz w:val="22"/>
          <w:szCs w:val="22"/>
        </w:rPr>
      </w:pPr>
      <w:r w:rsidRPr="00575EB2">
        <w:rPr>
          <w:rFonts w:ascii="Arial Narrow" w:hAnsi="Arial Narrow" w:cs="Arial Narrow"/>
          <w:sz w:val="22"/>
          <w:szCs w:val="22"/>
        </w:rPr>
        <w:t>Bezpredmetné.</w:t>
      </w:r>
    </w:p>
    <w:p w:rsidRPr="00575EB2">
      <w:pPr>
        <w:numPr>
          <w:ilvl w:val="0"/>
          <w:numId w:val="2"/>
        </w:numPr>
        <w:tabs>
          <w:tab w:val="clear" w:pos="360"/>
          <w:tab w:val="left" w:pos="437"/>
          <w:tab w:val="left" w:pos="709"/>
        </w:tabs>
        <w:spacing w:after="120"/>
        <w:ind w:left="437" w:hanging="437"/>
        <w:jc w:val="both"/>
        <w:rPr>
          <w:rFonts w:ascii="Arial Narrow" w:hAnsi="Arial Narrow" w:cs="Arial Narrow"/>
          <w:sz w:val="22"/>
          <w:szCs w:val="22"/>
        </w:rPr>
      </w:pPr>
      <w:r w:rsidRPr="00575EB2">
        <w:rPr>
          <w:rFonts w:ascii="Arial Narrow" w:hAnsi="Arial Narrow" w:cs="Arial Narrow"/>
          <w:sz w:val="22"/>
          <w:szCs w:val="22"/>
        </w:rPr>
        <w:t>Proti SR nebolo začaté konanie o porušení Zmluvy o založení Európskych spoločenstiev podľa čl. 226 až 228 Zmluvy o založení Európskych spoločenstiev v platnom znení.</w:t>
      </w:r>
    </w:p>
    <w:p w:rsidRPr="00575EB2">
      <w:pPr>
        <w:numPr>
          <w:ilvl w:val="0"/>
          <w:numId w:val="2"/>
        </w:numPr>
        <w:tabs>
          <w:tab w:val="clear" w:pos="360"/>
          <w:tab w:val="left" w:pos="437"/>
          <w:tab w:val="left" w:pos="709"/>
        </w:tabs>
        <w:spacing w:after="120"/>
        <w:jc w:val="both"/>
        <w:rPr>
          <w:rFonts w:ascii="Arial Narrow" w:hAnsi="Arial Narrow" w:cs="Arial Narrow"/>
          <w:sz w:val="22"/>
          <w:szCs w:val="22"/>
        </w:rPr>
      </w:pPr>
      <w:r w:rsidRPr="00575EB2">
        <w:rPr>
          <w:rFonts w:ascii="Arial Narrow" w:hAnsi="Arial Narrow" w:cs="Arial Narrow"/>
          <w:sz w:val="22"/>
          <w:szCs w:val="22"/>
        </w:rPr>
        <w:t>Bezpredmetné.</w:t>
      </w:r>
    </w:p>
    <w:p w:rsidRPr="00575EB2">
      <w:pPr>
        <w:numPr>
          <w:ilvl w:val="0"/>
          <w:numId w:val="1"/>
        </w:numPr>
        <w:tabs>
          <w:tab w:val="left" w:pos="0"/>
        </w:tabs>
        <w:spacing w:after="120"/>
        <w:ind w:left="437" w:hanging="437"/>
        <w:jc w:val="both"/>
        <w:rPr>
          <w:rFonts w:ascii="Arial Narrow" w:hAnsi="Arial Narrow" w:cs="Arial Narrow"/>
          <w:b/>
          <w:bCs/>
          <w:sz w:val="22"/>
          <w:szCs w:val="22"/>
        </w:rPr>
      </w:pPr>
      <w:r w:rsidRPr="00575EB2">
        <w:rPr>
          <w:rFonts w:ascii="Arial Narrow" w:hAnsi="Arial Narrow" w:cs="Arial Narrow"/>
          <w:b/>
          <w:bCs/>
          <w:sz w:val="22"/>
          <w:szCs w:val="22"/>
        </w:rPr>
        <w:t>Stupeň zlučiteľnosti návrhu zákona s právom Európskych spoločenstiev a právom Európskej únie:</w:t>
      </w:r>
    </w:p>
    <w:p w:rsidRPr="00575EB2">
      <w:pPr>
        <w:spacing w:after="120"/>
        <w:ind w:left="437"/>
        <w:jc w:val="both"/>
        <w:rPr>
          <w:rFonts w:ascii="Arial Narrow" w:hAnsi="Arial Narrow" w:cs="Arial Narrow"/>
          <w:sz w:val="22"/>
          <w:szCs w:val="22"/>
        </w:rPr>
      </w:pPr>
      <w:r w:rsidRPr="00575EB2">
        <w:rPr>
          <w:rFonts w:ascii="Arial Narrow" w:hAnsi="Arial Narrow" w:cs="Arial Narrow"/>
          <w:sz w:val="22"/>
          <w:szCs w:val="22"/>
        </w:rPr>
        <w:t>Úplný.</w:t>
      </w:r>
    </w:p>
    <w:p w:rsidRPr="00575EB2">
      <w:pPr>
        <w:numPr>
          <w:ilvl w:val="0"/>
          <w:numId w:val="1"/>
        </w:numPr>
        <w:tabs>
          <w:tab w:val="left" w:pos="0"/>
        </w:tabs>
        <w:spacing w:after="120"/>
        <w:ind w:left="437" w:hanging="437"/>
        <w:jc w:val="both"/>
        <w:rPr>
          <w:rFonts w:ascii="Arial Narrow" w:hAnsi="Arial Narrow" w:cs="Arial Narrow"/>
          <w:b/>
          <w:bCs/>
          <w:sz w:val="22"/>
          <w:szCs w:val="22"/>
        </w:rPr>
      </w:pPr>
      <w:r w:rsidRPr="00575EB2">
        <w:rPr>
          <w:rFonts w:ascii="Arial Narrow" w:hAnsi="Arial Narrow" w:cs="Arial Narrow"/>
          <w:b/>
          <w:bCs/>
          <w:sz w:val="22"/>
          <w:szCs w:val="22"/>
        </w:rPr>
        <w:t xml:space="preserve">Gestor a spolupracujúce rezorty: </w:t>
      </w:r>
    </w:p>
    <w:p w:rsidRPr="00575EB2">
      <w:pPr>
        <w:spacing w:after="120"/>
        <w:ind w:left="437"/>
        <w:jc w:val="both"/>
        <w:rPr>
          <w:rFonts w:ascii="Arial Narrow" w:hAnsi="Arial Narrow" w:cs="Arial Narrow"/>
          <w:sz w:val="22"/>
          <w:szCs w:val="22"/>
        </w:rPr>
      </w:pPr>
      <w:r w:rsidRPr="00575EB2">
        <w:rPr>
          <w:rFonts w:ascii="Arial Narrow" w:hAnsi="Arial Narrow" w:cs="Arial Narrow"/>
          <w:sz w:val="22"/>
          <w:szCs w:val="22"/>
        </w:rPr>
        <w:t>Ministerstvo financií Slovenskej republiky.</w:t>
      </w:r>
    </w:p>
    <w:p w:rsidRPr="00575EB2">
      <w:pPr>
        <w:pStyle w:val="Zkladntext"/>
        <w:tabs>
          <w:tab w:val="left" w:pos="406"/>
        </w:tabs>
        <w:spacing w:after="120"/>
        <w:jc w:val="both"/>
        <w:rPr>
          <w:rFonts w:ascii="Times New Roman" w:hAnsi="Times New Roman" w:cs="Times New Roman"/>
        </w:rPr>
      </w:pPr>
    </w:p>
    <w:p w:rsidRPr="00575EB2">
      <w:pPr>
        <w:jc w:val="center"/>
        <w:rPr>
          <w:rFonts w:ascii="Arial Narrow" w:hAnsi="Arial Narrow" w:cs="Arial"/>
          <w:b/>
          <w:sz w:val="22"/>
          <w:szCs w:val="22"/>
        </w:rPr>
      </w:pPr>
      <w:r w:rsidRPr="00575EB2">
        <w:rPr>
          <w:rFonts w:ascii="Times New Roman" w:hAnsi="Times New Roman" w:cs="Times New Roman"/>
          <w:color w:val="000000"/>
        </w:rPr>
        <w:br w:type="page"/>
      </w:r>
      <w:r w:rsidRPr="00575EB2">
        <w:rPr>
          <w:rFonts w:ascii="Arial Narrow" w:hAnsi="Arial Narrow" w:cs="Arial"/>
          <w:b/>
          <w:sz w:val="22"/>
          <w:szCs w:val="22"/>
        </w:rPr>
        <w:t>Doložka</w:t>
      </w:r>
    </w:p>
    <w:p w:rsidRPr="00575EB2">
      <w:pPr>
        <w:jc w:val="center"/>
        <w:rPr>
          <w:rFonts w:ascii="Arial Narrow" w:hAnsi="Arial Narrow" w:cs="Arial"/>
          <w:b/>
          <w:bCs/>
          <w:sz w:val="22"/>
          <w:szCs w:val="22"/>
        </w:rPr>
      </w:pPr>
      <w:r w:rsidRPr="00575EB2">
        <w:rPr>
          <w:rFonts w:ascii="Arial Narrow" w:hAnsi="Arial Narrow" w:cs="Arial"/>
          <w:b/>
          <w:bCs/>
          <w:sz w:val="22"/>
          <w:szCs w:val="22"/>
        </w:rPr>
        <w:t>finančných, ekonomických, environmentálnych vplyvov, vplyvov na zamestnanosť a podnikateľské prostredie</w:t>
      </w:r>
    </w:p>
    <w:p w:rsidRPr="00575EB2">
      <w:pPr>
        <w:rPr>
          <w:rFonts w:ascii="Arial Narrow" w:hAnsi="Arial Narrow" w:cs="Arial"/>
          <w:sz w:val="22"/>
          <w:szCs w:val="22"/>
        </w:rPr>
      </w:pPr>
    </w:p>
    <w:p w:rsidRPr="00575EB2">
      <w:pPr>
        <w:jc w:val="both"/>
        <w:rPr>
          <w:rFonts w:ascii="Arial Narrow" w:hAnsi="Arial Narrow" w:cs="Arial"/>
          <w:b/>
          <w:bCs/>
          <w:sz w:val="22"/>
          <w:szCs w:val="22"/>
        </w:rPr>
      </w:pPr>
      <w:r w:rsidRPr="00575EB2">
        <w:rPr>
          <w:rFonts w:ascii="Arial Narrow" w:hAnsi="Arial Narrow" w:cs="Arial"/>
          <w:b/>
          <w:bCs/>
          <w:sz w:val="22"/>
          <w:szCs w:val="22"/>
        </w:rPr>
        <w:t>1. Odhad dopadov na verejné financie</w:t>
      </w:r>
    </w:p>
    <w:p w:rsidRPr="00575EB2">
      <w:pPr>
        <w:jc w:val="both"/>
        <w:rPr>
          <w:rFonts w:ascii="Arial Narrow" w:hAnsi="Arial Narrow" w:cs="Arial"/>
          <w:sz w:val="22"/>
          <w:szCs w:val="22"/>
        </w:rPr>
      </w:pPr>
      <w:r w:rsidRPr="00575EB2">
        <w:rPr>
          <w:rFonts w:ascii="Arial Narrow" w:hAnsi="Arial Narrow" w:cs="Arial"/>
          <w:sz w:val="22"/>
          <w:szCs w:val="22"/>
        </w:rPr>
        <w:t>Predkladaný návrh zákona bude mať dopad na štátny rozpočet z dôvodu prednostného zaokrúhľovania súm v prospech daňových subjektov v súlade so zákonom č. 659/2007 Z.z. o zavedení meny euro  v Slovenskej republike a o zmene a doplnení niektorých zákonov. Možno očakávať, že navrhovaná novela zákona o súdnych poplatkoch bude znamenať mierne zníženie príjmov štátneho rozpočtu z dôvodu zaokrúhľovania súm súdnych poplatkov vo vzťahu k poplatníkom smerom nadol. Rovnako z dôvodu dodržania princípu zaokrúhľovania platieb smerom nadol môže dôjsť k miernemu zníženiu výnosov zo správnych poplatkov, a to vo vzťahu k štátnemu rozpočtu i k rozpočtom územnej samosprávy. Zaokrúhľovanie sankcií a pokút na eurocenty smerom nadol môže tiež spôsobiť zníženie príjmov štátneho rozpočtu a rozpočtov územnej samosprávy, avšak vzhľadom na to, že vo viacerých prípadoch ide o pokuty, ktorých výška je ustanovená určitým rozpätím (čo znamená, že sa nie vždy ukladajú v najvyššej možnej výške) bude tento dopad zanedbateľný.</w:t>
      </w:r>
    </w:p>
    <w:p w:rsidRPr="00575EB2">
      <w:pPr>
        <w:jc w:val="both"/>
        <w:rPr>
          <w:rFonts w:ascii="Arial Narrow" w:hAnsi="Arial Narrow" w:cs="Arial"/>
          <w:sz w:val="22"/>
          <w:szCs w:val="22"/>
        </w:rPr>
      </w:pPr>
    </w:p>
    <w:p w:rsidRPr="00575EB2">
      <w:pPr>
        <w:pStyle w:val="BodyText"/>
        <w:rPr>
          <w:rFonts w:cs="Arial"/>
          <w:sz w:val="22"/>
          <w:szCs w:val="22"/>
        </w:rPr>
      </w:pPr>
      <w:r w:rsidRPr="00575EB2">
        <w:rPr>
          <w:rFonts w:cs="Arial"/>
          <w:sz w:val="22"/>
          <w:szCs w:val="22"/>
        </w:rPr>
        <w:t xml:space="preserve">Celkový dopad na daňové príjmy  sa odhaduje pre rok 2009  v sume 333,6 mil. Sk. </w:t>
      </w:r>
    </w:p>
    <w:p w:rsidRPr="00575EB2">
      <w:pPr>
        <w:jc w:val="both"/>
        <w:rPr>
          <w:rFonts w:ascii="Arial Narrow" w:hAnsi="Arial Narrow" w:cs="Arial"/>
          <w:sz w:val="22"/>
          <w:szCs w:val="22"/>
        </w:rPr>
      </w:pPr>
      <w:r w:rsidRPr="00575EB2">
        <w:rPr>
          <w:rFonts w:ascii="Arial Narrow" w:hAnsi="Arial Narrow" w:cs="Arial"/>
          <w:sz w:val="22"/>
          <w:szCs w:val="22"/>
        </w:rPr>
        <w:t>Z hľadiska dane z pridanej hodnoty sa odhaduje negatívny dopad v roku 2009 vo výške 331 mil. Sk a z dôvodu zvýšenia počtu platiteľov dane v nasledujúcich rokoch je predpokladaný efektívny výnos  tejto dane v roku 2010 vo výške 172 mil. Sk a v roku 2011 vo výške 186 mil. Sk.</w:t>
      </w:r>
      <w:r w:rsidRPr="00575EB2">
        <w:rPr>
          <w:rFonts w:ascii="Arial Narrow" w:hAnsi="Arial Narrow" w:cs="Arial"/>
          <w:b/>
          <w:bCs/>
          <w:sz w:val="22"/>
          <w:szCs w:val="22"/>
        </w:rPr>
        <w:t xml:space="preserve"> </w:t>
      </w:r>
      <w:r w:rsidRPr="00575EB2">
        <w:rPr>
          <w:rFonts w:ascii="Arial Narrow" w:hAnsi="Arial Narrow" w:cs="Arial"/>
          <w:sz w:val="22"/>
          <w:szCs w:val="22"/>
        </w:rPr>
        <w:t>Zvýšenie počtu platiteľov vyplýva zo zníženia sumy  dosiahnutého obratu pre povinnú registráciu pre daň podľa § 4 zákona č. 222/2004 Z.z. o dani z pridanej hodnoty v znení neskorších predpisov.</w:t>
      </w:r>
    </w:p>
    <w:p w:rsidRPr="00575EB2">
      <w:pPr>
        <w:pStyle w:val="BodyText"/>
        <w:rPr>
          <w:rFonts w:cs="Arial"/>
          <w:sz w:val="22"/>
          <w:szCs w:val="22"/>
        </w:rPr>
      </w:pPr>
      <w:r w:rsidRPr="00575EB2">
        <w:rPr>
          <w:rFonts w:cs="Arial"/>
          <w:sz w:val="22"/>
          <w:szCs w:val="22"/>
        </w:rPr>
        <w:t>Pri spotrebných daniach sa odhaduje v roku 2009 negatívny dopad na výnos spotrebných daní 0,4 mil. Sk.</w:t>
      </w:r>
    </w:p>
    <w:p w:rsidRPr="00575EB2">
      <w:pPr>
        <w:pStyle w:val="BodyText"/>
        <w:rPr>
          <w:rFonts w:cs="Arial"/>
          <w:sz w:val="22"/>
          <w:szCs w:val="22"/>
        </w:rPr>
      </w:pPr>
      <w:r w:rsidRPr="00575EB2">
        <w:rPr>
          <w:rFonts w:cs="Arial"/>
          <w:sz w:val="22"/>
          <w:szCs w:val="22"/>
        </w:rPr>
        <w:t>Z hľadiska dane z príjmov predovšetkým dani z príjmov fyzických osôb (daňový bonus, nezdaniteľná časť základu dane) sa predpokladá negatívny dopad na príjmy štátneho rozpočtu v roku 2009 z dôvodu zaokrúhľovanie pri prechode na menu euro na úrovni 2,2 mil. Sk. V celkovom dopade dane z príjmov neboli zahrnuté tie skutočnosti, ktoré sa  nemohli z objektívnych dôvodov kvantifikovať.</w:t>
      </w:r>
    </w:p>
    <w:p w:rsidRPr="00575EB2">
      <w:pPr>
        <w:pStyle w:val="BodyText"/>
        <w:rPr>
          <w:rFonts w:cs="Arial"/>
          <w:sz w:val="22"/>
          <w:szCs w:val="22"/>
        </w:rPr>
      </w:pPr>
    </w:p>
    <w:p w:rsidRPr="00575EB2">
      <w:pPr>
        <w:pStyle w:val="BodyText"/>
        <w:rPr>
          <w:sz w:val="22"/>
          <w:szCs w:val="22"/>
        </w:rPr>
      </w:pPr>
      <w:r w:rsidRPr="00575EB2">
        <w:rPr>
          <w:rFonts w:cs="Arial"/>
          <w:sz w:val="22"/>
          <w:szCs w:val="22"/>
        </w:rPr>
        <w:t>V súvislosti s tým, že konečné sumy platových náležitostí colníkov</w:t>
      </w:r>
      <w:r w:rsidRPr="00575EB2">
        <w:rPr>
          <w:rFonts w:cs="Arial"/>
          <w:color w:val="0000FF"/>
          <w:sz w:val="22"/>
          <w:szCs w:val="22"/>
        </w:rPr>
        <w:t>,</w:t>
      </w:r>
      <w:r w:rsidRPr="00575EB2">
        <w:rPr>
          <w:rFonts w:cs="Arial"/>
          <w:sz w:val="22"/>
          <w:szCs w:val="22"/>
        </w:rPr>
        <w:t xml:space="preserve"> ktoré sú výdavkom štátneho rozpočtu</w:t>
      </w:r>
      <w:r w:rsidRPr="00575EB2">
        <w:rPr>
          <w:rFonts w:cs="Arial"/>
          <w:color w:val="0000FF"/>
          <w:sz w:val="22"/>
          <w:szCs w:val="22"/>
        </w:rPr>
        <w:t>,</w:t>
      </w:r>
      <w:r w:rsidRPr="00575EB2">
        <w:rPr>
          <w:rFonts w:cs="Arial"/>
          <w:sz w:val="22"/>
          <w:szCs w:val="22"/>
        </w:rPr>
        <w:t xml:space="preserve"> sa v súlade so zákonom č. 659/2007 Z.z. zaokrúhľujú pri prepočte zo slovenskej meny na eurá prednostne smerom nahor v prospech oprávnených príjemcov platieb (colníkov), predpokladá sa vplyv na štátny rozpočet v sume 1,55 mil. Sk. </w:t>
      </w:r>
      <w:r w:rsidRPr="00575EB2">
        <w:rPr>
          <w:sz w:val="22"/>
          <w:szCs w:val="22"/>
        </w:rPr>
        <w:t xml:space="preserve">Úhrada výdavkov bude zabezpečená v rámci limitu výdavkov Colného riaditeľstva SR, bez zvýšených finančných požiadaviek na štátny rozpočet a verejné financie. </w:t>
      </w:r>
    </w:p>
    <w:p w:rsidRPr="00575EB2">
      <w:pPr>
        <w:jc w:val="both"/>
        <w:rPr>
          <w:rFonts w:ascii="Arial Narrow" w:hAnsi="Arial Narrow" w:cs="Arial"/>
          <w:sz w:val="22"/>
          <w:szCs w:val="22"/>
        </w:rPr>
      </w:pPr>
    </w:p>
    <w:p w:rsidRPr="00575EB2">
      <w:pPr>
        <w:jc w:val="both"/>
        <w:rPr>
          <w:rFonts w:ascii="Arial Narrow" w:hAnsi="Arial Narrow" w:cs="Arial"/>
          <w:b/>
          <w:bCs/>
          <w:sz w:val="22"/>
          <w:szCs w:val="22"/>
        </w:rPr>
      </w:pPr>
      <w:r w:rsidRPr="00575EB2">
        <w:rPr>
          <w:rFonts w:ascii="Arial Narrow" w:hAnsi="Arial Narrow" w:cs="Arial"/>
          <w:b/>
          <w:bCs/>
          <w:sz w:val="22"/>
          <w:szCs w:val="22"/>
        </w:rPr>
        <w:t>2. Odhad dopadov na obyvateľov, hospodárenie podnikateľskej sféry a iných právnických osôb</w:t>
      </w:r>
    </w:p>
    <w:p w:rsidRPr="00575EB2">
      <w:pPr>
        <w:spacing w:before="0" w:beforeAutospacing="0" w:after="0" w:afterAutospacing="0"/>
        <w:jc w:val="both"/>
        <w:rPr>
          <w:rFonts w:ascii="Arial Narrow" w:hAnsi="Arial Narrow" w:cs="Arial"/>
          <w:bCs/>
          <w:sz w:val="22"/>
          <w:szCs w:val="22"/>
        </w:rPr>
      </w:pPr>
      <w:r w:rsidRPr="00575EB2">
        <w:rPr>
          <w:rFonts w:ascii="Arial Narrow" w:hAnsi="Arial Narrow" w:cs="Arial"/>
          <w:bCs/>
          <w:sz w:val="22"/>
          <w:szCs w:val="22"/>
        </w:rPr>
        <w:t>Predkladaný návrh zákona nebude mať vplyv na obyvateľov, hospodárenie podnikateľskej sféry a iných právnických osôb.</w:t>
      </w:r>
    </w:p>
    <w:p w:rsidRPr="00575EB2">
      <w:pPr>
        <w:jc w:val="both"/>
        <w:rPr>
          <w:rFonts w:ascii="Arial Narrow" w:hAnsi="Arial Narrow" w:cs="Arial"/>
          <w:sz w:val="22"/>
          <w:szCs w:val="22"/>
        </w:rPr>
      </w:pPr>
    </w:p>
    <w:p w:rsidRPr="00575EB2">
      <w:pPr>
        <w:jc w:val="both"/>
        <w:rPr>
          <w:rFonts w:ascii="Arial Narrow" w:hAnsi="Arial Narrow" w:cs="Arial"/>
          <w:b/>
          <w:bCs/>
          <w:sz w:val="22"/>
          <w:szCs w:val="22"/>
        </w:rPr>
      </w:pPr>
      <w:r w:rsidRPr="00575EB2">
        <w:rPr>
          <w:rFonts w:ascii="Arial Narrow" w:hAnsi="Arial Narrow" w:cs="Arial"/>
          <w:b/>
          <w:bCs/>
          <w:sz w:val="22"/>
          <w:szCs w:val="22"/>
        </w:rPr>
        <w:t>3. Odhad dopadov na životné prostredie</w:t>
      </w:r>
    </w:p>
    <w:p w:rsidRPr="00575EB2">
      <w:pPr>
        <w:spacing w:before="0" w:beforeAutospacing="0" w:after="0" w:afterAutospacing="0"/>
        <w:jc w:val="both"/>
        <w:rPr>
          <w:rFonts w:ascii="Arial Narrow" w:hAnsi="Arial Narrow" w:cs="Arial"/>
          <w:bCs/>
          <w:sz w:val="22"/>
          <w:szCs w:val="22"/>
        </w:rPr>
      </w:pPr>
      <w:r w:rsidRPr="00575EB2">
        <w:rPr>
          <w:rFonts w:ascii="Arial Narrow" w:hAnsi="Arial Narrow" w:cs="Arial"/>
          <w:bCs/>
          <w:sz w:val="22"/>
          <w:szCs w:val="22"/>
        </w:rPr>
        <w:t>Predkladaný návrh zákona nebude mať vplyv na životné prostredie.</w:t>
      </w:r>
    </w:p>
    <w:p w:rsidRPr="00575EB2">
      <w:pPr>
        <w:jc w:val="both"/>
        <w:rPr>
          <w:rFonts w:ascii="Arial Narrow" w:hAnsi="Arial Narrow" w:cs="Arial"/>
          <w:sz w:val="22"/>
          <w:szCs w:val="22"/>
        </w:rPr>
      </w:pPr>
    </w:p>
    <w:p w:rsidRPr="00575EB2">
      <w:pPr>
        <w:jc w:val="both"/>
        <w:rPr>
          <w:rFonts w:ascii="Arial Narrow" w:hAnsi="Arial Narrow" w:cs="Arial"/>
          <w:b/>
          <w:bCs/>
          <w:sz w:val="22"/>
          <w:szCs w:val="22"/>
        </w:rPr>
      </w:pPr>
      <w:r w:rsidRPr="00575EB2">
        <w:rPr>
          <w:rFonts w:ascii="Arial Narrow" w:hAnsi="Arial Narrow" w:cs="Arial"/>
          <w:b/>
          <w:bCs/>
          <w:sz w:val="22"/>
          <w:szCs w:val="22"/>
        </w:rPr>
        <w:t>4. Odhad dopadov na zamestnanosť</w:t>
      </w:r>
    </w:p>
    <w:p w:rsidRPr="00575EB2">
      <w:pPr>
        <w:jc w:val="both"/>
        <w:rPr>
          <w:rFonts w:ascii="Arial Narrow" w:hAnsi="Arial Narrow" w:cs="Arial"/>
          <w:b/>
          <w:bCs/>
          <w:sz w:val="22"/>
          <w:szCs w:val="22"/>
        </w:rPr>
      </w:pPr>
      <w:r w:rsidRPr="00575EB2">
        <w:rPr>
          <w:rFonts w:ascii="Arial Narrow" w:hAnsi="Arial Narrow" w:cs="Arial"/>
          <w:bCs/>
          <w:sz w:val="22"/>
          <w:szCs w:val="22"/>
        </w:rPr>
        <w:t>Predkladaný návrh zákona nebude mať negatívny vplyv na zamestnanosť.</w:t>
      </w:r>
    </w:p>
    <w:p w:rsidRPr="00575EB2">
      <w:pPr>
        <w:jc w:val="both"/>
        <w:rPr>
          <w:rFonts w:ascii="Arial Narrow" w:hAnsi="Arial Narrow" w:cs="Arial"/>
          <w:b/>
          <w:bCs/>
          <w:sz w:val="22"/>
          <w:szCs w:val="22"/>
        </w:rPr>
      </w:pPr>
    </w:p>
    <w:p w:rsidRPr="00575EB2">
      <w:pPr>
        <w:jc w:val="both"/>
        <w:rPr>
          <w:rFonts w:ascii="Arial Narrow" w:hAnsi="Arial Narrow" w:cs="Arial"/>
          <w:b/>
          <w:bCs/>
          <w:sz w:val="22"/>
          <w:szCs w:val="22"/>
        </w:rPr>
      </w:pPr>
      <w:r w:rsidRPr="00575EB2">
        <w:rPr>
          <w:rFonts w:ascii="Arial Narrow" w:hAnsi="Arial Narrow" w:cs="Arial"/>
          <w:b/>
          <w:bCs/>
          <w:sz w:val="22"/>
          <w:szCs w:val="22"/>
        </w:rPr>
        <w:t>5. Analýza vplyvov na podnikateľské prostredie</w:t>
      </w:r>
    </w:p>
    <w:p w:rsidRPr="00575EB2">
      <w:pPr>
        <w:spacing w:before="0" w:beforeAutospacing="0" w:after="0" w:afterAutospacing="0"/>
        <w:jc w:val="both"/>
        <w:rPr>
          <w:rFonts w:ascii="Arial Narrow" w:hAnsi="Arial Narrow" w:cs="Arial"/>
          <w:bCs/>
          <w:sz w:val="22"/>
          <w:szCs w:val="22"/>
        </w:rPr>
      </w:pPr>
      <w:r w:rsidRPr="00575EB2">
        <w:rPr>
          <w:rFonts w:ascii="Arial Narrow" w:hAnsi="Arial Narrow" w:cs="Arial"/>
          <w:bCs/>
          <w:sz w:val="22"/>
          <w:szCs w:val="22"/>
        </w:rPr>
        <w:t>Predkladaný návrh zákona nebude mať negatívny vplyv na podnikateľské prostredie.</w:t>
      </w:r>
    </w:p>
    <w:p w:rsidRPr="00575EB2">
      <w:pPr>
        <w:jc w:val="both"/>
        <w:rPr>
          <w:rFonts w:ascii="Arial Narrow" w:hAnsi="Arial Narrow" w:cs="Arial"/>
          <w:sz w:val="22"/>
          <w:szCs w:val="22"/>
        </w:rPr>
      </w:pPr>
    </w:p>
    <w:p w:rsidRPr="00575EB2">
      <w:pPr>
        <w:pStyle w:val="Heading2"/>
        <w:rPr>
          <w:rFonts w:ascii="Arial Narrow" w:hAnsi="Arial Narrow" w:cs="Arial Narrow"/>
          <w:i w:val="0"/>
          <w:sz w:val="22"/>
          <w:szCs w:val="22"/>
        </w:rPr>
      </w:pPr>
      <w:r w:rsidRPr="00575EB2">
        <w:rPr>
          <w:color w:val="000000"/>
        </w:rPr>
        <w:br w:type="page"/>
      </w:r>
      <w:r w:rsidRPr="00575EB2">
        <w:rPr>
          <w:rFonts w:ascii="Arial Narrow" w:hAnsi="Arial Narrow" w:cs="Arial Narrow"/>
          <w:i w:val="0"/>
          <w:sz w:val="22"/>
          <w:szCs w:val="22"/>
        </w:rPr>
        <w:t xml:space="preserve">B. Osobitná časť                                  </w:t>
      </w:r>
    </w:p>
    <w:p w:rsidRPr="00575EB2">
      <w:pPr>
        <w:jc w:val="both"/>
        <w:rPr>
          <w:rFonts w:ascii="Arial Narrow" w:hAnsi="Arial Narrow" w:cs="Arial Narrow"/>
          <w:color w:val="000000"/>
          <w:sz w:val="22"/>
          <w:szCs w:val="22"/>
        </w:rPr>
      </w:pPr>
    </w:p>
    <w:p w:rsidRPr="00575EB2">
      <w:pPr>
        <w:jc w:val="both"/>
        <w:rPr>
          <w:rFonts w:ascii="Arial Narrow" w:hAnsi="Arial Narrow" w:cs="Arial Narrow"/>
          <w:sz w:val="22"/>
          <w:szCs w:val="22"/>
        </w:rPr>
      </w:pPr>
    </w:p>
    <w:p w:rsidRPr="00575EB2">
      <w:pPr>
        <w:pStyle w:val="Heading1"/>
        <w:jc w:val="both"/>
        <w:rPr>
          <w:sz w:val="22"/>
          <w:szCs w:val="22"/>
          <w:u w:val="single"/>
        </w:rPr>
      </w:pPr>
      <w:r w:rsidRPr="00575EB2">
        <w:rPr>
          <w:sz w:val="22"/>
          <w:szCs w:val="22"/>
          <w:u w:val="single"/>
        </w:rPr>
        <w:t>K čl. I</w:t>
      </w:r>
    </w:p>
    <w:p w:rsidRPr="00575EB2">
      <w:pPr>
        <w:jc w:val="both"/>
        <w:rPr>
          <w:rFonts w:ascii="Arial Narrow" w:hAnsi="Arial Narrow" w:cs="Arial Narrow"/>
          <w:sz w:val="22"/>
          <w:szCs w:val="22"/>
        </w:rPr>
      </w:pPr>
    </w:p>
    <w:p w:rsidRPr="00575EB2">
      <w:pPr>
        <w:pStyle w:val="Heading1"/>
        <w:jc w:val="both"/>
        <w:rPr>
          <w:sz w:val="22"/>
          <w:szCs w:val="22"/>
        </w:rPr>
      </w:pPr>
      <w:r w:rsidRPr="00575EB2">
        <w:rPr>
          <w:sz w:val="22"/>
          <w:szCs w:val="22"/>
        </w:rPr>
        <w:t xml:space="preserve">K bodu 1 </w:t>
      </w:r>
    </w:p>
    <w:p w:rsidRPr="00575EB2">
      <w:pPr>
        <w:jc w:val="both"/>
        <w:rPr>
          <w:rFonts w:ascii="Arial Narrow" w:hAnsi="Arial Narrow" w:cs="Arial Narrow"/>
          <w:sz w:val="22"/>
          <w:szCs w:val="22"/>
        </w:rPr>
      </w:pPr>
      <w:r w:rsidRPr="00575EB2">
        <w:rPr>
          <w:rFonts w:ascii="Arial Narrow" w:hAnsi="Arial Narrow" w:cs="Arial Narrow"/>
          <w:sz w:val="22"/>
          <w:szCs w:val="22"/>
        </w:rPr>
        <w:t xml:space="preserve">Úprava nadväzuje na znenie Obchodného zákonníka, podľa ktorého po dni zavedenia eura do obchodného registra môže byť zapísané základné imanie len v eurách. </w:t>
      </w:r>
    </w:p>
    <w:p w:rsidRPr="00575EB2">
      <w:pPr>
        <w:jc w:val="both"/>
        <w:rPr>
          <w:rFonts w:ascii="Arial Narrow" w:hAnsi="Arial Narrow" w:cs="Arial Narrow"/>
          <w:sz w:val="22"/>
          <w:szCs w:val="22"/>
        </w:rPr>
      </w:pPr>
    </w:p>
    <w:p w:rsidRPr="00575EB2">
      <w:pPr>
        <w:pStyle w:val="Heading1"/>
        <w:jc w:val="both"/>
        <w:rPr>
          <w:sz w:val="22"/>
          <w:szCs w:val="22"/>
        </w:rPr>
      </w:pPr>
      <w:r w:rsidRPr="00575EB2">
        <w:rPr>
          <w:sz w:val="22"/>
          <w:szCs w:val="22"/>
        </w:rPr>
        <w:t>K bodom 2 až  6, 8 a 9</w:t>
      </w:r>
    </w:p>
    <w:p w:rsidRPr="00575EB2">
      <w:pPr>
        <w:jc w:val="both"/>
        <w:rPr>
          <w:rFonts w:ascii="Arial Narrow" w:hAnsi="Arial Narrow" w:cs="Arial Narrow"/>
          <w:sz w:val="22"/>
          <w:szCs w:val="22"/>
        </w:rPr>
      </w:pPr>
      <w:r w:rsidRPr="00575EB2">
        <w:rPr>
          <w:rFonts w:ascii="Arial Narrow" w:hAnsi="Arial Narrow" w:cs="Arial Narrow"/>
          <w:sz w:val="22"/>
          <w:szCs w:val="22"/>
        </w:rPr>
        <w:t>Sumy uvedené v  slovenských korunách sa nahrádzajú v týchto ustanoveniach sumami v eurách po prepočte konverzným kurz</w:t>
      </w:r>
      <w:r w:rsidRPr="00575EB2">
        <w:rPr>
          <w:rFonts w:ascii="Arial Narrow" w:hAnsi="Arial Narrow" w:cs="Arial Narrow"/>
          <w:sz w:val="22"/>
          <w:szCs w:val="22"/>
        </w:rPr>
        <w:t xml:space="preserve">om a po zaokrúhlení matematicky na dve desatinné miesta. </w:t>
      </w:r>
    </w:p>
    <w:p w:rsidRPr="00575EB2">
      <w:pPr>
        <w:jc w:val="both"/>
        <w:rPr>
          <w:rFonts w:ascii="Arial Narrow" w:hAnsi="Arial Narrow" w:cs="Arial Narrow"/>
          <w:sz w:val="22"/>
          <w:szCs w:val="22"/>
        </w:rPr>
      </w:pPr>
    </w:p>
    <w:p w:rsidRPr="00575EB2">
      <w:pPr>
        <w:pStyle w:val="Heading1"/>
        <w:jc w:val="both"/>
        <w:rPr>
          <w:sz w:val="22"/>
          <w:szCs w:val="22"/>
        </w:rPr>
      </w:pPr>
      <w:r w:rsidRPr="00575EB2">
        <w:rPr>
          <w:sz w:val="22"/>
          <w:szCs w:val="22"/>
        </w:rPr>
        <w:t>K bodu 7</w:t>
      </w:r>
    </w:p>
    <w:p w:rsidRPr="00575EB2">
      <w:pPr>
        <w:jc w:val="both"/>
        <w:rPr>
          <w:rFonts w:ascii="Arial Narrow" w:hAnsi="Arial Narrow" w:cs="Arial Narrow"/>
          <w:sz w:val="22"/>
          <w:szCs w:val="22"/>
        </w:rPr>
      </w:pPr>
      <w:r w:rsidRPr="00575EB2">
        <w:rPr>
          <w:rFonts w:ascii="Arial Narrow" w:hAnsi="Arial Narrow" w:cs="Arial Narrow"/>
          <w:sz w:val="22"/>
          <w:szCs w:val="22"/>
        </w:rPr>
        <w:t>Ide o legislatívno-technickú úpravu.</w:t>
      </w:r>
    </w:p>
    <w:p w:rsidRPr="00575EB2">
      <w:pPr>
        <w:jc w:val="both"/>
        <w:rPr>
          <w:rFonts w:ascii="Arial Narrow" w:hAnsi="Arial Narrow" w:cs="Arial Narrow"/>
          <w:sz w:val="22"/>
          <w:szCs w:val="22"/>
        </w:rPr>
      </w:pPr>
    </w:p>
    <w:p w:rsidRPr="00575EB2">
      <w:pPr>
        <w:autoSpaceDE/>
        <w:autoSpaceDN/>
        <w:spacing w:line="240" w:lineRule="atLeast"/>
        <w:jc w:val="both"/>
        <w:rPr>
          <w:rFonts w:ascii="Arial Narrow" w:hAnsi="Arial Narrow" w:cs="Times New Roman"/>
          <w:b/>
          <w:bCs/>
          <w:color w:val="000000"/>
          <w:sz w:val="22"/>
          <w:szCs w:val="22"/>
        </w:rPr>
      </w:pPr>
      <w:r w:rsidRPr="00575EB2">
        <w:rPr>
          <w:rFonts w:ascii="Arial Narrow" w:hAnsi="Arial Narrow" w:cs="Times New Roman"/>
          <w:b/>
          <w:bCs/>
          <w:color w:val="000000"/>
          <w:sz w:val="22"/>
          <w:szCs w:val="22"/>
        </w:rPr>
        <w:t>K bodom 10 a 11</w:t>
      </w:r>
    </w:p>
    <w:p w:rsidRPr="00575EB2">
      <w:pPr>
        <w:pStyle w:val="Heading1"/>
        <w:jc w:val="both"/>
        <w:rPr>
          <w:b w:val="0"/>
          <w:bCs w:val="0"/>
          <w:sz w:val="22"/>
          <w:szCs w:val="22"/>
        </w:rPr>
      </w:pPr>
      <w:r w:rsidRPr="00575EB2">
        <w:rPr>
          <w:b w:val="0"/>
          <w:bCs w:val="0"/>
          <w:sz w:val="22"/>
          <w:szCs w:val="22"/>
        </w:rPr>
        <w:t>Ustanovuje sa spôsob prepočtu cudzej meny na eurá.  Po dni zavedenia meny euro sa v zásade na prepočet cudzej meny na eurá použije kurz Európskej centrálnej banky. Ku dňu uskutočnenia účtovného prípadu sa použije kurz vyhlásený v deň predo dňom uskutočnenia účtovného prípadu. Ku dňu, ku ktorému sa zostavuje riadna,  mimoriadna alebo priebežná účtovná závierka a k inému dňu, ak to ustanovuje osobitný predpis (napr. preceňovanie na dennej báze)  sa použije kurz vyhlásený v tento deň. Kurz Národnej banky Slovenska bude možné použiť len v prípade, ak by voči danej cudzej mene nebol kurz určený a vyhlásený Európskou centrálnou bankou.</w:t>
      </w:r>
    </w:p>
    <w:p w:rsidRPr="00575EB2">
      <w:pPr>
        <w:pStyle w:val="Heading1"/>
        <w:jc w:val="both"/>
        <w:rPr>
          <w:sz w:val="22"/>
          <w:szCs w:val="22"/>
        </w:rPr>
      </w:pPr>
    </w:p>
    <w:p w:rsidRPr="00575EB2">
      <w:pPr>
        <w:pStyle w:val="Heading1"/>
        <w:jc w:val="both"/>
        <w:rPr>
          <w:sz w:val="22"/>
          <w:szCs w:val="22"/>
        </w:rPr>
      </w:pPr>
      <w:r w:rsidRPr="00575EB2">
        <w:rPr>
          <w:sz w:val="22"/>
          <w:szCs w:val="22"/>
        </w:rPr>
        <w:t xml:space="preserve">K bodu </w:t>
      </w:r>
      <w:r w:rsidRPr="00575EB2">
        <w:rPr>
          <w:sz w:val="22"/>
          <w:szCs w:val="22"/>
        </w:rPr>
        <w:t>12</w:t>
      </w:r>
    </w:p>
    <w:p w:rsidRPr="00575EB2">
      <w:pPr>
        <w:jc w:val="both"/>
        <w:rPr>
          <w:rFonts w:ascii="Arial Narrow" w:hAnsi="Arial Narrow" w:cs="Arial Narrow"/>
          <w:sz w:val="22"/>
          <w:szCs w:val="22"/>
        </w:rPr>
      </w:pPr>
      <w:r w:rsidRPr="00575EB2">
        <w:rPr>
          <w:rFonts w:ascii="Arial Narrow" w:hAnsi="Arial Narrow" w:cs="Arial Narrow"/>
          <w:sz w:val="22"/>
          <w:szCs w:val="22"/>
        </w:rPr>
        <w:t>Ide o legislatívno-technickú úpravu, v rámci ktorej sa slovenská mena nahrádza menou euro.</w:t>
      </w:r>
    </w:p>
    <w:p w:rsidRPr="00575EB2">
      <w:pPr>
        <w:jc w:val="both"/>
        <w:rPr>
          <w:rFonts w:ascii="Arial Narrow" w:hAnsi="Arial Narrow" w:cs="Arial Narrow"/>
          <w:sz w:val="22"/>
          <w:szCs w:val="22"/>
        </w:rPr>
      </w:pPr>
    </w:p>
    <w:p w:rsidRPr="00575EB2">
      <w:pPr>
        <w:jc w:val="both"/>
        <w:rPr>
          <w:rFonts w:ascii="Arial Narrow" w:hAnsi="Arial Narrow" w:cs="Arial Narrow"/>
          <w:b/>
          <w:bCs/>
          <w:sz w:val="22"/>
          <w:szCs w:val="22"/>
        </w:rPr>
      </w:pPr>
      <w:r w:rsidRPr="00575EB2">
        <w:rPr>
          <w:rFonts w:ascii="Arial Narrow" w:hAnsi="Arial Narrow" w:cs="Arial Narrow"/>
          <w:b/>
          <w:bCs/>
          <w:sz w:val="22"/>
          <w:szCs w:val="22"/>
        </w:rPr>
        <w:t>K bodu 13</w:t>
      </w:r>
    </w:p>
    <w:p w:rsidRPr="00575EB2">
      <w:pPr>
        <w:jc w:val="both"/>
        <w:rPr>
          <w:rFonts w:ascii="Arial Narrow" w:hAnsi="Arial Narrow" w:cs="Arial Narrow"/>
          <w:sz w:val="22"/>
          <w:szCs w:val="22"/>
        </w:rPr>
      </w:pPr>
      <w:r w:rsidRPr="00575EB2">
        <w:rPr>
          <w:rFonts w:ascii="Arial Narrow" w:hAnsi="Arial Narrow" w:cs="Arial Narrow"/>
          <w:sz w:val="22"/>
          <w:szCs w:val="22"/>
        </w:rPr>
        <w:t>Ku dňu, ktorý bezprostredne predchádza deň zavedenia eura (t.j. k 31.12.2008) sa ustanovuje povinnosť zostaviť priebežnú účtovnú závierku vybraným účtovným jednotkám vrátane vykonania inventarizácie. Určuje sa doba, počas ktorej je možné vykonať inventarizáciu  a spôsob prepočtu majetku a záväzkov znejúcich na menu euro na slovenskú menu konverzným kurzom vo všetkých druhoch účtovných závierok zostavených ku dňu, ktorý bezprostredne predchádza deň zavedenia eura t.j. k 31.12.2008. V nadväznosti na vyhlášku, ktorou sa ustanovujú pravidlá pre  prepočet peňažných súm na účely  účtovníctva sa ustanovuje spôsob prepočtu aktív a pasív ku dňu zavedenia eura (t.j. k 1.1.2009). Jednotlivé zložky aktív a pasív v slovenských korunách sa prepočítajú na eurá konverzným kurzom na dve desatinné miesta matematicky, pričom prijaté a poskytnuté preddavky vyjadrené v mene euro a základné imanie účtovnej jednotky, ktoré je zapísané do obchodného registra v eurách sa navrhujú prepočítať historickým kurzom.</w:t>
      </w:r>
    </w:p>
    <w:p w:rsidRPr="00575EB2">
      <w:pPr>
        <w:jc w:val="both"/>
        <w:rPr>
          <w:rFonts w:ascii="Arial Narrow" w:hAnsi="Arial Narrow" w:cs="Arial Narrow"/>
          <w:sz w:val="22"/>
          <w:szCs w:val="22"/>
        </w:rPr>
      </w:pPr>
    </w:p>
    <w:p w:rsidRPr="00575EB2">
      <w:pPr>
        <w:pStyle w:val="Heading1"/>
        <w:jc w:val="both"/>
        <w:rPr>
          <w:sz w:val="22"/>
          <w:szCs w:val="22"/>
        </w:rPr>
      </w:pPr>
      <w:r w:rsidRPr="00575EB2">
        <w:rPr>
          <w:sz w:val="22"/>
          <w:szCs w:val="22"/>
        </w:rPr>
        <w:t>K bodu 14</w:t>
      </w:r>
    </w:p>
    <w:p w:rsidRPr="00575EB2">
      <w:pPr>
        <w:jc w:val="both"/>
        <w:rPr>
          <w:rFonts w:ascii="Arial Narrow" w:hAnsi="Arial Narrow" w:cs="Arial Narrow"/>
          <w:sz w:val="22"/>
          <w:szCs w:val="22"/>
        </w:rPr>
      </w:pPr>
      <w:r w:rsidRPr="00575EB2">
        <w:rPr>
          <w:rFonts w:ascii="Arial Narrow" w:hAnsi="Arial Narrow" w:cs="Arial Narrow"/>
          <w:sz w:val="22"/>
          <w:szCs w:val="22"/>
        </w:rPr>
        <w:t>Navrhuje sa pokuta za nedodržanie povinností pri prechode na euro.</w:t>
      </w:r>
    </w:p>
    <w:p w:rsidRPr="00575EB2">
      <w:pPr>
        <w:jc w:val="both"/>
        <w:rPr>
          <w:rFonts w:ascii="Arial Narrow" w:hAnsi="Arial Narrow" w:cs="Arial Narrow"/>
          <w:sz w:val="22"/>
          <w:szCs w:val="22"/>
        </w:rPr>
      </w:pPr>
    </w:p>
    <w:p w:rsidRPr="00575EB2">
      <w:pPr>
        <w:pStyle w:val="Heading1"/>
        <w:jc w:val="both"/>
        <w:rPr>
          <w:sz w:val="22"/>
          <w:szCs w:val="22"/>
        </w:rPr>
      </w:pPr>
      <w:r w:rsidRPr="00575EB2">
        <w:rPr>
          <w:sz w:val="22"/>
          <w:szCs w:val="22"/>
        </w:rPr>
        <w:t>K bodom 15 a 16</w:t>
      </w:r>
    </w:p>
    <w:p w:rsidRPr="00575EB2">
      <w:pPr>
        <w:jc w:val="both"/>
        <w:rPr>
          <w:rFonts w:ascii="Arial Narrow" w:hAnsi="Arial Narrow" w:cs="Arial Narrow"/>
          <w:sz w:val="22"/>
          <w:szCs w:val="22"/>
        </w:rPr>
      </w:pPr>
      <w:r w:rsidRPr="00575EB2">
        <w:rPr>
          <w:rFonts w:ascii="Arial Narrow" w:hAnsi="Arial Narrow" w:cs="Arial Narrow"/>
          <w:sz w:val="22"/>
          <w:szCs w:val="22"/>
        </w:rPr>
        <w:t xml:space="preserve">Sumy uvedené v slovenských korunách sa nahrádzajú v týchto ustanoveniach sumami v eurách po prepočte konverzným kurzom a po zaokrúhlení na dve desatinné miesta nadol v prospech účtovnej jednotky. </w:t>
      </w:r>
    </w:p>
    <w:p w:rsidRPr="00575EB2">
      <w:pPr>
        <w:jc w:val="both"/>
        <w:rPr>
          <w:rFonts w:ascii="Arial Narrow" w:hAnsi="Arial Narrow" w:cs="Arial Narrow"/>
          <w:sz w:val="22"/>
          <w:szCs w:val="22"/>
        </w:rPr>
      </w:pPr>
    </w:p>
    <w:p w:rsidRPr="00575EB2">
      <w:pPr>
        <w:jc w:val="both"/>
        <w:rPr>
          <w:rFonts w:ascii="Arial Narrow" w:hAnsi="Arial Narrow" w:cs="Arial Narrow"/>
          <w:sz w:val="22"/>
          <w:szCs w:val="22"/>
        </w:rPr>
      </w:pPr>
    </w:p>
    <w:p w:rsidRPr="00575EB2">
      <w:pPr>
        <w:jc w:val="both"/>
        <w:rPr>
          <w:rFonts w:ascii="Arial Narrow" w:hAnsi="Arial Narrow" w:cs="Arial Narrow"/>
          <w:sz w:val="22"/>
          <w:szCs w:val="22"/>
        </w:rPr>
      </w:pPr>
    </w:p>
    <w:p w:rsidRPr="00575EB2">
      <w:pPr>
        <w:jc w:val="both"/>
        <w:rPr>
          <w:rFonts w:ascii="Arial Narrow" w:hAnsi="Arial Narrow" w:cs="Arial Narrow"/>
          <w:sz w:val="22"/>
          <w:szCs w:val="22"/>
        </w:rPr>
      </w:pPr>
    </w:p>
    <w:p w:rsidRPr="00575EB2">
      <w:pPr>
        <w:jc w:val="both"/>
        <w:rPr>
          <w:rFonts w:ascii="Arial Narrow" w:hAnsi="Arial Narrow" w:cs="Arial Narrow"/>
          <w:sz w:val="22"/>
          <w:szCs w:val="22"/>
        </w:rPr>
      </w:pPr>
    </w:p>
    <w:p w:rsidRPr="00575EB2">
      <w:pPr>
        <w:jc w:val="both"/>
        <w:rPr>
          <w:rFonts w:ascii="Arial Narrow" w:hAnsi="Arial Narrow" w:cs="Arial Narrow"/>
          <w:sz w:val="22"/>
          <w:szCs w:val="22"/>
        </w:rPr>
      </w:pPr>
    </w:p>
    <w:p w:rsidRPr="00575EB2">
      <w:pPr>
        <w:keepNext/>
        <w:autoSpaceDE/>
        <w:autoSpaceDN/>
        <w:rPr>
          <w:rFonts w:ascii="Arial Narrow" w:hAnsi="Arial Narrow" w:cs="Arial Narrow"/>
          <w:b/>
          <w:bCs/>
          <w:sz w:val="22"/>
          <w:szCs w:val="22"/>
          <w:u w:val="single"/>
        </w:rPr>
      </w:pPr>
      <w:r w:rsidRPr="00575EB2">
        <w:rPr>
          <w:rFonts w:ascii="Arial Narrow" w:hAnsi="Arial Narrow" w:cs="Arial Narrow"/>
          <w:b/>
          <w:bCs/>
          <w:sz w:val="22"/>
          <w:szCs w:val="22"/>
          <w:u w:val="single"/>
        </w:rPr>
        <w:t>K čl. II</w:t>
      </w:r>
    </w:p>
    <w:p w:rsidRPr="00575EB2">
      <w:pPr>
        <w:autoSpaceDE/>
        <w:autoSpaceDN/>
        <w:jc w:val="both"/>
        <w:rPr>
          <w:rFonts w:ascii="Arial Narrow" w:hAnsi="Arial Narrow" w:cs="Arial Narrow"/>
          <w:b/>
          <w:bCs/>
          <w:color w:val="000000"/>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 xml:space="preserve">K bodom 1 až 5, 14, 15 a 18 </w:t>
      </w:r>
    </w:p>
    <w:p w:rsidRPr="00575EB2">
      <w:pPr>
        <w:autoSpaceDE/>
        <w:autoSpaceDN/>
        <w:jc w:val="both"/>
        <w:rPr>
          <w:rFonts w:ascii="Arial Narrow" w:hAnsi="Arial Narrow" w:cs="Arial Narrow"/>
          <w:sz w:val="22"/>
          <w:szCs w:val="22"/>
        </w:rPr>
      </w:pPr>
      <w:r w:rsidRPr="00575EB2">
        <w:rPr>
          <w:rFonts w:ascii="Arial Narrow" w:hAnsi="Arial Narrow" w:cs="Arial Narrow"/>
          <w:sz w:val="22"/>
          <w:szCs w:val="22"/>
        </w:rPr>
        <w:t xml:space="preserve">Nahrádzajú sa sumy uvedené v absolútnej hodnote v Sk sumami v eurách zaokrúhlené na eurocenty nahor. Takéto zaokrúhlenie je v prospech daňovníka. </w:t>
      </w:r>
    </w:p>
    <w:p w:rsidRPr="00575EB2">
      <w:pPr>
        <w:jc w:val="both"/>
        <w:outlineLvl w:val="0"/>
        <w:rPr>
          <w:rFonts w:ascii="Arial Narrow" w:hAnsi="Arial Narrow" w:cs="Times New Roman"/>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 xml:space="preserve">K bodu 6  </w:t>
      </w:r>
    </w:p>
    <w:p w:rsidRPr="00575EB2">
      <w:pPr>
        <w:autoSpaceDE/>
        <w:autoSpaceDN/>
        <w:jc w:val="both"/>
        <w:rPr>
          <w:rFonts w:ascii="Arial Narrow" w:hAnsi="Arial Narrow" w:cs="Arial Narrow"/>
          <w:sz w:val="22"/>
          <w:szCs w:val="22"/>
        </w:rPr>
      </w:pPr>
      <w:r w:rsidRPr="00575EB2">
        <w:rPr>
          <w:rFonts w:ascii="Arial Narrow" w:hAnsi="Arial Narrow" w:cs="Arial Narrow"/>
          <w:sz w:val="22"/>
          <w:szCs w:val="22"/>
        </w:rPr>
        <w:t xml:space="preserve">Nahrádza sa suma uvedená v absolútnej hodnote v Sk sumou v eurách zaokrúhlenou na desať eur nahor. Takéto zaokrúhlenie je v prospech daňovníka. </w:t>
      </w:r>
    </w:p>
    <w:p w:rsidRPr="00575EB2">
      <w:pPr>
        <w:autoSpaceDE/>
        <w:autoSpaceDN/>
        <w:jc w:val="both"/>
        <w:rPr>
          <w:rFonts w:ascii="Arial Narrow" w:hAnsi="Arial Narrow" w:cs="Arial Narrow"/>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K bodom 7 a 8</w:t>
      </w:r>
    </w:p>
    <w:p w:rsidRPr="00575EB2">
      <w:pPr>
        <w:autoSpaceDE/>
        <w:autoSpaceDN/>
        <w:jc w:val="both"/>
        <w:rPr>
          <w:rFonts w:ascii="Arial Narrow" w:hAnsi="Arial Narrow" w:cs="Arial Narrow"/>
          <w:sz w:val="22"/>
          <w:szCs w:val="22"/>
        </w:rPr>
      </w:pPr>
      <w:r w:rsidRPr="00575EB2">
        <w:rPr>
          <w:rFonts w:ascii="Arial Narrow" w:hAnsi="Arial Narrow" w:cs="Arial Narrow"/>
          <w:sz w:val="22"/>
          <w:szCs w:val="22"/>
        </w:rPr>
        <w:t xml:space="preserve">Nahrádza sa výška vstupnej ceny majetku na účely odpisovania uvedená v absolútnej hodnote v Sk, sumou v eurách, zaokrúhlenou na celé eurá nahor. Takéto zaokrúhlenie je v prospech daňovníka. </w:t>
      </w:r>
    </w:p>
    <w:p w:rsidRPr="00575EB2">
      <w:pPr>
        <w:autoSpaceDE/>
        <w:autoSpaceDN/>
        <w:jc w:val="both"/>
        <w:rPr>
          <w:rFonts w:ascii="Arial Narrow" w:hAnsi="Arial Narrow" w:cs="Arial Narrow"/>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K bodom 9 a 17</w:t>
      </w:r>
    </w:p>
    <w:p w:rsidRPr="00575EB2">
      <w:pPr>
        <w:autoSpaceDE/>
        <w:autoSpaceDN/>
        <w:jc w:val="both"/>
        <w:rPr>
          <w:rFonts w:ascii="Arial Narrow" w:hAnsi="Arial Narrow" w:cs="Arial Narrow"/>
          <w:sz w:val="22"/>
          <w:szCs w:val="22"/>
        </w:rPr>
      </w:pPr>
      <w:r w:rsidRPr="00575EB2">
        <w:rPr>
          <w:rFonts w:ascii="Arial Narrow" w:hAnsi="Arial Narrow" w:cs="Arial Narrow"/>
          <w:sz w:val="22"/>
          <w:szCs w:val="22"/>
        </w:rPr>
        <w:t xml:space="preserve">Nahrádza sa výpočet vyjadrený v Sk vyjadrením v eurách. Takýto výpočet je v prospech daňovníka. </w:t>
      </w:r>
    </w:p>
    <w:p w:rsidRPr="00575EB2">
      <w:pPr>
        <w:autoSpaceDE/>
        <w:autoSpaceDN/>
        <w:jc w:val="both"/>
        <w:rPr>
          <w:rFonts w:ascii="Arial Narrow" w:hAnsi="Arial Narrow" w:cs="Arial Narrow"/>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K bodu 10</w:t>
      </w:r>
    </w:p>
    <w:p w:rsidRPr="00575EB2">
      <w:pPr>
        <w:autoSpaceDE/>
        <w:autoSpaceDN/>
        <w:jc w:val="both"/>
        <w:rPr>
          <w:rFonts w:ascii="Arial Narrow" w:hAnsi="Arial Narrow" w:cs="Arial Narrow"/>
          <w:sz w:val="22"/>
          <w:szCs w:val="22"/>
        </w:rPr>
      </w:pPr>
      <w:r w:rsidRPr="00575EB2">
        <w:rPr>
          <w:rFonts w:ascii="Arial Narrow" w:hAnsi="Arial Narrow" w:cs="Arial Narrow"/>
          <w:sz w:val="22"/>
          <w:szCs w:val="22"/>
        </w:rPr>
        <w:t xml:space="preserve">Slovenská mena (koruna) sa nahrádza eurami, pričom pri prepočte cudzej meny na eurá sa použije referenčný výmenný kurz, ktorý určí a vyhlási Európska centrálna banka. Určiť a vyhlásiť ho môže aj Národná banka Slovenska, ak ide o menu, pre ktorú Európska centrálna banka neurčuje a nevyhlasuje referenčný výmenný kurz, ktorý daňovník uplatňuje v účtovníctve. </w:t>
      </w:r>
    </w:p>
    <w:p w:rsidRPr="00575EB2">
      <w:pPr>
        <w:autoSpaceDE/>
        <w:autoSpaceDN/>
        <w:jc w:val="both"/>
        <w:rPr>
          <w:rFonts w:ascii="Arial Narrow" w:hAnsi="Arial Narrow" w:cs="Arial Narrow"/>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 xml:space="preserve">K bodu 11 </w:t>
      </w:r>
    </w:p>
    <w:p w:rsidRPr="00575EB2">
      <w:pPr>
        <w:autoSpaceDE/>
        <w:autoSpaceDN/>
        <w:jc w:val="both"/>
        <w:rPr>
          <w:rFonts w:ascii="Arial Narrow" w:hAnsi="Arial Narrow" w:cs="Arial Narrow"/>
          <w:sz w:val="22"/>
          <w:szCs w:val="22"/>
        </w:rPr>
      </w:pPr>
      <w:r w:rsidRPr="00575EB2">
        <w:rPr>
          <w:rFonts w:ascii="Arial Narrow" w:hAnsi="Arial Narrow" w:cs="Arial Narrow"/>
          <w:sz w:val="22"/>
          <w:szCs w:val="22"/>
        </w:rPr>
        <w:t>Spôsob zaokrúhľovania je upravený v bode 21.</w:t>
      </w:r>
    </w:p>
    <w:p w:rsidRPr="00575EB2">
      <w:pPr>
        <w:autoSpaceDE/>
        <w:autoSpaceDN/>
        <w:jc w:val="both"/>
        <w:rPr>
          <w:rFonts w:ascii="Arial Narrow" w:hAnsi="Arial Narrow" w:cs="Arial Narrow"/>
          <w:sz w:val="22"/>
          <w:szCs w:val="22"/>
        </w:rPr>
      </w:pPr>
    </w:p>
    <w:p w:rsidRPr="00575EB2">
      <w:pPr>
        <w:autoSpaceDE/>
        <w:autoSpaceDN/>
        <w:jc w:val="both"/>
        <w:rPr>
          <w:rFonts w:ascii="Arial Narrow" w:hAnsi="Arial Narrow" w:cs="Arial Narrow"/>
          <w:sz w:val="22"/>
          <w:szCs w:val="22"/>
        </w:rPr>
      </w:pPr>
      <w:r w:rsidRPr="00575EB2">
        <w:rPr>
          <w:rFonts w:ascii="Arial Narrow" w:hAnsi="Arial Narrow" w:cs="Arial Narrow"/>
          <w:b/>
          <w:bCs/>
          <w:sz w:val="22"/>
          <w:szCs w:val="22"/>
        </w:rPr>
        <w:t xml:space="preserve">K bodom 12, 13 a 16 </w:t>
      </w:r>
    </w:p>
    <w:p w:rsidRPr="00575EB2">
      <w:pPr>
        <w:autoSpaceDE/>
        <w:autoSpaceDN/>
        <w:jc w:val="both"/>
        <w:rPr>
          <w:rFonts w:ascii="Arial Narrow" w:hAnsi="Arial Narrow" w:cs="Arial Narrow"/>
          <w:strike/>
          <w:sz w:val="22"/>
          <w:szCs w:val="22"/>
        </w:rPr>
      </w:pPr>
      <w:r w:rsidRPr="00575EB2">
        <w:rPr>
          <w:rFonts w:ascii="Arial Narrow" w:hAnsi="Arial Narrow" w:cs="Arial Narrow"/>
          <w:sz w:val="22"/>
          <w:szCs w:val="22"/>
        </w:rPr>
        <w:t xml:space="preserve">Nahrádza sa ročná suma daňového bonusu uvedená v absolútnej hodnote v Sk mesačnou sumou v eurách  zaokrúhlenou podľa bodu 20. </w:t>
      </w:r>
      <w:r w:rsidRPr="00575EB2">
        <w:rPr>
          <w:rFonts w:ascii="Arial Narrow" w:hAnsi="Arial Narrow" w:cs="Arial Narrow"/>
          <w:strike/>
          <w:sz w:val="22"/>
          <w:szCs w:val="22"/>
        </w:rPr>
        <w:t xml:space="preserve">  </w:t>
      </w:r>
    </w:p>
    <w:p w:rsidRPr="00575EB2">
      <w:pPr>
        <w:autoSpaceDE/>
        <w:autoSpaceDN/>
        <w:jc w:val="both"/>
        <w:rPr>
          <w:rFonts w:ascii="Arial Narrow" w:hAnsi="Arial Narrow" w:cs="Arial Narrow"/>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K bodu 19</w:t>
      </w:r>
    </w:p>
    <w:p w:rsidRPr="00575EB2">
      <w:pPr>
        <w:autoSpaceDE/>
        <w:autoSpaceDN/>
        <w:jc w:val="both"/>
        <w:rPr>
          <w:rFonts w:ascii="Arial Narrow" w:hAnsi="Arial Narrow" w:cs="Arial Narrow"/>
          <w:sz w:val="22"/>
          <w:szCs w:val="22"/>
        </w:rPr>
      </w:pPr>
      <w:r w:rsidRPr="00575EB2">
        <w:rPr>
          <w:rFonts w:ascii="Arial Narrow" w:hAnsi="Arial Narrow" w:cs="Arial Narrow"/>
          <w:sz w:val="22"/>
          <w:szCs w:val="22"/>
        </w:rPr>
        <w:t xml:space="preserve">Ustanovenie rieši zaokrúhľovanie príjmov podliehajúcich zdaneniu v zahraničí, pri ktorých sa uplatňuje zápočet dane podľa zmluvy a zaokrúhľovanie maximálnej výšky dane zaplatenej v zahraničí, ktorú je možné u nás započítať. </w:t>
      </w:r>
    </w:p>
    <w:p w:rsidRPr="00575EB2">
      <w:pPr>
        <w:autoSpaceDE/>
        <w:autoSpaceDN/>
        <w:spacing w:line="240" w:lineRule="atLeast"/>
        <w:jc w:val="both"/>
        <w:rPr>
          <w:rFonts w:ascii="Arial Narrow" w:hAnsi="Arial Narrow" w:cs="Times New Roman"/>
          <w:b/>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K bodu 20</w:t>
      </w:r>
    </w:p>
    <w:p w:rsidRPr="00575EB2">
      <w:pPr>
        <w:autoSpaceDE/>
        <w:autoSpaceDN/>
        <w:jc w:val="both"/>
        <w:rPr>
          <w:rFonts w:ascii="Arial Narrow" w:hAnsi="Arial Narrow" w:cs="Arial Narrow"/>
          <w:sz w:val="22"/>
          <w:szCs w:val="22"/>
        </w:rPr>
      </w:pPr>
      <w:r w:rsidRPr="00575EB2">
        <w:rPr>
          <w:rFonts w:ascii="Arial Narrow" w:hAnsi="Arial Narrow" w:cs="Arial Narrow"/>
          <w:sz w:val="22"/>
          <w:szCs w:val="22"/>
        </w:rPr>
        <w:t>Ustanovenie rieši spôsob zaokrúhľovania základu dane, nepeňažného príjmu [§ 5 ods. 3 písm. a)], nezdaniteľných častí základu dane (§ 11), preddavkov na daň (§ 34, 35, 42 a 44), daňového bonusu (§ 33), zdaniteľnej mzdy (§ 35) a dane (§ 15, § 31 ods. 3 a § 43).</w:t>
      </w:r>
    </w:p>
    <w:p w:rsidRPr="00575EB2">
      <w:pPr>
        <w:autoSpaceDE/>
        <w:autoSpaceDN/>
        <w:jc w:val="both"/>
        <w:rPr>
          <w:rFonts w:ascii="Arial Narrow" w:hAnsi="Arial Narrow" w:cs="Arial Narrow"/>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K bodu 21</w:t>
      </w:r>
    </w:p>
    <w:p w:rsidRPr="00575EB2">
      <w:pPr>
        <w:autoSpaceDE/>
        <w:autoSpaceDN/>
        <w:jc w:val="both"/>
        <w:rPr>
          <w:rFonts w:ascii="Arial Narrow" w:hAnsi="Arial Narrow" w:cs="Arial Narrow"/>
          <w:sz w:val="22"/>
          <w:szCs w:val="22"/>
        </w:rPr>
      </w:pPr>
      <w:r w:rsidRPr="00575EB2">
        <w:rPr>
          <w:rFonts w:ascii="Arial Narrow" w:hAnsi="Arial Narrow" w:cs="Arial Narrow"/>
          <w:sz w:val="22"/>
          <w:szCs w:val="22"/>
        </w:rPr>
        <w:t>Ustanovenie rieši spôsob zaokrúhľovania sumy zodpovedajúcej 2 % zaplatenej dane (§ 50), výpočtu daňovej sadzby na účely zápočtu dane (§ 45) a iných prepočtov.</w:t>
      </w:r>
    </w:p>
    <w:p w:rsidRPr="00575EB2">
      <w:pPr>
        <w:autoSpaceDE/>
        <w:autoSpaceDN/>
        <w:jc w:val="both"/>
        <w:rPr>
          <w:rFonts w:ascii="Arial Narrow" w:hAnsi="Arial Narrow" w:cs="Arial Narrow"/>
          <w:sz w:val="22"/>
          <w:szCs w:val="22"/>
        </w:rPr>
      </w:pP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K bodo</w:t>
      </w:r>
      <w:r w:rsidRPr="00575EB2">
        <w:rPr>
          <w:rFonts w:ascii="Arial Narrow" w:hAnsi="Arial Narrow" w:cs="Arial Narrow"/>
          <w:b/>
          <w:bCs/>
          <w:sz w:val="22"/>
          <w:szCs w:val="22"/>
        </w:rPr>
        <w:t>m 22 a 23</w:t>
      </w:r>
    </w:p>
    <w:p w:rsidRPr="00575EB2">
      <w:pPr>
        <w:autoSpaceDE/>
        <w:autoSpaceDN/>
        <w:jc w:val="both"/>
        <w:rPr>
          <w:rFonts w:ascii="Arial Narrow" w:hAnsi="Arial Narrow" w:cs="Arial Narrow"/>
          <w:b/>
          <w:bCs/>
          <w:sz w:val="22"/>
          <w:szCs w:val="22"/>
        </w:rPr>
      </w:pPr>
      <w:r w:rsidRPr="00575EB2">
        <w:rPr>
          <w:rFonts w:ascii="Arial Narrow" w:hAnsi="Arial Narrow" w:cs="Arial Narrow"/>
          <w:sz w:val="22"/>
          <w:szCs w:val="22"/>
        </w:rPr>
        <w:t>Nahrádzajú sa sumy uvedené v absolútnej hodnote v Sk sumami v eurách zaokrúhlené matematicky na dve desatinné čísla.</w:t>
      </w: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 xml:space="preserve"> </w:t>
      </w:r>
    </w:p>
    <w:p w:rsidRPr="00575EB2">
      <w:pPr>
        <w:autoSpaceDE/>
        <w:autoSpaceDN/>
        <w:jc w:val="both"/>
        <w:rPr>
          <w:rFonts w:ascii="Arial Narrow" w:hAnsi="Arial Narrow" w:cs="Arial Narrow"/>
          <w:b/>
          <w:bCs/>
          <w:sz w:val="22"/>
          <w:szCs w:val="22"/>
        </w:rPr>
      </w:pPr>
      <w:r w:rsidRPr="00575EB2">
        <w:rPr>
          <w:rFonts w:ascii="Arial Narrow" w:hAnsi="Arial Narrow" w:cs="Arial Narrow"/>
          <w:b/>
          <w:bCs/>
          <w:sz w:val="22"/>
          <w:szCs w:val="22"/>
        </w:rPr>
        <w:t>K bodu 24</w:t>
      </w:r>
    </w:p>
    <w:p w:rsidRPr="00575EB2">
      <w:pPr>
        <w:autoSpaceDE/>
        <w:autoSpaceDN/>
        <w:spacing w:line="240" w:lineRule="atLeast"/>
        <w:jc w:val="both"/>
        <w:rPr>
          <w:rStyle w:val="PlaceholderText"/>
          <w:rFonts w:ascii="Arial Narrow" w:hAnsi="Arial Narrow" w:cs="Arial Narrow"/>
          <w:color w:val="auto"/>
          <w:sz w:val="22"/>
          <w:szCs w:val="22"/>
        </w:rPr>
      </w:pPr>
      <w:r w:rsidRPr="00575EB2">
        <w:rPr>
          <w:rFonts w:ascii="Arial Narrow" w:hAnsi="Arial Narrow" w:cs="Arial Narrow"/>
          <w:sz w:val="22"/>
          <w:szCs w:val="22"/>
        </w:rPr>
        <w:t>Ustanovenie odseku 1 rieši uplatňovanie výdavkov (nákladov) preukázateľne vynaložených daňovníkom v súvislosti s prechodom na euro v základe dane, vrátane výdavkov (nákladov) na zaokrúhlenie. Tieto výdavky (náklady) sú považované za daňové výdavky, resp. za položky upravujúce základ dane za rovnakých podmienok, ako iné daňové výdavky, a to vrátane ich uplatnenia prostred</w:t>
      </w:r>
      <w:r w:rsidRPr="00575EB2">
        <w:rPr>
          <w:rFonts w:ascii="Arial Narrow" w:hAnsi="Arial Narrow" w:cs="Arial Narrow"/>
          <w:sz w:val="22"/>
          <w:szCs w:val="22"/>
        </w:rPr>
        <w:t>níctvom odpisov v súlade s § 19 ods. 3 písm. a) zákona. Ustanovenie v odseku 2 rieši spôsob zahrnutia kurzových rozdielov vzniknutých z dôvodu</w:t>
      </w:r>
      <w:r w:rsidRPr="00575EB2">
        <w:rPr>
          <w:rFonts w:ascii="Arial Narrow" w:hAnsi="Arial Narrow" w:cs="Arial Narrow"/>
          <w:b/>
          <w:bCs/>
          <w:sz w:val="22"/>
          <w:szCs w:val="22"/>
        </w:rPr>
        <w:t xml:space="preserve">  </w:t>
      </w:r>
      <w:r w:rsidRPr="00575EB2">
        <w:rPr>
          <w:rFonts w:ascii="Arial Narrow" w:hAnsi="Arial Narrow" w:cs="Arial Narrow"/>
          <w:sz w:val="22"/>
          <w:szCs w:val="22"/>
        </w:rPr>
        <w:t>prepočtu pohľadávok  a záväzkov konverzným kurzom ku dňa zavedenia eura tak, aby ovplyvnili základ dane v tom zdaňovacom období,  v ktorom dochádza k inkasu alebo odpisu pohľadávky, alebo k platbe alebo odpisu záväzku obdobne,  ako je to v prípade  iných,  resp. ostatných kurzových  rozdielov  zaúčtovaných  v účtovníctve, uvedených v § 17 ods.17 zákona. Toto ustanovenie rieši pohľadávky alebo záväzky vyjadrené v eurách ako aj v cudzej mene. V odsekoch 3 a 4 sa ustanovuje spôsob prepočtu vstupnej ceny, zostatkovej ceny a daňových odpisov pri rovnomernom a zrýchlenom odpisovaní hmotného majetku v nadväznosti na zavedenie novej meny, ktorý bol obstaraný v Sk v zdaňovacích obdobiach pred zavedením eura. V odseku 5 sa rieši spôsob prepočtu preddavkov zaplatených v eurách v tých prípadoch, keď daňovník bol povinný zaplatiť preddavky na daň podľa § 34 alebo § 42 zákona do 31. decembra 2008 v slovenských korunách a zaplatil ich po zavedení eura v eurách, tieto sa prepočítajú konverzným kurzom na slovenské koruny a zaokrúhlia sa na celé koruny nahor.</w:t>
      </w:r>
      <w:r w:rsidRPr="00575EB2">
        <w:rPr>
          <w:rFonts w:ascii="Arial Narrow" w:hAnsi="Arial Narrow" w:cs="Times New Roman"/>
          <w:sz w:val="22"/>
          <w:szCs w:val="22"/>
        </w:rPr>
        <w:t xml:space="preserve"> </w:t>
      </w:r>
      <w:r w:rsidRPr="00575EB2">
        <w:rPr>
          <w:rFonts w:ascii="Arial Narrow" w:hAnsi="Arial Narrow" w:cs="Arial Narrow"/>
          <w:sz w:val="22"/>
          <w:szCs w:val="22"/>
        </w:rPr>
        <w:t>Ustanovenie odseku 6 upravuje spôsob uplatnenia výdavkov (nákladov)</w:t>
      </w:r>
      <w:r w:rsidRPr="00575EB2">
        <w:rPr>
          <w:rFonts w:ascii="Arial Narrow" w:hAnsi="Arial Narrow" w:cs="Arial Narrow"/>
          <w:b/>
          <w:bCs/>
          <w:sz w:val="22"/>
          <w:szCs w:val="22"/>
        </w:rPr>
        <w:t xml:space="preserve"> </w:t>
      </w:r>
      <w:r w:rsidRPr="00575EB2">
        <w:rPr>
          <w:rFonts w:ascii="Arial Narrow" w:hAnsi="Arial Narrow" w:cs="Arial Narrow"/>
          <w:sz w:val="22"/>
          <w:szCs w:val="22"/>
        </w:rPr>
        <w:t xml:space="preserve">vynaložených daňovníkom do 31. decembra 2008 a príjmov (výnosov), o ktorých bolo účtované do 31. decembra 2008 v slovenských korunách, ktoré ovplyvnia základ dane v zdaňovacích obdobiach končiacich po zavedení eura (napr. obstaranie cenných papierov do 31. decembra 2008 predaných po zavedení eura - § 8 zákona, neprijaté príjmy podľa § 17 ods. 21 zákona v prípade zmluvných pokút, poplatkov z omeškania a úrokov z omeškania, o ktorých bolo účtované do 31. decembra 2008). Tieto sa prepočítajú konverzným kurzom na eurá a zaokrúhlia sa na eurocenty nahor. Rovnako sa postupuje aj pri uplatňovaní daňovej straty podľa § 30 zákona. </w:t>
      </w:r>
    </w:p>
    <w:p w:rsidRPr="00575EB2">
      <w:pPr>
        <w:pStyle w:val="Heading2"/>
        <w:rPr>
          <w:rStyle w:val="PlaceholderText"/>
          <w:rFonts w:ascii="Arial Narrow" w:hAnsi="Arial Narrow" w:cs="Arial Narrow"/>
          <w:i w:val="0"/>
          <w:color w:val="000000"/>
          <w:sz w:val="22"/>
          <w:szCs w:val="22"/>
        </w:rPr>
      </w:pPr>
    </w:p>
    <w:p w:rsidRPr="00575EB2">
      <w:pPr>
        <w:pStyle w:val="Heading2"/>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čl. III </w:t>
      </w:r>
    </w:p>
    <w:p w:rsidRPr="00575EB2">
      <w:pPr>
        <w:jc w:val="both"/>
        <w:rPr>
          <w:rStyle w:val="PlaceholderText"/>
          <w:rFonts w:ascii="Arial Narrow" w:hAnsi="Arial Narrow" w:cs="Arial Narrow"/>
          <w:b/>
          <w:color w:val="000000"/>
          <w:sz w:val="22"/>
          <w:szCs w:val="22"/>
        </w:rPr>
      </w:pP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Podľa čl. 287 smernice Rady 2006/112/ES môžu členské štáty, ktoré sa stali členmi ES/EÚ po 1.1.1978, oslobodiť od dane zdaniteľné osoby, ktorých ročný obrat nie je vyšší ako ekvivalent hodnôt uvedených v uvedenom článku v národnej mene pri prepočítacom kurze platnom v deň ich pristúpenia. Nadväzne na zavedenie meny euro sa v zákone na účely registrácie zdaniteľných osôb navrhuje ustanoviť obrat, ktorý je záväzný v eurách pre SR podľa uvedeného článku smernice.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Pre registráciu zahraničnej osoby, ktorá dodáva tovar formou zásielkového predaja, sa podľa čl. 34 smernice Rady 2006/112/ES ustanovuje hodnota takto dodaného tovaru do tuzemska, ktorá je podľa súčasného znenia zákona prepočítaná na slovenské koruny. V súvislosti so zavedením meny euro sa navrhuje ustanoviť sumu 35 000 eur ako je uvedená v cit. článku smernice.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určujúcom miesto dodania tovaru pri zásielkovom predaji sa rovnako ako v § 6 zákona navrhuje zmeniť hodnotu takto dodaného tovaru do tuzemska podľa čl. 34 smernice Rady 2006/112/ES uvedením sumy 35 000 eur.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Nadväzne na navrhovanú úpravu hranice obratu v eurách na účely registrácie pre daň v § 4 a 6 zákona, sa navrhuje ustanoviť novú sumu obratu pre zrušenie registrácie vyjadrenú v eurách tak, ako to vyplýva pre Slovenskú republiku z čl. 287 smernice 2006/112/ES.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 účely registrácie pre daň zdaniteľnej osoby, ktorá nie je platiteľom dane, alebo právnickej osoby, ktorá nie je zdaniteľnou osobou (nadobúdateľov tovarov), čl. 3 smernice Rady 2006/112/ES ustanovuje celkovú hodnotu tovaru bez dane nadobudnutého z iných členských štátov EÚ, ktorá nesmie byť nižšia ako 10 000 eur. Doterajšia hodnota tovaru bez dane 420 000 Sk túto podmienku spĺňala, preto sa navrhuje uvedenú hodnotu ponechať a len prepočítať konverzným kurzom.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 účely určenia, kedy nadobudnutie tovaru v tuzemsku nie je predmetom dane, je v uvedených ustanoveniach pri nadobúdateľoch registrovaných pre daň podľa § 7 určená hodnota tovaru bez dane 420 000 Sk, ktorú sa rovnako ako v § 7 ods. 1 a 2 zákona navrhuje nahradiť hodnotou prepočítanou konverzným kurzom.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 účely registrácie pre daň zdaniteľnej osoby, ktorá nie je platiteľom dane, alebo právnickej osoby, ktorá nie je zdaniteľnou osobou (nadobúdateľov tovarov), sa navrhuje v § 7 zákona nahradiť hodnotu tovaru bez dane vyjadrenú v slovenských korunách hodnotou vyjadrenou v eurách prepočtom podľa konverzného kurzu. Rovnaká úprava sa navrhuje aj na účely zrušenia registrácie uvedených osôb.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bodu 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Pri určení, kedy sú bankovky a mince predmetom dane, je potrebné na účely prepočtu ich nominálnej hodnoty ustanoviť, že sa použijú referenčné výmenné kurzy eura k iným menám určené a vyhlásené Európskou centrálnou bankou a referenčné výmenné kurzy eura k iným menám určené a vyhlásené Národnou bankou Slovenska, ak pôjde o meny, pre ktoré Európska centrálna banka neurčuje a nevyhlasuje referenčné výmenné kurzy.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bodu 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súlade s čl. 16 smernice Rady 2006/112/ES je v tomto ustanovení vymedzené, kedy sa bezodplatné dodanie tovaru na obchodné účely nepovažuje za dodanie tovaru za protihodnotu spolu s určením maximálnej hodnoty za jeden kus. S cieľom zachovania rovnakej hodnoty po zavedení meny euro sa navrhuje prepočítať hodnotu tovaru bez dane za jeden kus konverzným kurzom.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5 až 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Po zavedení meny euro, ak bude požadovaná platba pri dodaní tovaru, dodaní služby alebo nadobudnutí tovaru v tuzemsku v inej mene ako v eurách, vykoná sa prepočet na účely určenia základu dane podľa referenčného výmenného kurzu eura k iným menám určeného a vyhláseného Európskou centrálnou bankou a referenčného  výmenného kurzu eura k iným menám určeného a vyhláseného Národnou bankou Slovenska, ak pôjde o meny, pre ktoré Európska centrálna banka neurčuje a nevyhlasuje referenčné výmenné kurzy.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Zaokrúhľovanie vypočítanej dane sa po zavedení meny euro navrhuje vykonávať na eurocenty matematicky vrátene výpočtu dane pri dovoze tovaru.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9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súvislosti so zavedením meny euro sa navrhuje pri investičnom majetku ustanoviť výšku obstarávacej ceny bez dane alebo vlastné náklady (100 000 Sk a viac) hnuteľných vecí tak, aby sa zachoval doterajší stav, preto sa navrhuje zachovať doterajšiu hodnotu prepočítanú konverzným kurzom.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10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legislatívnej úprave vrátenia dane z pridanej hodnoty zahraničným podnikateľom (refundácia dane) sa v súvislosti so zavedením meny euro navrhujú zmeniť sumy dane v slovenských korunách novými sumami v eurách, a to podľa čl. 7 ôsmej smernice Rady 79/1072/EHS a trinástej smernice Rady 86/560/EHS.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Vo vzťahu k vráteniu dane cestujúcim pri vývoze tovaru neobchodného charakteru v osobnej batožine sa navrhuje v súlade s čl. 147 ods. 1 písm. c) smernice Rady 2006/112/ES nahradiť minimálnu celkovú hodnotu vyvezeného tovaru uvedenú v doklade o kúpe tovaru v slovenských korunách novou sumou, a to 175 eur.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12 až 20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vrátenie dane osobám, ktoré požívajú výsady a imunity podľa medzinárodného práva, sa v súvislosti so zavedením meny euro navrhujú všetky sumy v slovenských korunách nahradiť sumami v eurách prepočtom podľa konverzného kurzu. Faktúrou na účely zákona môže byť aj doklad vyhotovený elektronickou registračnou pokladnicou, pričom je v ustanovení určená maximálna cena tovaru alebo služby vrátane dane. Navrhuje sa uviesť túto sumu prepočtom podľa konverzného kurzu.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21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Vo vzťahu k obratu, na základe ktorého sa určuje mesačné alebo štvrťročné zdaňovacie obdobie, navrhuje sa v súvislosti so zavedením meny euro uviesť doterajší obrat v eurách prepočtom podľa konverzného kurzu.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bodu 22</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daňové priznanie a  splatnosť vlastnej daňovej povinnosti sa nadväzne na zavedenie meny euro navrhuje zmeniť menu, v ktorej sa uvádzajú údaje v daňovom priznaní, a súčasne sa navrhuje zmeniť spôsob zaokrúhľovania uvádzaných údajov na eurocenty matematicky.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bodu 23</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Ustanovenie o povinnosti platenia preddavku na daň zahraničnou osobou pri predaji tovaru na trhovom mieste určuje minimálnu sumu preddavku. Navrhuje sa túto sumu uviesť v eurách prepočtom podľa konverzného kurzu.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b/>
          <w:color w:val="000000"/>
          <w:sz w:val="22"/>
          <w:szCs w:val="22"/>
        </w:rPr>
        <w:t>K bodu 24</w:t>
      </w: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Rovnako ako pri zmene používanej meny pri vykazovaní údajov v daňových priznaniach sa navrhuje zmeniť menu, v ktorej sa uvádzajú údaje v súhrnnom výkaze (údaje o hodnote tovarov dodaných z tuzemska do iného členského štátu s oslobodením od dane), a súčasne sa navrhuje ustanoviť spôsob zaokrúhľovania údajov uvádzaných v eurách.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bodu 25</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Vzhľadom na to, že sa ustanovuje nová prahová hodnota obratu pre registráciu pre daň, prechodné ustanovenie k úpravám účinným od 1.1.2009 vo vzťahu k registrácii zdaniteľných osôb podľa § 4 zákona upravuje postup v prípade, ak bol obrat dosiahnutý pred zavedením </w:t>
      </w:r>
      <w:r w:rsidRPr="00575EB2">
        <w:rPr>
          <w:rStyle w:val="PlaceholderText"/>
          <w:rFonts w:ascii="Arial Narrow" w:hAnsi="Arial Narrow" w:cs="Arial Narrow"/>
          <w:color w:val="000000"/>
          <w:sz w:val="22"/>
          <w:szCs w:val="22"/>
        </w:rPr>
        <w:t xml:space="preserve">meny euro.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Pri zisťovaní výšky obratu na účely registrácie pre daň a jej zrušenia za mesiace roku 2008 a aj roku 2009 sa do obratu zahŕňa obrat pred zavedením meny euro a aj obrat po zavedení meny euro, pričom sa ustanovuje postup prepočtu obratu dosia</w:t>
      </w:r>
      <w:r w:rsidRPr="00575EB2">
        <w:rPr>
          <w:rStyle w:val="PlaceholderText"/>
          <w:rFonts w:ascii="Arial Narrow" w:hAnsi="Arial Narrow" w:cs="Arial Narrow"/>
          <w:color w:val="000000"/>
          <w:sz w:val="22"/>
          <w:szCs w:val="22"/>
        </w:rPr>
        <w:t xml:space="preserve">hnutého pred zavedením meny euro v SR.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Prechodné ustanovenia tiež upravujú postup platiteľa dane pri oprave základu dane podľa § 25 zákona vykonanej po zavedení meny euro, ak ide o zdaniteľný obchod, pri ktorom vznikla daňová povinnosť do 31. decembra 2008. V prípade opravy pôvodného zdaniteľného obchodu, pri ktorom </w:t>
      </w:r>
      <w:r w:rsidRPr="00575EB2">
        <w:rPr>
          <w:rStyle w:val="PlaceholderText"/>
          <w:rFonts w:ascii="Arial Narrow" w:hAnsi="Arial Narrow" w:cs="Arial Narrow"/>
          <w:color w:val="000000"/>
          <w:sz w:val="22"/>
          <w:szCs w:val="22"/>
        </w:rPr>
        <w:t xml:space="preserve">bola požadovaná platba v eurách, sa pri oprave základu dane a dane zachováva kurz platný pri vzniku pôvodnej daňovej povinnosti. Pri oprave pôvodného zdaniteľného obchodu, pri ktorom bola požadovaná platba v inej mene ako v slovenských korunách alebo v eurách (napr. v USD), sa pri oprave základu dane a dane prepočet zo slovenskej meny (pôvodný základ dane a pôvodná daň) na  eurá vykoná konverzným kurzom.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Pri oprave pôvodného zdaniteľného obchodu, pri ktorom bola požadovaná platba v slovenskej mene, daň môže byť opravená najviac vo výške, ktorá je zhodná so sumou pôvodnej dane po prepočítaní konverzným kurzom. Pri znížení základu dane a dane by z dôvodu zavedenia eura dodávateľ takto nemal žiadať zo štátneho rozpočtu sumu dane vyššiu ako pôvodne priznal.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Prechodné ustanovenia upravujú, že vo vzťahu k vráteniu dane zahraničným osobám sa limity ustanovené v slovenských korunách v doterajšom predpise uplatnia na obdobie, ktoré skončí 31. decembra 2008. Pri vrátení dane cestujúcim pri vývoze tovaru sa limit v slovenských korunách podľa doterajšieho predpisu vzťahuje na tovar kúpený najneskôr do 31. decembra 2008.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Po zavedení eura sa platby medzi podnikateľmi budú realizovať v  eurách. Údaje v daňovom priznaní za obdobie pred zavedením eura sa budú uvádzať v slovenských korunách a budú sa týkať obchodov, pri ktorých vznikla daňová povinnosť pred zavedením eura. Z uvedeného dôvodu je potrebné, aby suma základu dane a daň, ktoré sa budú vzťahovať k zdaniteľným obchodom pred zavedením eura boli vyjadrené vo faktúrach v slovenských korunách.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K bodu 26</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tlačive žiadosti o vrátenie dane zahraničnej osobe sa v súvislosti so zavedením meny euro navrhuje nahradiť v súčasnosti používané označenie pre slovenské koruny „Sk“ slovom „euro“.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bodu 27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súvislosti so zavedením meny euro sa navrhuje v celom texte zákona nahradiť slová „slovenské koruny“ vo všetkých tvaroch slovom „eurá“ v zodpovedajúcom gramatickom tvare.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návrhu zákona sú sumy po prepočte konverzným kurzom zaokrúhlené podľa pravidla o zaokrúhľovaní ustanoveného v zákone č. 659/2007 Z.z. o zavedení meny euro v Slovenskej republike (na dve desatinné miesta matematicky).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 K čl.  IV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bodom 1 až  5 a 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sadzby spotrebnej dane z minerálnych olejov sa sumy po prepočte konverzným kurzom zaokrúhľujú   nadol na  dve desatinné miesta. Zaokrúhlenie sadzieb daní smerom nadol je vykonané v prospech občanov, v opačnom prípade by matematické zaokrúhľovanie sadzieb dane znamenalo ich zvýšenie.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Navrhovaná úprava súvisí s prechodom na novú menu euro.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daňové priznanie a  splatnosť vlastnej daňovej povinnosti sa nadväzne na zavedenie meny euro navrhuje zmeniť menu, v ktorej sa uvádzajú údaje v daňovom priznaní a súčasne sa navrhuje zmeniť spôsob zaokrúhľovania tak, že sumy vyjadrené v Sk sa nahrádzajú eurom po prepočte konverzným kurzom a po zaokrúhlení matematicky na dve desatinné miesta. Rovnaký postup sa uplatní aj pri zaokrúhlení zníženej sadzby dane uvedenej v § 6 ods. 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9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 14 ods. 11 sa výška daňovej povinnosti, pri ktorej nie je daňový dlžník povinný podať daňové priznanie a zaplatiť daň, po prepočte konverzným kurzom zaokrúhľuje matematicky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b w:val="0"/>
          <w:bCs w:val="0"/>
          <w:color w:val="000000"/>
          <w:sz w:val="22"/>
          <w:szCs w:val="22"/>
        </w:rPr>
      </w:pPr>
      <w:r w:rsidRPr="00575EB2">
        <w:rPr>
          <w:rStyle w:val="PlaceholderText"/>
          <w:rFonts w:ascii="Arial Narrow" w:hAnsi="Arial Narrow" w:cs="Arial Narrow"/>
          <w:color w:val="000000"/>
          <w:sz w:val="22"/>
          <w:szCs w:val="22"/>
        </w:rPr>
        <w:t>K bodom 10, 11, 12 a 13</w:t>
      </w:r>
      <w:r w:rsidRPr="00575EB2">
        <w:rPr>
          <w:rStyle w:val="PlaceholderText"/>
          <w:rFonts w:ascii="Arial Narrow" w:hAnsi="Arial Narrow" w:cs="Arial Narrow"/>
          <w:b w:val="0"/>
          <w:bCs w:val="0"/>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V ustanoveniach upravujúcich pokuty sa sumy po prepočte konverzným kurzom zaokrúhľujú nadol na dve desatinné miesta. Zaokrúhlenie výšky pokút smerom nadol je vykonané v prospech občanov, v opačnom prípade by matematické zokrúhlenie súm pokút znamenalo ich zvýšenie.</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tlačive žiadosti o vrátenie dane zahraničnej osobe sa v  súvislosti so zavedením meny euro navrhuje nahradiť doteraz používané označenie pre slovenské koruny označením používaným pre menu euro.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Navrhovaná úprava súvisí s prechodom na novú menu euro.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bodom 2 až  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sadzby spotrebnej dane z vína sa sumy po prepočte konverzným kurzom zaokrúhľujú  nadol na dve desatinné miesta. Zaokrúhlenie sadzieb daní smerom nadol je vykonané v prospech občanov, v opačnom prípade by matematické zaokrúhľovanie sadzieb dane znamenalo ich zvýšenie.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daňové priznanie a  splatnosť vlastnej daňovej povinnosti sa nadväzne na zavedenie meny euro navrhuje zmeniť menu, v ktorej sa uvádzajú údaje v daňovom priznaní, a súčasne sa navrhuje zmeniť spôsob zaokrúhľovania tak, že sumy vyjadrené v Sk sa  nahrádzajú eurom po prepočte konverzným kurzom a po zaokrúhlení matematicky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bodom 6 až 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V ustanoveniach upravujúcich pokuty sa sumy po prepočte konverzným kurzom zaokrúhľujú nadol na dve desatinné miesta. Zaokrúhlenie výšky pokút smerom nadol je vykonané v prospech občanov, v opačnom prípade by matematické zokrúhlenie súm pokút znamenalo ich zvýšenie.</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VI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1 a 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sadzby spotrebnej dane z liehu sa sumy po prepočte konverzným kurzom zaokrúhľujú na dve desatinné miesta nadol. Zaokrúhlenie sadzieb daní smerom nadol je vykonané v prospech občanov, v opačnom prípade by matematické zaokrúhľovanie sadzieb dane znamenalo ich zvýšenie. </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 10 ods. 35 je definovaná minimálna cena na jeden liter liehoviny. Táto suma sa po prepočte konverzným kurzom zaokrúhľuje na dve desatinné miesta nadol. Zaokrúhlenie minimálnej ceny smerom nadol je vykonané v prospech občanov, v opačnom prípade by matematické zaokrúhľovanie  minimálnej ceny znamenalo jej zvýšenie. </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daňové priznanie a  splatnosť vlastnej daňovej povinnosti sa nadväzne na zavedenie meny euro navrhuje zmeniť menu, v ktorej sa uvádzajú údaje v daňovom priznaní, a súčasne sa navrhuje zmeniť spôsob zaokrúhľovania uvádzaných údajov na eurocenty matematicky.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bodom 5 až  13</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V ustanoveniach upravujúcich pokuty sa sumy po prepočte konverzným kurzom zaokrúhľujú  nadol  na dve desatinné miesta. Zaokrúhlenie výšky pokút smerom nadol je vykonané v prospech občanov, v opačnom prípade by matematické zokrúhlenie súm pokút znamenalo ich zvýšenie.</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VII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1 až  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Sadzba spotrebnej dane na tabak sa po prepočte konverzným kurzom zaokrúhli na dve desatinné miesta smerom nadol. Zaokrúhlenie sadzieb daní smerom nadol je vykonané v prospech občanov, v opačnom prípade by matematické zaokrúhľovanie sadzieb dane znamenalo ich zvýšenie. </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Vzhľadom  na nízku hodnotu sadzby spotrebnej dane na cigary, cigarky, cigarety a nízku hodnotu minimálnej sadzby dane z cigariet je potrebné pristúpiť pri prepočte zo slovenskej meny na eurá aj k zmene spôsobu vyjadrenia sadzby dane.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sadzby spotrebnej dane na cigary, cigarky, cigarety a v ustanovení upravujúcom minimálnu sadzbu dane na cigarety sa prepočet vykoná tak, že hodnoty uvedené v slovenskej mene sa najskôr vynásobia číslom 1 000 a po prepočte konverzným kurzom sa zaokrúhlia na dve desatinné miesta nadol. Zaokrúhlenie sadzieb daní smerom nadol je vykonané v prospech občanov, v opačnom prípade by matematické zaokrúhľovanie sadzieb dane znamenalo ich zvýšenie. Sadzba dane bude vyjadrená v eurách na tisíc kusov cigariet, cigár a cigariek.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Zároveň je potrebné prispôsobiť aj  spôsob výpočtu špecifickej časti kombinovanej sadzby dane v zmysle § 5 ods. 7 tak, že sadzba dane stanovená na tisíc kusov cigariet sa prepočíta na jeden kus cigarety.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daňové priznanie a  splatnosť vlastnej daňovej povinnosti sa nadväzne na zavedenie meny euro navrhuje zmeniť menu, v ktorej sa uvádzajú údaje v daňovom priznaní, a súčasne sa navrhuje zmeniť spôsob zaokrúhľovania uvádzaných údajov na eurocenty matematicky. </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bodom 8 až 16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V ustanoveniach upravujúcich pokuty sa sumy po prepočte konverzným kurzom zaokrúhľujú nadol  na dve desatinné miesta. Zaokrúhlenie výšky pokút smerom nadol je vykonané v prospech občanov, v opačnom prípade by matematické zokrúhlenie súm pokút znamenalo ich zvýšenie.</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Zavedením meny euro treba zabezpečiť dopredaj spotrebiteľských balení cigariet, na ktorých bude kontrolná známka s cenou uvedenou v slovenských korunách alebo bude uvedená duálne. Navrhovanou úpravou sa zabezpečí dopredaj spotrebiteľských balení cigariet, ktoré sú označené kontrolnou známkou na ktorej nie je uvedený znak pre obdobie platnosti sadzby dane a zároveň je cena je uvedená v slovenských korunách alebo je uvedená duálne. Ide teda o spotrebiteľské balenia cigariet, ktoré boli uvedené do daňového voľného obehu pred nadobudnutím účinnosti novej sadzby dane, ktorú je Slovenská republika povinná </w:t>
      </w:r>
      <w:r w:rsidRPr="00575EB2">
        <w:rPr>
          <w:rFonts w:ascii="Arial Narrow" w:hAnsi="Arial Narrow" w:cs="Arial Narrow"/>
          <w:sz w:val="22"/>
          <w:szCs w:val="22"/>
        </w:rPr>
        <w:t>upraviť v zmysle Harmonogramu na dosiahnutie minimálneho daňového zaťaženia cigariet</w:t>
      </w:r>
      <w:r w:rsidRPr="00575EB2">
        <w:rPr>
          <w:rStyle w:val="PlaceholderText"/>
          <w:rFonts w:ascii="Arial Narrow" w:hAnsi="Arial Narrow" w:cs="Arial Narrow"/>
          <w:color w:val="000000"/>
          <w:sz w:val="22"/>
          <w:szCs w:val="22"/>
        </w:rPr>
        <w:t xml:space="preserve">, pričom nová sadzba dane je upravená v návrhu novely zákona o spotrebnej dani z tabakových výrobkov, ktorý je v súčasnosti predložený na rokovanie Národnej rady SR. Uvedené ustanovenie neobmedzuje dopredaj spotrebiteľského balenia cigariet, na ktorých bude cena cigariet uvedená duálne a tieto spotrebiteľské balenia cigariet budú označené kontrolnou známkou na ktorej bude uvedený znak platnosti sadzby dane, t. j. spotrebiteľských balení cigariet zdanených novou sadzbou dane. </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VIII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1 a 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sadzby spotrebnej dane z piva sa sumy po prepočte konverzným kurzom zaokrúhľujú nadol na dve desatinné miesta. Zaokrúhlenie sadzieb daní smerom nadol je vykonané v prospech občanov, v opačnom prípade by matematické zaokrúhľovanie sadzieb dane znamenalo ich zvýšenie.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daňové priznanie a  splatnosť vlastnej daňovej povinnosti sa nadväzne na zavedenie meny euro navrhuje zmeniť menu, v ktorej sa uvádzajú údaje v daňovom priznaní, a súčasne sa navrhuje zmeniť spôsob zaokrúhľovania tak, že sumy vyjadrené v Sk sa  nahrádzajú eurom po prepočítaní konverzným kurzom a po zaokrúhlení matematicky na dve desatinné miesta. </w:t>
      </w:r>
    </w:p>
    <w:p>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4 až 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V ustanoveniach upravujúcich pokuty sa sumy po prepočte konverzným kurzom zaokrúhľujú nadol na dve desatinné miesta. Zaokrúhlenie výšky pokút smerom nadol je vykonané v prospech občanov, v opačnom prípade by matematické zokrúhlenie súm pokút znamenalo ich zvýšenie.</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IX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bodom 1 až 3</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Vzhľadom na nízku hodnotu sadzby spotrebnej dane z elektriny, je potrebné pristúpiť pri prepočte slovenskej meny na eurá aj k zmene spôsobu vyjadrenia merných jednotiek. V ustanoveniach upravujúcich sadzby spotrebnej dane z elektriny sa jednotlivé sumy najskôr vynásobia číslom 1000 a po prepočte konverzným kurzom sa zaokrúhľujú nadol na dve desatinné miesta. Zaokrúhlenie sadzieb daní smerom nadol je vykonané v prospech občanov, v opačnom prípade by matematické zaokrúhľovanie sadzieb dane znamenalo ich zvýšenie. Súčasne dochádza k zmene merných jednotiek z kilowatthodín na megawatthodiny.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bodu 4</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daňové priznanie a  splatnosť vlastnej daňovej povinnosti sa nadväzne na zavedenie meny euro navrhuje zmeniť menu, v ktorej sa uvádzajú údaje v daňovom priznaní, a súčasne sa navrhuje zmeniť spôsob zaokrúhľovania tak, že sumy vyjadrené v Sk sa nahrádzajú eurom po prepočte konverzným kurzom a po zaokrúhlení matematicky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bodu  5</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daňovú povinnosť, ktorá nepresiahne za zdaňovacie obdobie 100 Sk sa suma po prepočte konverzným kurzom zaokrúhľuje matematicky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bodu   6</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upravujúcom sadzbu spotrebnej dane z uhlia sa hodnota po prepočítaní konverzným kurzom zaokrúhli matematicky na dve desatinné miesta. </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bodom 7 až  10</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Vzhľadom na nízku hodnotu sadzby spotrebnej dane zo zemného plynu, je potrebné pristúpiť pri prepočte slovenskej meny na eurá aj k zmene spôsobu vyjadrenia merných jednotiek.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upravujúcich sadzby spotrebnej dane zo zemného plynu sa jednotlivé sumy najskôr vynásobia číslom 1000 a po prepočte konverzným kurzom sa zaokrúhľujú nadol na dve desatinné miesta. Zaokrúhlenie sadzieb daní smerom nadol je vykonané v prospech občanov, v opačnom prípade by matematické zaokrúhľovanie sadzieb dane znamenalo ich zvýšenie. Súčasne dochádza k zmene merných jednotiek z kilowatthodín na megawatthodiny.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bodom 11 a 12</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V ustanoveniach upravujúcich pokuty sa sumy po prepočte konverzným kurzom zaokrúhľujú nadol na dve desatinné miesta. Zaokrúhlenie výšky pokút smerom nadol je vykonané v prospech občanov, v opačnom prípade by matematické zokrúhlenie súm pokút znamenalo ich zvýšenie.</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color w:val="000000"/>
          <w:sz w:val="22"/>
          <w:szCs w:val="22"/>
        </w:rPr>
        <w:t xml:space="preserve"> </w:t>
      </w:r>
      <w:r w:rsidRPr="00575EB2">
        <w:rPr>
          <w:rStyle w:val="PlaceholderText"/>
          <w:rFonts w:ascii="Arial Narrow" w:hAnsi="Arial Narrow" w:cs="Arial Narrow"/>
          <w:b/>
          <w:color w:val="000000"/>
          <w:sz w:val="22"/>
          <w:szCs w:val="22"/>
        </w:rPr>
        <w:t xml:space="preserve">K bodu 13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súvislosti so zmenou  merných jednotiek  z kilowatthodín na megawatthodiny navrhuje sa v celom texte zákona  slovo “kilowatthodiny” vo všetkých tvaroch nahradiť slovom “megawathodiny” v príslušnom  gramatickom tvare.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čl. X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bodu 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sa suma uvedená v slovenskej korune nahrádza eurom po prepočítaní konverzným kurzom a zaokrúhlení na tri desatinné miesta nadol.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Suma uvedená v slovenskej korune sa nahrádza eurom po prepočítaní konverzným kurzom a zaokrúhli na dve desatinné miesta nadol.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K bodu 3</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Ide o sumu vyjadrujúcu hornú hranicu, preto sa navrhuje zaokrúhlenie sumy po prepočte na celé euro smerom nadol.</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4 až 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Sumy uvedené v slovenských korunách sa nahrádzajú eurom po prepočítaní konverzným kurzom a zaokrúhlení na štyri desatinné miesta nadol.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7 až 11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sa suma 20 000 Sk nahrádza sumou uvedenou v eurách prepočítanou konverzným kurzom a zaokrúhlenou na celé eurá tak, aby bola suma v eurách deliteľná štyrmi a suma 250 000 Sk sa nahrádza sumou uvedenou v eurách prepočítanou konverzným kurzom a zaokrúhlenou na celé eurá tak, aby bola suma v eurách deliteľná dvánastimi.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bodu 12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sa slová slovenské koruny nahrádzajú slovom eurocenty.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Ide o prechodné ustanovenie, podľa ktorého v prípade vyrubenia miestnej dane a poplatku za zdaňovacie obdobia pred 1. januárom 2009 správca dane v roku 2009 sumu dane vypočíta podľa predpisov platných do 31. decembra 2008 a prepočíta konverzným kurzom na eurá a zaokrúhli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Prechodné ustanovenie rieši možnosť vrátenia miestnej dane a poplatku, resp. ich pomerných častí, ktoré už boli v roku 2008 zaplatené a daňovník požiada o ich vrátenie v roku 2009.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Pri dani z motorových vozidiel je v prechodnom ustanovení riešený spôsob vysporiadania daňovej povinnosti za rok 2008, ktorú budú daňovníci prepočítavať konverzným kurzom až v roku 2009 pri podaní daňového priznania.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celom texte zákona sa slová „slovenské koruny“, ktoré sa viac krát vyskytujú, nahrádzajú slovom „eurá“.  </w:t>
      </w:r>
    </w:p>
    <w:p w:rsidRPr="00575EB2">
      <w:pPr>
        <w:pStyle w:val="Heading2"/>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bodu 15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nadväznosti na zavedenie meny euro v Slovenskej republike hodnoty uvedené v prílohe č. 1 sa po prepočítaní konverzným kurzom zaokrúhlia na štyri desatinné miesta nadol a hodnoty uvedené v prílohe č. 2 sa po prepočítaní konverzným kurzom zaokrúhlia na dve desatinné miesta nadol. Ide o spôsob zaokrúhľovania výhodnejší pre daňovníka.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ab/>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čl. XI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Suma 5 000 Sk uvedená v slovenských korunách sa v týchto ustanoveniach nahrádza sumou v eurách po prepočítaní konverzným kurzom a po zaokrúhlení na  dve desatinné miesta  na najbližší eurocent nahor 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bodom 2, 3 a  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Sumy uvedené v slovenských korunách sa v týchto ustanoveniach nahrádzajú eurom po prepočítaní konverzným kurzom a po zaokrúhlení matematicky na dve desatinné miesta. Ide o sumy 5 000 Sk,  50 000 Sk, 500 000 Sk,         1 000 000 Sk,  5 000 000 a 10 000 000 Sk. Prepočet uvedených súm nemá priamy dopad na štátny rozpočet.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Suma 100 000 Sk sa zaokrúhli na dve desatinné miesta matematicky. Uvedená suma, ako aj prepočet nemá priamy dopad na štátny rozpočet.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bodu 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sa suma 500 000 Sk nahrádza eurom po prepočítaní konverzným kurzom a po zaokrúhlení na dve desatinné miesta na najbližší eurocent nadol v prospech daňového subjektu a ostatné sumy 200 Sk, 1 000 Sk a         2 000 Sk uvedené v slovenských korunách sa nahrádzajú eurom po prepočítaní konverzným kurzom a zaokrúhlení na dve desatinné miesta na najbližší eurocent nadol 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sa suma 1 500 000 Sk nahrádza sumou v eurách po prepočítaní konverzným kurzom a zaokrúhlení na dve desatinné miesta  na najbližší eurocent nadol v prospech daňového subjektu, sumy  10 000 Sk a 50 000 Sk sa nahrádzajú sumami uvedenými v eurách po prepočítaní konverzným kurzom a  zaokrúhlení na  dve desatinné miesta na najbližší eurocent nadol v prospech daňového subjektu a sumy 200 Sk a 2 000 Sk sa nahrádzajú sumami v eurách po prepočítaní konverzným kurzom a zaokrúhlení na dve desatinné miesta na najbližší eurocent nadol 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sa sumy 2 000 Sk a 4 000 Sk nahrádzajú sumami v eurách po prepočítaní konverzným kurzom a  zaokrúhlení  na dve desatinné miesta  na najbližší eurocent nadol v prospech  daňového subjektu a sumy  10 000 Sk a 20 000 Sk  sa nahrádzajú sumami v eurách po prepočítaní konverzným kurzom a zaokrúhlení na  dve desatinné miesta  na najbližší eurocent nadol 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bodu 9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sa suma 200 Sk nahrádza sumou v eurách po prepočítaní konverzným kurzom a zaokrúhlení na dve desatinné miesta na najbližší eurocent nadol v prospech daňového subjektu a sumy 2 000 Sk a 100 000 Sk sa nahrádzajú sumami v eurách po prepočítaní konverzným kurzom a zaokrúhlení na dve desatinné miesta  na najbližší eurocent nadol 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bodom 10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Sumy 100 Sk a 500 Sk sa nahrádzajú sumami v eurách po prepočítaní konverzným kurzom a zaokrúhlení na dve desatinné miesta na najbližší eurocent </w:t>
      </w:r>
      <w:r w:rsidRPr="00575EB2">
        <w:rPr>
          <w:rStyle w:val="PlaceholderText"/>
          <w:rFonts w:ascii="Arial Narrow" w:hAnsi="Arial Narrow" w:cs="Arial Narrow"/>
          <w:bCs/>
          <w:color w:val="000000"/>
          <w:sz w:val="22"/>
          <w:szCs w:val="22"/>
        </w:rPr>
        <w:t>nadol</w:t>
      </w:r>
      <w:r w:rsidRPr="00575EB2">
        <w:rPr>
          <w:rStyle w:val="PlaceholderText"/>
          <w:rFonts w:ascii="Arial Narrow" w:hAnsi="Arial Narrow" w:cs="Arial Narrow"/>
          <w:b/>
          <w:bCs/>
          <w:color w:val="000000"/>
          <w:sz w:val="22"/>
          <w:szCs w:val="22"/>
        </w:rPr>
        <w:t xml:space="preserve"> </w:t>
      </w:r>
      <w:r w:rsidRPr="00575EB2">
        <w:rPr>
          <w:rStyle w:val="PlaceholderText"/>
          <w:rFonts w:ascii="Arial Narrow" w:hAnsi="Arial Narrow" w:cs="Arial Narrow"/>
          <w:color w:val="000000"/>
          <w:sz w:val="22"/>
          <w:szCs w:val="22"/>
        </w:rPr>
        <w:t xml:space="preserve">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sa  suma 2 000 Sk   nahrádza sumou v eurách po prepočítaní konverzným kurzom a zaokrúhlení na  dve desatinné miesta  na najbližší eurocent nadol 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uvedenom bode sa slová  „slovenskej mene“ nahrádzajú slovom „eurách“.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uvedených ustanoveniach sa suma 10 000 Sk   nahrádza sumou v eurách po prepočítaní konverzným kurzom a zaokrúhlení na dve desatinné miesta  na najbližší eurocent nahor 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sa  suma 100 Sk nahrádza sumou v eurách  po prepočítaní  konverzným kurzom a  zaokrúhlení na dve desatinné miesta  na najbližší eurocent nadol 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sa suma 1 000 000 Sk nahrádza sumou v eurách po prepočítaní konverzným kurzom a zaokrúhlení  matematicky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sa  suma 1 000 Sk  nahrádza  sumou v eurách po prepočítaní konverzným kurzom a zaokrúhlení matematicky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bodom 17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color w:val="000000"/>
          <w:sz w:val="22"/>
          <w:szCs w:val="22"/>
        </w:rPr>
        <w:t xml:space="preserve">V ustanovení sa suma  500 Sk a  500 000 Sk nahrádzajú  sumami v eurách po prepočítaní konverzným kurzom a zaokrúhlení na  dve desatinné </w:t>
      </w:r>
      <w:r w:rsidRPr="00575EB2">
        <w:rPr>
          <w:rStyle w:val="PlaceholderText"/>
          <w:rFonts w:ascii="Arial Narrow" w:hAnsi="Arial Narrow" w:cs="Arial Narrow"/>
          <w:bCs/>
          <w:color w:val="000000"/>
          <w:sz w:val="22"/>
          <w:szCs w:val="22"/>
        </w:rPr>
        <w:t>miesta  na najbližší eurocent nadol v prospech  daňového subjektu.</w:t>
      </w:r>
      <w:r w:rsidRPr="00575EB2">
        <w:rPr>
          <w:rStyle w:val="PlaceholderText"/>
          <w:rFonts w:ascii="Arial Narrow" w:hAnsi="Arial Narrow" w:cs="Arial Narrow"/>
          <w:b/>
          <w:bCs/>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V ustanovení sa suma, z ktorej sa  vypočítajú exekučné náklady zaokrúhli po prepočítaní konverzným kurzom a zaokrúhlení na desiatky eur nadol v pros</w:t>
      </w:r>
      <w:r>
        <w:rPr>
          <w:rStyle w:val="PlaceholderText"/>
          <w:rFonts w:ascii="Arial Narrow" w:hAnsi="Arial Narrow" w:cs="Arial Narrow"/>
          <w:color w:val="000000"/>
          <w:sz w:val="22"/>
          <w:szCs w:val="22"/>
        </w:rPr>
        <w:t>pech</w:t>
      </w:r>
      <w:r w:rsidRPr="00575EB2">
        <w:rPr>
          <w:rStyle w:val="PlaceholderText"/>
          <w:rFonts w:ascii="Arial Narrow" w:hAnsi="Arial Narrow" w:cs="Arial Narrow"/>
          <w:color w:val="000000"/>
          <w:sz w:val="22"/>
          <w:szCs w:val="22"/>
        </w:rPr>
        <w:t xml:space="preserve">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K bodu 19</w:t>
        <w:tab/>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ustanovení sa suma 50 Sk nahrádza sumou po prepočítaní  konverzným kurzom a zaokrúhlení  na  dve desatinné miesta na najbližší eurocent nadol v prospech daňového subjektu.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20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tomto ustanovení sa  rieši spôsob  zaokrúhľovania  sumy ako je daň, základ dane, preddavky na daň a sankcia (pokuta, sankčný úrok a úrok) tak, že výsledná suma sa zaokrúhli na desiatky eurocentov nadol v prospech  daňového subjektu, ak tento zákon alebo osobitný  zákon neustanovuje inak.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bodom 21, 22  a 23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sa sumy 5 000 000 Sk, 50 000 000 Sk a 10 000 000 Sk nahrádzajú sumami v eurách  po prepočítaní konverzným kurzom a zaokrúhlení matematicky na dve desatinné miesta. Uvedená úprava nemá priamy dopad na štátny rozpočet.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24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Slová „základná úroková sadzba Národnej banky Slovenka“ vo všetkých tvaroch sa v celom texte zákona nahrádzajú slovami „základná úroková sadzba Európskej centrálnej banky“ v príslušnom tvare. Táto zmena základnej úrokovej sadzby pri prechode na menu euro však nemá vplyv na prípady výpočtu peňažného údaja podľa pôvodnej výšky základnej úrokovej sadzby Národnej banky Slovenska platnej do 31. 12. 2008.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25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Z dôvodu právnej istoty sa v prechodnom ustanovení navrhuje, aby sa pri výpočte sankcie (pokuta, úrok a sankčný úrok) po zavedení eura použila základná úroková sadzba Národnej banky Slovenska platná pred zavedením eura v tých prípadoch, ak skutočnosť pre jej uplatnenie nastala pred zavedením eura. Touto skutočnosťou je napr. deň doručenia rozhodnutia o vyrubení dane alebo rozdielu dane (§ 35 ods. 2), deň, keď bol povolený odklad platenia  dane alebo  platenie dane  v splátkach (§ 59 ods. 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pPr>
        <w:jc w:val="both"/>
        <w:rPr>
          <w:rStyle w:val="PlaceholderText"/>
          <w:rFonts w:ascii="Arial Narrow" w:hAnsi="Arial Narrow" w:cs="Arial Narrow"/>
          <w:color w:val="000000"/>
          <w:sz w:val="22"/>
          <w:szCs w:val="22"/>
        </w:rPr>
      </w:pPr>
    </w:p>
    <w:p>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čl. XII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Navrhuje sa zaokrúhľovanie základu správneho poplatku pri percentnej sadzbe na celé eurá nadol a správneho poplatku na 50 eurocentov alebo celé eurá nadol. Ide o zavedenie spôsobu zaokrúhľovania v prospech poplatníka.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súvislosti so zavedením meny euro v Slovenskej republike sa slová „v slovenských korunách“ nahrádzajú slovami „v eurách“.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3 a 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súlade so zákonom č. 659/2007 Z.z. o zavedení meny euro v Slovenskej republike a o zmene a doplnení niektorých zákonov sa pri prepočte cudzej meny na eurá upravuje použitie referenčného výmenného kurzu eura k iným menám určeného a vyhláseného Európskou centrálnou bankou.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Navrhuje sa sumu správneho poplatku, ktorý sa má vrátiť poplatníkovi, zaokrúhľovať na dve desatinné miesta nahor, čo je v prospech poplatníka.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Navrhuje sa minimálnu sumu správneho poplatku, ktorá sa má vrátiť poplatníkovi, určiť v mene euro po prepočte konverzným kurzom na eurá a zaokrúhlení na dve desatinné miesta nadol.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Navrhuje sa sumu peňažnej pokuty určiť v mene euro po prepočte konverzným kurzom na eurá a zaokrúhlení na dve desatinné miesta nadol.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prechodných ustanoveniach účinných od 1.1.2009 sa upravuje prepočet základu poplatku určeného v slovenských korunách a jeho zaokrúhľovanie na celé eurá nadol, čo je v prospech poplatníka. Ďalej sa ustanovuje platenie správnych poplatkov v prípade, ak bola výzva na zaplatenie správneho poplatku vydaná predo dňom zavedenia eura v Slovenskej republike a to na zaplatenie správneho poplatku kolkovými známkami alebo v hotovosti. V prechodných ustanoveniach sa rieši tiež spôsob vrátenia správneho poplatku poplatníkovi v prípade, ak sa poplatok vybral v slovenských korunách pred zavedením eura v Slovenskej republike a má sa vrátiť po zavedení eura.     </w:t>
      </w:r>
    </w:p>
    <w:p w:rsidRPr="00575EB2">
      <w:pPr>
        <w:pStyle w:val="BodyTextIndent"/>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Osobitne sa tiež upravuje platenie správneho poplatku v kolkových známkach na prelome rokov 2008 a 2009, resp. v období duálneho hotovostného peňažného obehu a tiež po uplynutí duálneho hotovostného peňažného obehu.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9 až 73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Navrhuje sa sadzby uvedené v jednotlivých položkách sadzobníka správnych poplatkov určiť v mene euro po prepočte konverzným kurzom a zaokrúhlení tak, aby bolo možné správne poplatky do určenej sumy platiť aj kolkovými známkami vydanými v mene euro. Sadzby správnych poplatkov sa prepočítajú konverzným kurzom na euro a zaokrúhlia na 50 eurocentov alebo celé eurá nadol. Obdobné riešenie sa ustanovuje aj v prípade určenia sumy základu poplatku.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b/>
          <w:bCs/>
          <w:color w:val="000000"/>
          <w:sz w:val="22"/>
          <w:szCs w:val="22"/>
        </w:rPr>
        <w:t>K čl. XIII</w:t>
      </w: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Navrhuje sa zaokrúhľovanie základu súdneho poplatku pri percentuálnej sadzbe na celé eurá nadol a súdneho poplatku na 50 eurocentov alebo celé eurá nadol. Ide o zavedenie spôsobu zaokrúhľovania v prospech poplatníka. </w:t>
      </w:r>
    </w:p>
    <w:p w:rsidRPr="00575EB2">
      <w:pPr>
        <w:pStyle w:val="Heading2"/>
        <w:spacing w:before="0" w:after="0"/>
        <w:rPr>
          <w:rStyle w:val="PlaceholderText"/>
          <w:rFonts w:ascii="Arial Narrow" w:hAnsi="Arial Narrow" w:cs="Arial Narrow"/>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bodu 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Upravuje sa postup pri prepočte základu súdneho poplatku vyjadreného v cudzej mene na eurá, pri ktorom sa použije referenčný výmenný kurz eura k iným menám určený a vyhlásený Európskou centrálnou bankou.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Ustanovuje sa minimálna suma súdneho poplatku, ktorá sa má vrátiť poplatníkovi, ak zaplatil vyšší poplatok ako mal zaplatiť, po prepočte konverzným kurzom na eurá a po zaokrúhlení na dve desatinné miesta nadol.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Určuje sa suma súdneho poplatku, ktorá sa má minimálne vrátiť po prepočte konverzným kurzom na eurá a po zaokrúhlení na dve desatinné miesta nadol.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Navrhuje sa sumu poplatku, ktorá sa má vrátiť zaokrúhľovať na dve desatinné miesta nahor, čo je v prospech poplatníka.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prechodných ustanoveniach účinných od 1.1.2009 sa navrhuje, aby sa základ súdneho poplatku, ktorý bol určený v slovenských korunách podľa právnych predpisov platných do 31.12.2008, na účely určenia súdneho poplatku po zavedení eura prepočítal konverzným kurzom na eurá a zaokrúhlil na celé eurá nadol, čo je v prospech poplatníka.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Upravuje sa tiež platenie súdnych poplatkov v prípade, ak bola výzva na zaplatenie súdneho poplatku vydaná predo dňom zavedenia eura v Slovenskej republike formou kolkových známok alebo v hotovosti. V prechodných ustanoveniach sa rieši aj vrátenie súdneho poplatku poplatníkovi v prípade, ak sa poplatok vybral v slovenských korunách pred zavedením eura v Slovenskej republike. Osobitne sa v prechodných ustanoveniach riešia situácie platenia súdneho poplatku v období duálneho hotovostného peňažného obehu, resp. po uplynutí doby duálneho hotovostného peňažného obehu.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7 až 33 </w:t>
      </w:r>
    </w:p>
    <w:p w:rsidRPr="00575EB2">
      <w:pPr>
        <w:pStyle w:val="BodyTextIndent"/>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Navrhuje sa v prílohe zákona, v sadzobníku sumy uvedené v slovenských korunách v jednotlivých položkách sadzobníka súdnych poplatkov určiť v mene euro po prepočte konverzným kurzom a tieto sumy v eurách zaokrúhliť na 50 eurocentov alebo na celé eurá nadol. Výnimkou z uvedeného zaokrúhľovania  sú sadzby súdnych poplatkov uvedené v sadzobníku sumou 2 Sk a 10 Sk, ktoré sa po prepočte konverzným kurzom navrhuje zaokrúhliť na dve desatinné miesta nadol, čo je  v prospech poplatníka.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čl. XIV </w:t>
      </w: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súvislosti s prepravou peňažných prostriedkov v hotovosti sa navrhovaným znením upravuje použitie referenčného výmenného kurzu, ktorý určuje a vyhlasuje Európska centrálna banka. Ak Európska centrálna banka referenčný výmenný kurz príslušnej meny neurčuje, resp. nevyhlasuje, hodnota peňažných prostriedkov v hotovosti sa určí prostredníctvom referenčného výmenného kurzu vyhláseného Národnou bankou Slovenska.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2 až 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Návrhom sa nahrádzajú peňažné sumy skladného za tovar uskladnený v skladoch colných orgánov uvedené v slovenských korunách peňažnými sumami v eurách. Sumy po prepočte konverzným kurzom sú zaokrúhlené na dve desatinné miesta nadol v prospech právnických a fyzických osôb. Navrhuje sa spôsob zaokrúhľovania úhrnnej sumy skladného matematicky na dve desatinné miesta.   </w:t>
      </w:r>
    </w:p>
    <w:p>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6 až 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Rovnako ako v bodoch 2 až 5 sa nahrádzajú peňažné sumy nákladov za colné konanie mimo colného priestoru alebo mimo určených úradných hodín uvedené v slovenských korunách peňažnými sumami v eurách. Sumy po prepočte konverzným kurzom sú zaokrúhlené na dve desatinné miesta nadol v prospech právnických a fyzických osôb.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9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Navrhovaným znením nového § 56b sa ustanovuje matematický spôsob zaokrúhľovania vymeraného cla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10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Navrhované znenie zohľadňuje prechod kompetencií Národnej banky Slovenska pri určovaní výšky základnej úrokovej sadzby na Európsku centrálnu banku.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Návrhom sa nahrádza peňažná suma colného dlhu, ktorý možno uhradiť v hotovosti, uvedená v slovenských korunách peňažnou sumou v eurách. Suma je po prepočte konverzným kurzom zaokrúhlená matematicky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Peňažná suma pokuty uvedená v slovenských korunách sa nahrádza peňažnou sumou v eurách. Suma je po prepočte konverzným kurzom zaokrúhlená na dve desatinné miesta nadol v prospech právnických a fyzických osôb.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Paušálna suma nákladov na prejednanie colného deliktu uvedená v slovenských korunách sa nahrádza peňažnou sumou v eurách. Suma po prepočte konverzným kurzom je zaokrúhlená na dve desatinné miesta nadol v prospech právnických a fyzických osôb.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14 až 16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Návrhom sa nahrádzajú peňažné sumy pokút uvedené v slovenských korunách peňažnými sumami v eurách. Tieto sumy sú po prepočte konverzným kurzom zaokrúhlené na dve desatinné miesta nadol v prospech právnických a fyzických osôb. Rovnako sa zaokrúhľuje minimálna výška pohľadávky, ktorú možno započítať.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17 </w:t>
      </w:r>
    </w:p>
    <w:p w:rsidRPr="00575EB2">
      <w:pPr>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Z dôvodu právnej istoty sa prechodným ustanovením upravuje použitie základnej úrokovej sadzby (napríklad  v prípade oneskoreného prevodu platieb na účty colných úradov).   </w:t>
      </w:r>
    </w:p>
    <w:p w:rsidRPr="00575EB2">
      <w:pPr>
        <w:jc w:val="both"/>
        <w:rPr>
          <w:rStyle w:val="PlaceholderText"/>
          <w:rFonts w:ascii="Arial Narrow" w:hAnsi="Arial Narrow" w:cs="Arial Narrow"/>
          <w:color w:val="000000"/>
          <w:sz w:val="22"/>
          <w:szCs w:val="22"/>
        </w:rPr>
      </w:pPr>
    </w:p>
    <w:p w:rsidRPr="00575EB2">
      <w:pPr>
        <w:pStyle w:val="Heading2"/>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čl. XV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1 až 6  </w:t>
      </w:r>
    </w:p>
    <w:p w:rsidRPr="00575EB2">
      <w:pPr>
        <w:pStyle w:val="BodyText"/>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súvislosti s prechodom na menu euro sa návrhom nahrádzajú peňažné sumy  pokút uvedené v slovenských korunách peňažnými sumami v eurách. Sumy sú po prepočte konverzným kurzom zaokrúhlené na dve desatinné miesta nadol v prospech právnických a fyzických osôb.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bodu 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Sumy rozhodné pre kvalifikáciu konania fyzických alebo právnických osôb ako porušenia zákona vo väčšom rozsahu sú po prepočte konverzným kurzom zaokrúhlené na dve desatinné miesta nahor v prospech právnických a fyzických osôb.  </w:t>
      </w:r>
    </w:p>
    <w:p w:rsidRPr="00575EB2">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čl. XVI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bodom 1 až 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Peňažné údaje rozhodné z hľadiska podávania majetkového priznania colníka doteraz ustanovené v slovenských korunách sú prepočítané konverzným kurzom na eurá a zaokrúhlené matematicky na dve desatinné miesta.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4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súvislosti s uvádzaním peňažných prostriedkov v cudzej mene v hotovosti a vkladov v bankách do majetkového priznania colníka a ich prepočtom na eurá sa navrhovaným znením zohľadňuje prechod kompetencií Národnej banky Slovenska v oblasti kurzovej politiky na Európsku centrálnu banku odo dňa zavedenia meny euro v Slovenskej republike.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5 a 6 </w:t>
      </w:r>
    </w:p>
    <w:p w:rsidRPr="00575EB2">
      <w:pPr>
        <w:pStyle w:val="BodyText"/>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Dôvodom úpravy je prepočet peňažných súm funkčného platu colníka zo slovenskej meny na eurá. Funkčný plat sa prepočítava konverzným kurzom a je zaokrúhlený na päťdesiat eurocentov nahor v prospech colníka. Rovnaký spôsob zaokrúhľovania sa použije aj pri zvýšení funkčného platu na príslušný rok, prídavku za výsluhu rokov a osobnom príplatku. Vplyv takéhoto zaokrúhľovania je zohľadnený v doložke vplyvov.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súvislosti so zavedením meny euro sa upravujú ustanovenia o zaokrúhľovaní služobného platu colníka, príplatkov a odmien za služobnú pohotovosť. Navrhuje sa, aby sa súčasné zaokrúhľovanie na desiatky slovenských korún nahor nahradilo zaokrúhľovaním na päťdesiat eurocentov, rovnako nahor.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bodom 7 až 10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Dôvodom úpravy je prepočet peňažných súm jednotlivých zložiek služobného príjmu colníka zo slovenskej meny na eurá. Sumy vyjadrené v eurách sú výsledkom prepočítania konverzným kurzom a sú zaokrúhlené na päťdesiat eurocentov nahor v prospech colníka. Navrhuje sa, aby nadriadený v rámci ustanoveného intervalu sumu príplatku za riadenie určoval zaokrúhlene - na päťdesiat eurocentov.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bodom 11 až 17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Aj v týchto prípadoch je dôvodom úpravy prepočet peňažných súm ďalších zložiek služobného príjmu colníka zo slovenskej meny na eurá. Sumy príplatku za prípravu colníka čakateľa, príplatku za starostlivosť o prideleného služobného psa, príplatku za starostlivosť a vedenie služobného motorového vozidla alebo služobného motorového člna, príplatku za zmennosť vyjadrené v eurách sú výsledkom prepočítania konverzným kurzom a sú zaokrúhlené na päťdesiat eurocentov nahor v prospech colníka.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18 až 21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Prechod Slovenskej republiky na eurá si vyžaduje aj úpravu ustanovení týkajúcich sa poskytovania služobného príjmu colníka, ktorý je vyslaný na výkon štátnej služby alebo na denné štúdium v zahraničí. Colníkovi vyslanému do štátov eurozóny sa poskytuje služobný príjem v eurách; ak však pôjde o colníka, ktorý je vyslaný na výkon štátnej služby alebo na denné štúdium v zahraničí mimo štátov eurozóny, na jeho písomnú žiadosť mu služobný úrad poskytne časť služobného príjmu v peňažných prostriedkoch v cudzej mene.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22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Ide o terminologické upresnenie legislatívneho textu vzťahujúceho sa na poskytovanie stravného colníkom vykonávajúcim colnú kontrolu mimo územia Slovenskej republiky.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23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návrhu sa ustanovuje spôsob zaokrúhľovania krátených sadzieb stravného poskytovaného colníkovi vyslanému na služobnú cestu - na najbližší eurocent nahor. </w:t>
      </w:r>
    </w:p>
    <w:p w:rsidRPr="00575EB2">
      <w:pPr>
        <w:pStyle w:val="Heading2"/>
        <w:spacing w:before="0" w:after="0"/>
        <w:rPr>
          <w:rStyle w:val="PlaceholderText"/>
          <w:rFonts w:ascii="Arial Narrow" w:hAnsi="Arial Narrow" w:cs="Arial Narrow"/>
          <w:i w:val="0"/>
          <w:color w:val="000000"/>
          <w:sz w:val="22"/>
          <w:szCs w:val="22"/>
        </w:rPr>
      </w:pPr>
    </w:p>
    <w:p w:rsidRPr="00575EB2">
      <w:pPr>
        <w:pStyle w:val="Heading2"/>
        <w:spacing w:before="0" w:after="0"/>
        <w:rPr>
          <w:rStyle w:val="PlaceholderText"/>
          <w:rFonts w:ascii="Arial Narrow" w:hAnsi="Arial Narrow" w:cs="Arial Narrow"/>
          <w:i w:val="0"/>
          <w:color w:val="000000"/>
          <w:sz w:val="22"/>
          <w:szCs w:val="22"/>
        </w:rPr>
      </w:pPr>
      <w:r w:rsidRPr="00575EB2">
        <w:rPr>
          <w:rStyle w:val="PlaceholderText"/>
          <w:rFonts w:ascii="Arial Narrow" w:hAnsi="Arial Narrow" w:cs="Arial Narrow"/>
          <w:i w:val="0"/>
          <w:color w:val="000000"/>
          <w:sz w:val="22"/>
          <w:szCs w:val="22"/>
        </w:rPr>
        <w:t xml:space="preserve">K bodu 24 až 26  </w:t>
      </w:r>
    </w:p>
    <w:p w:rsidRPr="00575EB2">
      <w:pPr>
        <w:pStyle w:val="BodyTextIndent"/>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Sumy náhrad preukázaných výdavkov v súvislosti s presťahovaním colníka do miesta výkonu štátnej služby pri jeho preložení na inú funkciu vyjadrené v slovenských korunách sú po prepočte konverzným kurzom zaokrúhlené na päťdesiat eurocentov nahor v prospech colníka.   </w:t>
      </w:r>
    </w:p>
    <w:p w:rsidRPr="00575EB2">
      <w:pPr>
        <w:jc w:val="both"/>
        <w:rPr>
          <w:rStyle w:val="PlaceholderText"/>
          <w:rFonts w:ascii="Arial Narrow" w:hAnsi="Arial Narrow" w:cs="Arial Narrow"/>
          <w:b/>
          <w:bCs/>
          <w:color w:val="000000"/>
          <w:sz w:val="22"/>
          <w:szCs w:val="22"/>
        </w:rPr>
      </w:pPr>
    </w:p>
    <w:p w:rsidRPr="00575EB2">
      <w:pPr>
        <w:jc w:val="both"/>
        <w:rPr>
          <w:rStyle w:val="PlaceholderText"/>
          <w:rFonts w:ascii="Arial Narrow" w:hAnsi="Arial Narrow" w:cs="Arial Narrow"/>
          <w:b/>
          <w:bCs/>
          <w:color w:val="000000"/>
          <w:sz w:val="22"/>
          <w:szCs w:val="22"/>
        </w:rPr>
      </w:pPr>
      <w:r w:rsidRPr="00575EB2">
        <w:rPr>
          <w:rStyle w:val="PlaceholderText"/>
          <w:rFonts w:ascii="Arial Narrow" w:hAnsi="Arial Narrow" w:cs="Arial Narrow"/>
          <w:b/>
          <w:bCs/>
          <w:color w:val="000000"/>
          <w:sz w:val="22"/>
          <w:szCs w:val="22"/>
        </w:rPr>
        <w:t xml:space="preserve">K bodom 27 až 30 </w:t>
      </w:r>
    </w:p>
    <w:p w:rsidRPr="00575EB2">
      <w:pPr>
        <w:pStyle w:val="BodyTextIndent"/>
        <w:rPr>
          <w:rStyle w:val="PlaceholderText"/>
          <w:rFonts w:ascii="Arial Narrow" w:hAnsi="Arial Narrow" w:cs="Arial Narrow"/>
          <w:color w:val="000000"/>
        </w:rPr>
      </w:pPr>
      <w:r w:rsidRPr="00575EB2">
        <w:rPr>
          <w:rStyle w:val="PlaceholderText"/>
          <w:rFonts w:ascii="Arial Narrow" w:hAnsi="Arial Narrow" w:cs="Arial Narrow"/>
          <w:color w:val="000000"/>
        </w:rPr>
        <w:t xml:space="preserve">Upresňujú sa ustanovenia o poskytovaní stravného a náhrady výdavkov za pohonné látky pri zahraničnej pracovnej ceste colníka v eurách v štátoch eurozóny alebo v cudzej mene - ak ide o zahraničnú služobnú cestu colníka mimo štátov eurozóny.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31 a 32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Ustanovením sa reaguje na zmeny vykonané v bodoch 29 a 30 v súvislosti s potrebou rozlišovať cudzie štáty na štáty eurozóny a ostatné štáty pri poskytovaní stravného colníkovi na zahraničnej služobnej ceste.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33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Upresňuje sa poskytovanie vreckového colníkovi študujúcemu na škole alebo v kurze v zahraničí v štátoch eurozóny v eurách alebo v cudzej mene, ak ide o štúdium mimo štátov eurozóny.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bodom 34 a 35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Analogicky s bodom 24 sa navrhuje doplnenie ustanovenia o poskytovaní stravného colníkovi, ktorý vykonáva colnú kontrolu v zahraničí, ak ide o územie štátov eurozóny v eurách alebo v cudzej mene, ak colník vykonáva colnú kontrolu na území cudzieho štátu mimo štátov eurozóny.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36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Upresňuje sa ustanovenie o poskytovaní preddavku na náhrady colníkovi vyslanému na zahraničnú služobnú cestu, a to v závislosti od miesta vyslania na zahraničnú cestu (či ide o štát eurozóny alebo štát mimo eurozóny).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37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Návrhom sa nahrádza peňažná suma uvedená v slovenských korunách peňažnou sumou v eurách. Suma je po prepočte konverzným kurzom zaokrúhlená na dve desatinné miesta nahor v prospech colníka.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b/>
          <w:color w:val="000000"/>
          <w:sz w:val="22"/>
          <w:szCs w:val="22"/>
        </w:rPr>
      </w:pPr>
      <w:r w:rsidRPr="00575EB2">
        <w:rPr>
          <w:rStyle w:val="PlaceholderText"/>
          <w:rFonts w:ascii="Arial Narrow" w:hAnsi="Arial Narrow" w:cs="Arial Narrow"/>
          <w:b/>
          <w:color w:val="000000"/>
          <w:sz w:val="22"/>
          <w:szCs w:val="22"/>
        </w:rPr>
        <w:t xml:space="preserve">K bodu 38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Ide o legislatívno-technickú úpravu, ktorej cieľom je nahradenie pojmu “slovenská mena” slovom “eurá” v celom texte zákona.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čl. XVII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bodom 1, 4 a 5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Navrhovanými úpravami sa určuje použitie kurzu, ktorým je referenčný výmenný kurz  eura k inej mene určený a vyhlásený Európskou centrálnou bankou alebo Národnou bankou Slovenska  pri požadovaní  pomoci pri vymáhaní finančných  pohľadávok od príslušného  úradu zmluvného štátu.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2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navrhovanom ustanovení sa upresňujú informácie, ktoré príslušný orgán Slovenskej republiky uvádza v žiadosti o vymáhanie pohľadávky.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3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ustanoveniach  sa nahrádzajú slová “v slovenskej mene” slovami “v eurách”.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 </w:t>
      </w: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bodu 6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V prechodnom ustanovení sa navrhuje v súlade so smernicou Komisie č. 2002/94/ES upraviť postup pri prepočítaní zníženej sumy vymáhanej pohľadávky na menu príslušného orgánu zmluvného štátu, kedy sa má použiť kurz, ktorý bol použitý  v žiadosti o vymáhanie pohľadávky. </w:t>
      </w:r>
    </w:p>
    <w:p>
      <w:pPr>
        <w:jc w:val="both"/>
        <w:rPr>
          <w:rStyle w:val="PlaceholderText"/>
          <w:rFonts w:ascii="Arial Narrow" w:hAnsi="Arial Narrow" w:cs="Arial Narrow"/>
          <w:color w:val="000000"/>
          <w:sz w:val="22"/>
          <w:szCs w:val="22"/>
        </w:rPr>
      </w:pPr>
    </w:p>
    <w:p w:rsidRPr="00575EB2">
      <w:pPr>
        <w:jc w:val="both"/>
        <w:rPr>
          <w:rStyle w:val="PlaceholderText"/>
          <w:rFonts w:ascii="Arial Narrow" w:hAnsi="Arial Narrow" w:cs="Arial Narrow"/>
          <w:color w:val="000000"/>
          <w:sz w:val="22"/>
          <w:szCs w:val="22"/>
        </w:rPr>
      </w:pPr>
    </w:p>
    <w:p w:rsidRPr="00575EB2">
      <w:pPr>
        <w:pStyle w:val="Heading1"/>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K čl. XVIII </w:t>
      </w:r>
    </w:p>
    <w:p w:rsidRPr="00575EB2">
      <w:pPr>
        <w:jc w:val="both"/>
        <w:rPr>
          <w:rStyle w:val="PlaceholderText"/>
          <w:rFonts w:ascii="Arial Narrow" w:hAnsi="Arial Narrow" w:cs="Arial Narrow"/>
          <w:color w:val="000000"/>
          <w:sz w:val="22"/>
          <w:szCs w:val="22"/>
        </w:rPr>
      </w:pPr>
      <w:r w:rsidRPr="00575EB2">
        <w:rPr>
          <w:rStyle w:val="PlaceholderText"/>
          <w:rFonts w:ascii="Arial Narrow" w:hAnsi="Arial Narrow" w:cs="Arial Narrow"/>
          <w:color w:val="000000"/>
          <w:sz w:val="22"/>
          <w:szCs w:val="22"/>
        </w:rPr>
        <w:t xml:space="preserve">Tento zákon nadobúda účinnosť 1. decembra 2008, okrem </w:t>
      </w:r>
      <w:r w:rsidRPr="00575EB2">
        <w:rPr>
          <w:rFonts w:ascii="Arial Narrow" w:hAnsi="Arial Narrow" w:cs="Arial Narrow"/>
          <w:sz w:val="22"/>
          <w:szCs w:val="22"/>
        </w:rPr>
        <w:t xml:space="preserve"> čl. I bodov 1 až 12, 15 a 1</w:t>
      </w:r>
      <w:r>
        <w:rPr>
          <w:rFonts w:ascii="Arial Narrow" w:hAnsi="Arial Narrow" w:cs="Arial Narrow"/>
          <w:sz w:val="22"/>
          <w:szCs w:val="22"/>
        </w:rPr>
        <w:t>6</w:t>
      </w:r>
      <w:r w:rsidRPr="00575EB2">
        <w:rPr>
          <w:rFonts w:ascii="Arial Narrow" w:hAnsi="Arial Narrow" w:cs="Arial Narrow"/>
          <w:sz w:val="22"/>
          <w:szCs w:val="22"/>
        </w:rPr>
        <w:t>, čl. II až XVII</w:t>
      </w:r>
      <w:r w:rsidRPr="00575EB2">
        <w:rPr>
          <w:rStyle w:val="PlaceholderText"/>
          <w:rFonts w:ascii="Arial Narrow" w:hAnsi="Arial Narrow" w:cs="Arial Narrow"/>
          <w:color w:val="000000"/>
          <w:sz w:val="22"/>
          <w:szCs w:val="22"/>
        </w:rPr>
        <w:t xml:space="preserve">, ktoré nadobúdajú účinnosť 1. januára 2009. </w:t>
      </w:r>
    </w:p>
    <w:p w:rsidRPr="00575EB2">
      <w:pPr>
        <w:jc w:val="both"/>
        <w:rPr>
          <w:rFonts w:ascii="Arial Narrow" w:hAnsi="Arial Narrow" w:cs="Times New Roman"/>
          <w:color w:val="000000"/>
          <w:sz w:val="22"/>
          <w:szCs w:val="22"/>
        </w:rPr>
      </w:pPr>
    </w:p>
    <w:p w:rsidRPr="00575EB2">
      <w:pPr>
        <w:jc w:val="both"/>
        <w:rPr>
          <w:rFonts w:ascii="Arial Narrow" w:hAnsi="Arial Narrow" w:cs="Times New Roman"/>
          <w:color w:val="000000"/>
          <w:sz w:val="22"/>
          <w:szCs w:val="22"/>
        </w:rPr>
      </w:pPr>
    </w:p>
    <w:p w:rsidRPr="00575EB2">
      <w:pPr>
        <w:pStyle w:val="BodyTextIndent"/>
      </w:pPr>
      <w:r w:rsidRPr="00575EB2">
        <w:t>Schválené uznesením vlády Slovenskej republiky dňa 20. augusta 2008.</w:t>
      </w:r>
    </w:p>
    <w:p w:rsidRPr="00575EB2">
      <w:pPr>
        <w:pStyle w:val="BodyTextIndent"/>
      </w:pPr>
    </w:p>
    <w:p w:rsidRPr="00575EB2">
      <w:pPr>
        <w:pStyle w:val="BodyTextIndent"/>
      </w:pPr>
    </w:p>
    <w:p w:rsidRPr="00575EB2">
      <w:pPr>
        <w:pStyle w:val="BodyTextIndent3"/>
        <w:spacing w:after="0"/>
        <w:ind w:left="0"/>
        <w:jc w:val="both"/>
        <w:rPr>
          <w:rFonts w:ascii="Arial Narrow" w:hAnsi="Arial Narrow" w:cs="Arial Narrow"/>
          <w:b/>
          <w:bCs/>
          <w:sz w:val="22"/>
          <w:szCs w:val="22"/>
        </w:rPr>
      </w:pPr>
    </w:p>
    <w:p w:rsidRPr="00575EB2">
      <w:pPr>
        <w:pStyle w:val="BodyTextIndent"/>
      </w:pPr>
    </w:p>
    <w:p w:rsidRPr="00575EB2">
      <w:pPr>
        <w:pStyle w:val="BodyTextIndent"/>
        <w:jc w:val="center"/>
      </w:pPr>
      <w:r w:rsidRPr="00575EB2">
        <w:t>Robert  F i c o</w:t>
      </w:r>
      <w:r>
        <w:t>,  v.r.</w:t>
      </w:r>
    </w:p>
    <w:p w:rsidRPr="00575EB2">
      <w:pPr>
        <w:pStyle w:val="BodyTextIndent"/>
        <w:jc w:val="center"/>
      </w:pPr>
      <w:r w:rsidRPr="00575EB2">
        <w:t>predseda vlády Slovenskej republiky</w:t>
      </w:r>
    </w:p>
    <w:p w:rsidRPr="00575EB2">
      <w:pPr>
        <w:pStyle w:val="BodyTextIndent"/>
      </w:pPr>
    </w:p>
    <w:p w:rsidRPr="00575EB2">
      <w:pPr>
        <w:pStyle w:val="BodyTextIndent"/>
      </w:pPr>
    </w:p>
    <w:p w:rsidRPr="00575EB2">
      <w:pPr>
        <w:pStyle w:val="BodyTextIndent"/>
      </w:pPr>
    </w:p>
    <w:p w:rsidRPr="00575EB2">
      <w:pPr>
        <w:pStyle w:val="BodyTextIndent"/>
        <w:jc w:val="center"/>
      </w:pPr>
      <w:r w:rsidRPr="00575EB2">
        <w:t>Ján  P o č i a t e k</w:t>
      </w:r>
      <w:r>
        <w:t>,  v.r.</w:t>
      </w:r>
    </w:p>
    <w:p w:rsidRPr="00575EB2">
      <w:pPr>
        <w:pStyle w:val="BodyTextIndent"/>
        <w:jc w:val="center"/>
      </w:pPr>
      <w:r w:rsidRPr="00575EB2">
        <w:t>minister financií Slovenskej republiky</w:t>
      </w:r>
    </w:p>
    <w:p w:rsidRPr="00575EB2">
      <w:pPr>
        <w:jc w:val="both"/>
        <w:rPr>
          <w:rFonts w:ascii="Arial Narrow" w:hAnsi="Arial Narrow" w:cs="Times New Roman"/>
          <w:color w:val="000000"/>
          <w:sz w:val="22"/>
          <w:szCs w:val="22"/>
        </w:rPr>
      </w:pPr>
    </w:p>
    <w:sectPr>
      <w:headerReference w:type="default" r:id="rId4"/>
      <w:footerReference w:type="even" r:id="rId5"/>
      <w:footerReference w:type="default" r:id="rId6"/>
      <w:pgSz w:w="12240" w:h="15840"/>
      <w:pgMar w:top="1417" w:right="1440" w:bottom="1417" w:left="1440"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altName w:val="Century Gothic"/>
    <w:panose1 w:val="020B0506020202030204"/>
    <w:charset w:val="00"/>
    <w:family w:val="swiss"/>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 w:name="Wingdings">
    <w:altName w:val="Symbol"/>
    <w:panose1 w:val="05000000000000000000"/>
    <w:charset w:val="00"/>
    <w:family w:val="auto"/>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25</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right="36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A0F"/>
    <w:multiLevelType w:val="hybridMultilevel"/>
    <w:tmpl w:val="233655A0"/>
    <w:lvl w:ilvl="0">
      <w:start w:val="1"/>
      <w:numFmt w:val="bullet"/>
      <w:lvlText w:val=""/>
      <w:lvlJc w:val="left"/>
      <w:pPr>
        <w:tabs>
          <w:tab w:val="num" w:pos="1211"/>
        </w:tabs>
        <w:ind w:left="1211" w:hanging="360"/>
      </w:pPr>
      <w:rPr>
        <w:rFonts w:ascii="Wingdings" w:hAnsi="Wingdings" w:cs="Wingdings"/>
        <w:rtl w:val="0"/>
      </w:rPr>
    </w:lvl>
    <w:lvl w:ilvl="1">
      <w:start w:val="1"/>
      <w:numFmt w:val="bullet"/>
      <w:lvlText w:val="o"/>
      <w:lvlJc w:val="left"/>
      <w:pPr>
        <w:tabs>
          <w:tab w:val="num" w:pos="1931"/>
        </w:tabs>
        <w:ind w:left="1931" w:hanging="360"/>
      </w:pPr>
      <w:rPr>
        <w:rFonts w:ascii="Courier New" w:hAnsi="Courier New" w:cs="Courier New"/>
        <w:rtl w:val="0"/>
      </w:rPr>
    </w:lvl>
    <w:lvl w:ilvl="2">
      <w:start w:val="1"/>
      <w:numFmt w:val="bullet"/>
      <w:lvlText w:val=""/>
      <w:lvlJc w:val="left"/>
      <w:pPr>
        <w:tabs>
          <w:tab w:val="num" w:pos="2829"/>
        </w:tabs>
        <w:ind w:left="2829" w:hanging="538"/>
      </w:pPr>
      <w:rPr>
        <w:rFonts w:ascii="Wingdings" w:hAnsi="Wingdings" w:cs="Wingdings"/>
        <w:rtl w:val="0"/>
      </w:rPr>
    </w:lvl>
    <w:lvl w:ilvl="3">
      <w:start w:val="1"/>
      <w:numFmt w:val="bullet"/>
      <w:lvlText w:val=""/>
      <w:lvlJc w:val="left"/>
      <w:pPr>
        <w:tabs>
          <w:tab w:val="num" w:pos="3371"/>
        </w:tabs>
        <w:ind w:left="3371" w:hanging="360"/>
      </w:pPr>
      <w:rPr>
        <w:rFonts w:ascii="Symbol" w:hAnsi="Symbol" w:cs="Symbol"/>
        <w:rtl w:val="0"/>
      </w:rPr>
    </w:lvl>
    <w:lvl w:ilvl="4">
      <w:start w:val="1"/>
      <w:numFmt w:val="bullet"/>
      <w:lvlText w:val="o"/>
      <w:lvlJc w:val="left"/>
      <w:pPr>
        <w:tabs>
          <w:tab w:val="num" w:pos="4091"/>
        </w:tabs>
        <w:ind w:left="4091" w:hanging="360"/>
      </w:pPr>
      <w:rPr>
        <w:rFonts w:ascii="Courier New" w:hAnsi="Courier New" w:cs="Courier New"/>
        <w:rtl w:val="0"/>
      </w:rPr>
    </w:lvl>
    <w:lvl w:ilvl="5">
      <w:start w:val="1"/>
      <w:numFmt w:val="bullet"/>
      <w:lvlText w:val=""/>
      <w:lvlJc w:val="left"/>
      <w:pPr>
        <w:tabs>
          <w:tab w:val="num" w:pos="4811"/>
        </w:tabs>
        <w:ind w:left="4811" w:hanging="360"/>
      </w:pPr>
      <w:rPr>
        <w:rFonts w:ascii="Wingdings" w:hAnsi="Wingdings" w:cs="Wingdings"/>
        <w:rtl w:val="0"/>
      </w:rPr>
    </w:lvl>
    <w:lvl w:ilvl="6">
      <w:start w:val="1"/>
      <w:numFmt w:val="bullet"/>
      <w:lvlText w:val=""/>
      <w:lvlJc w:val="left"/>
      <w:pPr>
        <w:tabs>
          <w:tab w:val="num" w:pos="5531"/>
        </w:tabs>
        <w:ind w:left="5531" w:hanging="360"/>
      </w:pPr>
      <w:rPr>
        <w:rFonts w:ascii="Symbol" w:hAnsi="Symbol" w:cs="Symbol"/>
        <w:rtl w:val="0"/>
      </w:rPr>
    </w:lvl>
    <w:lvl w:ilvl="7">
      <w:start w:val="1"/>
      <w:numFmt w:val="bullet"/>
      <w:lvlText w:val="o"/>
      <w:lvlJc w:val="left"/>
      <w:pPr>
        <w:tabs>
          <w:tab w:val="num" w:pos="6251"/>
        </w:tabs>
        <w:ind w:left="6251" w:hanging="360"/>
      </w:pPr>
      <w:rPr>
        <w:rFonts w:ascii="Courier New" w:hAnsi="Courier New" w:cs="Courier New"/>
        <w:rtl w:val="0"/>
      </w:rPr>
    </w:lvl>
    <w:lvl w:ilvl="8">
      <w:start w:val="1"/>
      <w:numFmt w:val="bullet"/>
      <w:lvlText w:val=""/>
      <w:lvlJc w:val="left"/>
      <w:pPr>
        <w:tabs>
          <w:tab w:val="num" w:pos="6971"/>
        </w:tabs>
        <w:ind w:left="6971" w:hanging="360"/>
      </w:pPr>
      <w:rPr>
        <w:rFonts w:ascii="Wingdings" w:hAnsi="Wingdings" w:cs="Wingdings"/>
        <w:rtl w:val="0"/>
      </w:rPr>
    </w:lvl>
  </w:abstractNum>
  <w:abstractNum w:abstractNumId="1">
    <w:nsid w:val="04207C90"/>
    <w:multiLevelType w:val="hybridMultilevel"/>
    <w:tmpl w:val="07629516"/>
    <w:lvl w:ilvl="0">
      <w:start w:val="6"/>
      <w:numFmt w:val="bullet"/>
      <w:lvlText w:val="-"/>
      <w:lvlJc w:val="left"/>
      <w:pPr>
        <w:tabs>
          <w:tab w:val="num" w:pos="1191"/>
        </w:tabs>
        <w:ind w:left="1191" w:hanging="340"/>
      </w:pPr>
      <w:rPr>
        <w:rFonts w:ascii="Times New Roman" w:hAnsi="Times New Roman"/>
        <w:rtl w:val="0"/>
      </w:rPr>
    </w:lvl>
    <w:lvl w:ilvl="1">
      <w:start w:val="1"/>
      <w:numFmt w:val="bullet"/>
      <w:lvlText w:val="o"/>
      <w:lvlJc w:val="left"/>
      <w:pPr>
        <w:tabs>
          <w:tab w:val="num" w:pos="1931"/>
        </w:tabs>
        <w:ind w:left="1931" w:hanging="360"/>
      </w:pPr>
      <w:rPr>
        <w:rFonts w:ascii="Courier New" w:hAnsi="Courier New" w:cs="Courier New"/>
        <w:rtl w:val="0"/>
      </w:rPr>
    </w:lvl>
    <w:lvl w:ilvl="2">
      <w:start w:val="1"/>
      <w:numFmt w:val="bullet"/>
      <w:lvlText w:val=""/>
      <w:lvlJc w:val="left"/>
      <w:pPr>
        <w:tabs>
          <w:tab w:val="num" w:pos="2829"/>
        </w:tabs>
        <w:ind w:left="2829" w:hanging="538"/>
      </w:pPr>
      <w:rPr>
        <w:rFonts w:ascii="Wingdings" w:hAnsi="Wingdings" w:cs="Wingdings"/>
        <w:rtl w:val="0"/>
      </w:rPr>
    </w:lvl>
    <w:lvl w:ilvl="3">
      <w:start w:val="1"/>
      <w:numFmt w:val="bullet"/>
      <w:lvlText w:val=""/>
      <w:lvlJc w:val="left"/>
      <w:pPr>
        <w:tabs>
          <w:tab w:val="num" w:pos="3371"/>
        </w:tabs>
        <w:ind w:left="3371" w:hanging="360"/>
      </w:pPr>
      <w:rPr>
        <w:rFonts w:ascii="Symbol" w:hAnsi="Symbol" w:cs="Symbol"/>
        <w:rtl w:val="0"/>
      </w:rPr>
    </w:lvl>
    <w:lvl w:ilvl="4">
      <w:start w:val="1"/>
      <w:numFmt w:val="bullet"/>
      <w:lvlText w:val="o"/>
      <w:lvlJc w:val="left"/>
      <w:pPr>
        <w:tabs>
          <w:tab w:val="num" w:pos="4091"/>
        </w:tabs>
        <w:ind w:left="4091" w:hanging="360"/>
      </w:pPr>
      <w:rPr>
        <w:rFonts w:ascii="Courier New" w:hAnsi="Courier New" w:cs="Courier New"/>
        <w:rtl w:val="0"/>
      </w:rPr>
    </w:lvl>
    <w:lvl w:ilvl="5">
      <w:start w:val="1"/>
      <w:numFmt w:val="bullet"/>
      <w:lvlText w:val=""/>
      <w:lvlJc w:val="left"/>
      <w:pPr>
        <w:tabs>
          <w:tab w:val="num" w:pos="4811"/>
        </w:tabs>
        <w:ind w:left="4811" w:hanging="360"/>
      </w:pPr>
      <w:rPr>
        <w:rFonts w:ascii="Wingdings" w:hAnsi="Wingdings" w:cs="Wingdings"/>
        <w:rtl w:val="0"/>
      </w:rPr>
    </w:lvl>
    <w:lvl w:ilvl="6">
      <w:start w:val="1"/>
      <w:numFmt w:val="bullet"/>
      <w:lvlText w:val=""/>
      <w:lvlJc w:val="left"/>
      <w:pPr>
        <w:tabs>
          <w:tab w:val="num" w:pos="5531"/>
        </w:tabs>
        <w:ind w:left="5531" w:hanging="360"/>
      </w:pPr>
      <w:rPr>
        <w:rFonts w:ascii="Symbol" w:hAnsi="Symbol" w:cs="Symbol"/>
        <w:rtl w:val="0"/>
      </w:rPr>
    </w:lvl>
    <w:lvl w:ilvl="7">
      <w:start w:val="1"/>
      <w:numFmt w:val="bullet"/>
      <w:lvlText w:val="o"/>
      <w:lvlJc w:val="left"/>
      <w:pPr>
        <w:tabs>
          <w:tab w:val="num" w:pos="6251"/>
        </w:tabs>
        <w:ind w:left="6251" w:hanging="360"/>
      </w:pPr>
      <w:rPr>
        <w:rFonts w:ascii="Courier New" w:hAnsi="Courier New" w:cs="Courier New"/>
        <w:rtl w:val="0"/>
      </w:rPr>
    </w:lvl>
    <w:lvl w:ilvl="8">
      <w:start w:val="1"/>
      <w:numFmt w:val="bullet"/>
      <w:lvlText w:val=""/>
      <w:lvlJc w:val="left"/>
      <w:pPr>
        <w:tabs>
          <w:tab w:val="num" w:pos="6971"/>
        </w:tabs>
        <w:ind w:left="6971" w:hanging="360"/>
      </w:pPr>
      <w:rPr>
        <w:rFonts w:ascii="Wingdings" w:hAnsi="Wingdings" w:cs="Wingdings"/>
        <w:rtl w:val="0"/>
      </w:rPr>
    </w:lvl>
  </w:abstractNum>
  <w:abstractNum w:abstractNumId="2">
    <w:nsid w:val="09373A75"/>
    <w:multiLevelType w:val="hybridMultilevel"/>
    <w:tmpl w:val="8F0E8442"/>
    <w:lvl w:ilvl="0">
      <w:start w:val="1"/>
      <w:numFmt w:val="bullet"/>
      <w:lvlText w:val=""/>
      <w:lvlJc w:val="left"/>
      <w:pPr>
        <w:tabs>
          <w:tab w:val="num" w:pos="1211"/>
        </w:tabs>
        <w:ind w:left="1211" w:hanging="360"/>
      </w:pPr>
      <w:rPr>
        <w:rFonts w:ascii="Wingdings" w:hAnsi="Wingdings" w:cs="Wingdings"/>
        <w:rtl w:val="0"/>
      </w:rPr>
    </w:lvl>
    <w:lvl w:ilvl="1">
      <w:start w:val="1"/>
      <w:numFmt w:val="bullet"/>
      <w:lvlText w:val="o"/>
      <w:lvlJc w:val="left"/>
      <w:pPr>
        <w:tabs>
          <w:tab w:val="num" w:pos="1931"/>
        </w:tabs>
        <w:ind w:left="1931" w:hanging="360"/>
      </w:pPr>
      <w:rPr>
        <w:rFonts w:ascii="Courier New" w:hAnsi="Courier New" w:cs="Courier New"/>
        <w:rtl w:val="0"/>
      </w:rPr>
    </w:lvl>
    <w:lvl w:ilvl="2">
      <w:start w:val="1"/>
      <w:numFmt w:val="bullet"/>
      <w:lvlText w:val=""/>
      <w:lvlJc w:val="left"/>
      <w:pPr>
        <w:tabs>
          <w:tab w:val="num" w:pos="2829"/>
        </w:tabs>
        <w:ind w:left="2829" w:hanging="538"/>
      </w:pPr>
      <w:rPr>
        <w:rFonts w:ascii="Wingdings" w:hAnsi="Wingdings" w:cs="Wingdings"/>
        <w:rtl w:val="0"/>
      </w:rPr>
    </w:lvl>
    <w:lvl w:ilvl="3">
      <w:start w:val="1"/>
      <w:numFmt w:val="bullet"/>
      <w:lvlText w:val=""/>
      <w:lvlJc w:val="left"/>
      <w:pPr>
        <w:tabs>
          <w:tab w:val="num" w:pos="3371"/>
        </w:tabs>
        <w:ind w:left="3371" w:hanging="360"/>
      </w:pPr>
      <w:rPr>
        <w:rFonts w:ascii="Symbol" w:hAnsi="Symbol" w:cs="Symbol"/>
        <w:rtl w:val="0"/>
      </w:rPr>
    </w:lvl>
    <w:lvl w:ilvl="4">
      <w:start w:val="1"/>
      <w:numFmt w:val="bullet"/>
      <w:lvlText w:val="o"/>
      <w:lvlJc w:val="left"/>
      <w:pPr>
        <w:tabs>
          <w:tab w:val="num" w:pos="4091"/>
        </w:tabs>
        <w:ind w:left="4091" w:hanging="360"/>
      </w:pPr>
      <w:rPr>
        <w:rFonts w:ascii="Courier New" w:hAnsi="Courier New" w:cs="Courier New"/>
        <w:rtl w:val="0"/>
      </w:rPr>
    </w:lvl>
    <w:lvl w:ilvl="5">
      <w:start w:val="1"/>
      <w:numFmt w:val="bullet"/>
      <w:lvlText w:val=""/>
      <w:lvlJc w:val="left"/>
      <w:pPr>
        <w:tabs>
          <w:tab w:val="num" w:pos="4811"/>
        </w:tabs>
        <w:ind w:left="4811" w:hanging="360"/>
      </w:pPr>
      <w:rPr>
        <w:rFonts w:ascii="Wingdings" w:hAnsi="Wingdings" w:cs="Wingdings"/>
        <w:rtl w:val="0"/>
      </w:rPr>
    </w:lvl>
    <w:lvl w:ilvl="6">
      <w:start w:val="1"/>
      <w:numFmt w:val="bullet"/>
      <w:lvlText w:val=""/>
      <w:lvlJc w:val="left"/>
      <w:pPr>
        <w:tabs>
          <w:tab w:val="num" w:pos="5531"/>
        </w:tabs>
        <w:ind w:left="5531" w:hanging="360"/>
      </w:pPr>
      <w:rPr>
        <w:rFonts w:ascii="Symbol" w:hAnsi="Symbol" w:cs="Symbol"/>
        <w:rtl w:val="0"/>
      </w:rPr>
    </w:lvl>
    <w:lvl w:ilvl="7">
      <w:start w:val="1"/>
      <w:numFmt w:val="bullet"/>
      <w:lvlText w:val="o"/>
      <w:lvlJc w:val="left"/>
      <w:pPr>
        <w:tabs>
          <w:tab w:val="num" w:pos="6251"/>
        </w:tabs>
        <w:ind w:left="6251" w:hanging="360"/>
      </w:pPr>
      <w:rPr>
        <w:rFonts w:ascii="Courier New" w:hAnsi="Courier New" w:cs="Courier New"/>
        <w:rtl w:val="0"/>
      </w:rPr>
    </w:lvl>
    <w:lvl w:ilvl="8">
      <w:start w:val="1"/>
      <w:numFmt w:val="bullet"/>
      <w:lvlText w:val=""/>
      <w:lvlJc w:val="left"/>
      <w:pPr>
        <w:tabs>
          <w:tab w:val="num" w:pos="6971"/>
        </w:tabs>
        <w:ind w:left="6971" w:hanging="360"/>
      </w:pPr>
      <w:rPr>
        <w:rFonts w:ascii="Wingdings" w:hAnsi="Wingdings" w:cs="Wingdings"/>
        <w:rtl w:val="0"/>
      </w:rPr>
    </w:lvl>
  </w:abstractNum>
  <w:abstractNum w:abstractNumId="3">
    <w:nsid w:val="4977230B"/>
    <w:multiLevelType w:val="multilevel"/>
    <w:tmpl w:val="0EAE7078"/>
    <w:lvl w:ilvl="0">
      <w:start w:val="1"/>
      <w:numFmt w:val="lowerLetter"/>
      <w:lvlText w:val="%1)"/>
      <w:lvlJc w:val="left"/>
      <w:pPr>
        <w:tabs>
          <w:tab w:val="num" w:pos="360"/>
        </w:tabs>
        <w:ind w:left="360" w:hanging="360"/>
      </w:pPr>
      <w:rPr>
        <w:b w:val="0"/>
        <w:bCs w:val="0"/>
        <w:rtl w:val="0"/>
      </w:rPr>
    </w:lvl>
    <w:lvl w:ilvl="1">
      <w:start w:val="1"/>
      <w:numFmt w:val="lowerLetter"/>
      <w:lvlText w:val="%2)"/>
      <w:lvlJc w:val="left"/>
      <w:pPr>
        <w:tabs>
          <w:tab w:val="num" w:pos="397"/>
        </w:tabs>
        <w:ind w:left="850" w:hanging="425"/>
      </w:pPr>
    </w:lvl>
    <w:lvl w:ilvl="2">
      <w:start w:val="1"/>
      <w:numFmt w:val="decimal"/>
      <w:lvlText w:val="%3.)"/>
      <w:lvlJc w:val="left"/>
      <w:pPr>
        <w:tabs>
          <w:tab w:val="num" w:pos="0"/>
        </w:tabs>
        <w:ind w:left="1275" w:hanging="425"/>
      </w:pPr>
    </w:lvl>
    <w:lvl w:ilvl="3">
      <w:start w:val="1"/>
      <w:numFmt w:val="lowerLetter"/>
      <w:lvlText w:val="%4)"/>
      <w:lvlJc w:val="left"/>
      <w:pPr>
        <w:tabs>
          <w:tab w:val="num" w:pos="0"/>
        </w:tabs>
        <w:ind w:left="1983" w:hanging="708"/>
      </w:pPr>
    </w:lvl>
    <w:lvl w:ilvl="4">
      <w:start w:val="1"/>
      <w:numFmt w:val="decimal"/>
      <w:lvlText w:val="(%5)"/>
      <w:lvlJc w:val="left"/>
      <w:pPr>
        <w:tabs>
          <w:tab w:val="num" w:pos="0"/>
        </w:tabs>
        <w:ind w:left="2691" w:hanging="708"/>
      </w:pPr>
    </w:lvl>
    <w:lvl w:ilvl="5">
      <w:start w:val="1"/>
      <w:numFmt w:val="lowerLetter"/>
      <w:lvlText w:val="(%6)"/>
      <w:lvlJc w:val="left"/>
      <w:pPr>
        <w:tabs>
          <w:tab w:val="num" w:pos="0"/>
        </w:tabs>
        <w:ind w:left="3399" w:hanging="708"/>
      </w:pPr>
    </w:lvl>
    <w:lvl w:ilvl="6">
      <w:start w:val="1"/>
      <w:numFmt w:val="lowerRoman"/>
      <w:lvlText w:val="(%7)"/>
      <w:lvlJc w:val="left"/>
      <w:pPr>
        <w:tabs>
          <w:tab w:val="num" w:pos="0"/>
        </w:tabs>
        <w:ind w:left="4107" w:hanging="708"/>
      </w:pPr>
    </w:lvl>
    <w:lvl w:ilvl="7">
      <w:start w:val="1"/>
      <w:numFmt w:val="lowerLetter"/>
      <w:lvlText w:val="(%8)"/>
      <w:lvlJc w:val="left"/>
      <w:pPr>
        <w:tabs>
          <w:tab w:val="num" w:pos="0"/>
        </w:tabs>
        <w:ind w:left="4815" w:hanging="708"/>
      </w:pPr>
    </w:lvl>
    <w:lvl w:ilvl="8">
      <w:start w:val="1"/>
      <w:numFmt w:val="lowerRoman"/>
      <w:lvlText w:val="(%9)"/>
      <w:lvlJc w:val="left"/>
      <w:pPr>
        <w:tabs>
          <w:tab w:val="num" w:pos="0"/>
        </w:tabs>
        <w:ind w:left="5523" w:hanging="708"/>
      </w:pPr>
    </w:lvl>
  </w:abstractNum>
  <w:abstractNum w:abstractNumId="4">
    <w:nsid w:val="5C9B77D4"/>
    <w:multiLevelType w:val="multilevel"/>
    <w:tmpl w:val="4FC83E9A"/>
    <w:lvl w:ilvl="0">
      <w:start w:val="1"/>
      <w:numFmt w:val="decimal"/>
      <w:lvlText w:val="%1."/>
      <w:lvlJc w:val="left"/>
      <w:pPr>
        <w:tabs>
          <w:tab w:val="num" w:pos="0"/>
        </w:tabs>
        <w:ind w:left="425" w:hanging="425"/>
      </w:pPr>
      <w:rPr>
        <w:b/>
        <w:bCs/>
        <w:rtl w:val="0"/>
      </w:rPr>
    </w:lvl>
    <w:lvl w:ilvl="1">
      <w:start w:val="1"/>
      <w:numFmt w:val="lowerLetter"/>
      <w:lvlText w:val="%2)"/>
      <w:lvlJc w:val="left"/>
      <w:pPr>
        <w:tabs>
          <w:tab w:val="num" w:pos="397"/>
        </w:tabs>
        <w:ind w:left="850" w:hanging="425"/>
      </w:pPr>
    </w:lvl>
    <w:lvl w:ilvl="2">
      <w:start w:val="1"/>
      <w:numFmt w:val="decimal"/>
      <w:lvlText w:val="%3.)"/>
      <w:lvlJc w:val="left"/>
      <w:pPr>
        <w:tabs>
          <w:tab w:val="num" w:pos="0"/>
        </w:tabs>
        <w:ind w:left="1275" w:hanging="425"/>
      </w:pPr>
    </w:lvl>
    <w:lvl w:ilvl="3">
      <w:start w:val="1"/>
      <w:numFmt w:val="lowerLetter"/>
      <w:lvlText w:val="%4)"/>
      <w:lvlJc w:val="left"/>
      <w:pPr>
        <w:tabs>
          <w:tab w:val="num" w:pos="0"/>
        </w:tabs>
        <w:ind w:left="1983" w:hanging="708"/>
      </w:pPr>
    </w:lvl>
    <w:lvl w:ilvl="4">
      <w:start w:val="1"/>
      <w:numFmt w:val="decimal"/>
      <w:lvlText w:val="(%5)"/>
      <w:lvlJc w:val="left"/>
      <w:pPr>
        <w:tabs>
          <w:tab w:val="num" w:pos="0"/>
        </w:tabs>
        <w:ind w:left="2691" w:hanging="708"/>
      </w:pPr>
    </w:lvl>
    <w:lvl w:ilvl="5">
      <w:start w:val="1"/>
      <w:numFmt w:val="lowerLetter"/>
      <w:lvlText w:val="(%6)"/>
      <w:lvlJc w:val="left"/>
      <w:pPr>
        <w:tabs>
          <w:tab w:val="num" w:pos="0"/>
        </w:tabs>
        <w:ind w:left="3399" w:hanging="708"/>
      </w:pPr>
    </w:lvl>
    <w:lvl w:ilvl="6">
      <w:start w:val="1"/>
      <w:numFmt w:val="lowerRoman"/>
      <w:lvlText w:val="(%7)"/>
      <w:lvlJc w:val="left"/>
      <w:pPr>
        <w:tabs>
          <w:tab w:val="num" w:pos="0"/>
        </w:tabs>
        <w:ind w:left="4107" w:hanging="708"/>
      </w:pPr>
    </w:lvl>
    <w:lvl w:ilvl="7">
      <w:start w:val="1"/>
      <w:numFmt w:val="lowerLetter"/>
      <w:lvlText w:val="(%8)"/>
      <w:lvlJc w:val="left"/>
      <w:pPr>
        <w:tabs>
          <w:tab w:val="num" w:pos="0"/>
        </w:tabs>
        <w:ind w:left="4815" w:hanging="708"/>
      </w:pPr>
    </w:lvl>
    <w:lvl w:ilvl="8">
      <w:start w:val="1"/>
      <w:numFmt w:val="lowerRoman"/>
      <w:lvlText w:val="(%9)"/>
      <w:lvlJc w:val="left"/>
      <w:pPr>
        <w:tabs>
          <w:tab w:val="num" w:pos="0"/>
        </w:tabs>
        <w:ind w:left="5523" w:hanging="708"/>
      </w:pPr>
    </w:lvl>
  </w:abstractNum>
  <w:abstractNum w:abstractNumId="5">
    <w:nsid w:val="5E761C99"/>
    <w:multiLevelType w:val="hybridMultilevel"/>
    <w:tmpl w:val="AFB40CD2"/>
    <w:lvl w:ilvl="0">
      <w:start w:val="1"/>
      <w:numFmt w:val="bullet"/>
      <w:lvlText w:val=""/>
      <w:lvlJc w:val="left"/>
      <w:pPr>
        <w:tabs>
          <w:tab w:val="num" w:pos="1389"/>
        </w:tabs>
        <w:ind w:left="1389" w:hanging="538"/>
      </w:pPr>
      <w:rPr>
        <w:rFonts w:ascii="Wingdings" w:hAnsi="Wingdings" w:cs="Wingdings"/>
        <w:rtl w:val="0"/>
      </w:rPr>
    </w:lvl>
    <w:lvl w:ilvl="1">
      <w:start w:val="1"/>
      <w:numFmt w:val="bullet"/>
      <w:lvlText w:val="o"/>
      <w:lvlJc w:val="left"/>
      <w:pPr>
        <w:tabs>
          <w:tab w:val="num" w:pos="1931"/>
        </w:tabs>
        <w:ind w:left="1931" w:hanging="360"/>
      </w:pPr>
      <w:rPr>
        <w:rFonts w:ascii="Courier New" w:hAnsi="Courier New" w:cs="Courier New"/>
        <w:rtl w:val="0"/>
      </w:rPr>
    </w:lvl>
    <w:lvl w:ilvl="2">
      <w:start w:val="1"/>
      <w:numFmt w:val="bullet"/>
      <w:lvlText w:val=""/>
      <w:lvlJc w:val="left"/>
      <w:pPr>
        <w:tabs>
          <w:tab w:val="num" w:pos="2651"/>
        </w:tabs>
        <w:ind w:left="2651" w:hanging="360"/>
      </w:pPr>
      <w:rPr>
        <w:rFonts w:ascii="Wingdings" w:hAnsi="Wingdings" w:cs="Wingdings"/>
        <w:rtl w:val="0"/>
      </w:rPr>
    </w:lvl>
    <w:lvl w:ilvl="3">
      <w:start w:val="1"/>
      <w:numFmt w:val="bullet"/>
      <w:lvlText w:val=""/>
      <w:lvlJc w:val="left"/>
      <w:pPr>
        <w:tabs>
          <w:tab w:val="num" w:pos="3371"/>
        </w:tabs>
        <w:ind w:left="3371" w:hanging="360"/>
      </w:pPr>
      <w:rPr>
        <w:rFonts w:ascii="Symbol" w:hAnsi="Symbol" w:cs="Symbol"/>
        <w:rtl w:val="0"/>
      </w:rPr>
    </w:lvl>
    <w:lvl w:ilvl="4">
      <w:start w:val="1"/>
      <w:numFmt w:val="bullet"/>
      <w:lvlText w:val="o"/>
      <w:lvlJc w:val="left"/>
      <w:pPr>
        <w:tabs>
          <w:tab w:val="num" w:pos="4091"/>
        </w:tabs>
        <w:ind w:left="4091" w:hanging="360"/>
      </w:pPr>
      <w:rPr>
        <w:rFonts w:ascii="Courier New" w:hAnsi="Courier New" w:cs="Courier New"/>
        <w:rtl w:val="0"/>
      </w:rPr>
    </w:lvl>
    <w:lvl w:ilvl="5">
      <w:start w:val="1"/>
      <w:numFmt w:val="bullet"/>
      <w:lvlText w:val=""/>
      <w:lvlJc w:val="left"/>
      <w:pPr>
        <w:tabs>
          <w:tab w:val="num" w:pos="4811"/>
        </w:tabs>
        <w:ind w:left="4811" w:hanging="360"/>
      </w:pPr>
      <w:rPr>
        <w:rFonts w:ascii="Wingdings" w:hAnsi="Wingdings" w:cs="Wingdings"/>
        <w:rtl w:val="0"/>
      </w:rPr>
    </w:lvl>
    <w:lvl w:ilvl="6">
      <w:start w:val="1"/>
      <w:numFmt w:val="bullet"/>
      <w:lvlText w:val=""/>
      <w:lvlJc w:val="left"/>
      <w:pPr>
        <w:tabs>
          <w:tab w:val="num" w:pos="5531"/>
        </w:tabs>
        <w:ind w:left="5531" w:hanging="360"/>
      </w:pPr>
      <w:rPr>
        <w:rFonts w:ascii="Symbol" w:hAnsi="Symbol" w:cs="Symbol"/>
        <w:rtl w:val="0"/>
      </w:rPr>
    </w:lvl>
    <w:lvl w:ilvl="7">
      <w:start w:val="1"/>
      <w:numFmt w:val="bullet"/>
      <w:lvlText w:val="o"/>
      <w:lvlJc w:val="left"/>
      <w:pPr>
        <w:tabs>
          <w:tab w:val="num" w:pos="6251"/>
        </w:tabs>
        <w:ind w:left="6251" w:hanging="360"/>
      </w:pPr>
      <w:rPr>
        <w:rFonts w:ascii="Courier New" w:hAnsi="Courier New" w:cs="Courier New"/>
        <w:rtl w:val="0"/>
      </w:rPr>
    </w:lvl>
    <w:lvl w:ilvl="8">
      <w:start w:val="1"/>
      <w:numFmt w:val="bullet"/>
      <w:lvlText w:val=""/>
      <w:lvlJc w:val="left"/>
      <w:pPr>
        <w:tabs>
          <w:tab w:val="num" w:pos="6971"/>
        </w:tabs>
        <w:ind w:left="6971" w:hanging="360"/>
      </w:pPr>
      <w:rPr>
        <w:rFonts w:ascii="Wingdings" w:hAnsi="Wingdings" w:cs="Wingdings"/>
        <w:rtl w:val="0"/>
      </w:rPr>
    </w:lvl>
  </w:abstractNum>
  <w:abstractNum w:abstractNumId="6">
    <w:nsid w:val="5F0476CC"/>
    <w:multiLevelType w:val="hybridMultilevel"/>
    <w:tmpl w:val="711CD692"/>
    <w:lvl w:ilvl="0">
      <w:start w:val="1"/>
      <w:numFmt w:val="bullet"/>
      <w:lvlText w:val=""/>
      <w:lvlJc w:val="left"/>
      <w:pPr>
        <w:tabs>
          <w:tab w:val="num" w:pos="1211"/>
        </w:tabs>
        <w:ind w:left="1211" w:hanging="360"/>
      </w:pPr>
      <w:rPr>
        <w:rFonts w:ascii="Wingdings" w:hAnsi="Wingdings" w:cs="Wingdings"/>
        <w:rtl w:val="0"/>
      </w:rPr>
    </w:lvl>
    <w:lvl w:ilvl="1">
      <w:start w:val="1"/>
      <w:numFmt w:val="bullet"/>
      <w:lvlText w:val="o"/>
      <w:lvlJc w:val="left"/>
      <w:pPr>
        <w:tabs>
          <w:tab w:val="num" w:pos="1931"/>
        </w:tabs>
        <w:ind w:left="1931" w:hanging="360"/>
      </w:pPr>
      <w:rPr>
        <w:rFonts w:ascii="Courier New" w:hAnsi="Courier New" w:cs="Courier New"/>
        <w:rtl w:val="0"/>
      </w:rPr>
    </w:lvl>
    <w:lvl w:ilvl="2">
      <w:start w:val="1"/>
      <w:numFmt w:val="bullet"/>
      <w:lvlText w:val=""/>
      <w:lvlJc w:val="left"/>
      <w:pPr>
        <w:tabs>
          <w:tab w:val="num" w:pos="2651"/>
        </w:tabs>
        <w:ind w:left="2651" w:hanging="360"/>
      </w:pPr>
      <w:rPr>
        <w:rFonts w:ascii="Wingdings" w:hAnsi="Wingdings" w:cs="Wingdings"/>
        <w:rtl w:val="0"/>
      </w:rPr>
    </w:lvl>
    <w:lvl w:ilvl="3">
      <w:start w:val="1"/>
      <w:numFmt w:val="bullet"/>
      <w:lvlText w:val=""/>
      <w:lvlJc w:val="left"/>
      <w:pPr>
        <w:tabs>
          <w:tab w:val="num" w:pos="3371"/>
        </w:tabs>
        <w:ind w:left="3371" w:hanging="360"/>
      </w:pPr>
      <w:rPr>
        <w:rFonts w:ascii="Symbol" w:hAnsi="Symbol" w:cs="Symbol"/>
        <w:rtl w:val="0"/>
      </w:rPr>
    </w:lvl>
    <w:lvl w:ilvl="4">
      <w:start w:val="1"/>
      <w:numFmt w:val="bullet"/>
      <w:lvlText w:val="o"/>
      <w:lvlJc w:val="left"/>
      <w:pPr>
        <w:tabs>
          <w:tab w:val="num" w:pos="4091"/>
        </w:tabs>
        <w:ind w:left="4091" w:hanging="360"/>
      </w:pPr>
      <w:rPr>
        <w:rFonts w:ascii="Courier New" w:hAnsi="Courier New" w:cs="Courier New"/>
        <w:rtl w:val="0"/>
      </w:rPr>
    </w:lvl>
    <w:lvl w:ilvl="5">
      <w:start w:val="1"/>
      <w:numFmt w:val="bullet"/>
      <w:lvlText w:val=""/>
      <w:lvlJc w:val="left"/>
      <w:pPr>
        <w:tabs>
          <w:tab w:val="num" w:pos="4811"/>
        </w:tabs>
        <w:ind w:left="4811" w:hanging="360"/>
      </w:pPr>
      <w:rPr>
        <w:rFonts w:ascii="Wingdings" w:hAnsi="Wingdings" w:cs="Wingdings"/>
        <w:rtl w:val="0"/>
      </w:rPr>
    </w:lvl>
    <w:lvl w:ilvl="6">
      <w:start w:val="1"/>
      <w:numFmt w:val="bullet"/>
      <w:lvlText w:val=""/>
      <w:lvlJc w:val="left"/>
      <w:pPr>
        <w:tabs>
          <w:tab w:val="num" w:pos="5531"/>
        </w:tabs>
        <w:ind w:left="5531" w:hanging="360"/>
      </w:pPr>
      <w:rPr>
        <w:rFonts w:ascii="Symbol" w:hAnsi="Symbol" w:cs="Symbol"/>
        <w:rtl w:val="0"/>
      </w:rPr>
    </w:lvl>
    <w:lvl w:ilvl="7">
      <w:start w:val="1"/>
      <w:numFmt w:val="bullet"/>
      <w:lvlText w:val="o"/>
      <w:lvlJc w:val="left"/>
      <w:pPr>
        <w:tabs>
          <w:tab w:val="num" w:pos="6251"/>
        </w:tabs>
        <w:ind w:left="6251" w:hanging="360"/>
      </w:pPr>
      <w:rPr>
        <w:rFonts w:ascii="Courier New" w:hAnsi="Courier New" w:cs="Courier New"/>
        <w:rtl w:val="0"/>
      </w:rPr>
    </w:lvl>
    <w:lvl w:ilvl="8">
      <w:start w:val="1"/>
      <w:numFmt w:val="bullet"/>
      <w:lvlText w:val=""/>
      <w:lvlJc w:val="left"/>
      <w:pPr>
        <w:tabs>
          <w:tab w:val="num" w:pos="6971"/>
        </w:tabs>
        <w:ind w:left="6971" w:hanging="360"/>
      </w:pPr>
      <w:rPr>
        <w:rFonts w:ascii="Wingdings" w:hAnsi="Wingdings" w:cs="Wingdings"/>
        <w:rtl w:val="0"/>
      </w:rPr>
    </w:lvl>
  </w:abstractNum>
  <w:abstractNum w:abstractNumId="7">
    <w:nsid w:val="71505D7A"/>
    <w:multiLevelType w:val="hybridMultilevel"/>
    <w:tmpl w:val="D458B2A8"/>
    <w:lvl w:ilvl="0">
      <w:start w:val="1"/>
      <w:numFmt w:val="bullet"/>
      <w:lvlText w:val=""/>
      <w:lvlJc w:val="left"/>
      <w:pPr>
        <w:tabs>
          <w:tab w:val="num" w:pos="1389"/>
        </w:tabs>
        <w:ind w:left="1389" w:hanging="538"/>
      </w:pPr>
      <w:rPr>
        <w:rFonts w:ascii="Wingdings" w:hAnsi="Wingdings" w:cs="Wingdings"/>
        <w:rtl w:val="0"/>
      </w:rPr>
    </w:lvl>
    <w:lvl w:ilvl="1">
      <w:start w:val="1"/>
      <w:numFmt w:val="bullet"/>
      <w:lvlText w:val="o"/>
      <w:lvlJc w:val="left"/>
      <w:pPr>
        <w:tabs>
          <w:tab w:val="num" w:pos="1931"/>
        </w:tabs>
        <w:ind w:left="1931" w:hanging="360"/>
      </w:pPr>
      <w:rPr>
        <w:rFonts w:ascii="Courier New" w:hAnsi="Courier New" w:cs="Courier New"/>
        <w:rtl w:val="0"/>
      </w:rPr>
    </w:lvl>
    <w:lvl w:ilvl="2">
      <w:start w:val="1"/>
      <w:numFmt w:val="bullet"/>
      <w:lvlText w:val=""/>
      <w:lvlJc w:val="left"/>
      <w:pPr>
        <w:tabs>
          <w:tab w:val="num" w:pos="2651"/>
        </w:tabs>
        <w:ind w:left="2651" w:hanging="360"/>
      </w:pPr>
      <w:rPr>
        <w:rFonts w:ascii="Wingdings" w:hAnsi="Wingdings" w:cs="Wingdings"/>
        <w:rtl w:val="0"/>
      </w:rPr>
    </w:lvl>
    <w:lvl w:ilvl="3">
      <w:start w:val="1"/>
      <w:numFmt w:val="bullet"/>
      <w:lvlText w:val=""/>
      <w:lvlJc w:val="left"/>
      <w:pPr>
        <w:tabs>
          <w:tab w:val="num" w:pos="3371"/>
        </w:tabs>
        <w:ind w:left="3371" w:hanging="360"/>
      </w:pPr>
      <w:rPr>
        <w:rFonts w:ascii="Symbol" w:hAnsi="Symbol" w:cs="Symbol"/>
        <w:rtl w:val="0"/>
      </w:rPr>
    </w:lvl>
    <w:lvl w:ilvl="4">
      <w:start w:val="1"/>
      <w:numFmt w:val="bullet"/>
      <w:lvlText w:val="o"/>
      <w:lvlJc w:val="left"/>
      <w:pPr>
        <w:tabs>
          <w:tab w:val="num" w:pos="4091"/>
        </w:tabs>
        <w:ind w:left="4091" w:hanging="360"/>
      </w:pPr>
      <w:rPr>
        <w:rFonts w:ascii="Courier New" w:hAnsi="Courier New" w:cs="Courier New"/>
        <w:rtl w:val="0"/>
      </w:rPr>
    </w:lvl>
    <w:lvl w:ilvl="5">
      <w:start w:val="1"/>
      <w:numFmt w:val="bullet"/>
      <w:lvlText w:val=""/>
      <w:lvlJc w:val="left"/>
      <w:pPr>
        <w:tabs>
          <w:tab w:val="num" w:pos="4811"/>
        </w:tabs>
        <w:ind w:left="4811" w:hanging="360"/>
      </w:pPr>
      <w:rPr>
        <w:rFonts w:ascii="Wingdings" w:hAnsi="Wingdings" w:cs="Wingdings"/>
        <w:rtl w:val="0"/>
      </w:rPr>
    </w:lvl>
    <w:lvl w:ilvl="6">
      <w:start w:val="1"/>
      <w:numFmt w:val="bullet"/>
      <w:lvlText w:val=""/>
      <w:lvlJc w:val="left"/>
      <w:pPr>
        <w:tabs>
          <w:tab w:val="num" w:pos="5531"/>
        </w:tabs>
        <w:ind w:left="5531" w:hanging="360"/>
      </w:pPr>
      <w:rPr>
        <w:rFonts w:ascii="Symbol" w:hAnsi="Symbol" w:cs="Symbol"/>
        <w:rtl w:val="0"/>
      </w:rPr>
    </w:lvl>
    <w:lvl w:ilvl="7">
      <w:start w:val="1"/>
      <w:numFmt w:val="bullet"/>
      <w:lvlText w:val="o"/>
      <w:lvlJc w:val="left"/>
      <w:pPr>
        <w:tabs>
          <w:tab w:val="num" w:pos="6251"/>
        </w:tabs>
        <w:ind w:left="6251" w:hanging="360"/>
      </w:pPr>
      <w:rPr>
        <w:rFonts w:ascii="Courier New" w:hAnsi="Courier New" w:cs="Courier New"/>
        <w:rtl w:val="0"/>
      </w:rPr>
    </w:lvl>
    <w:lvl w:ilvl="8">
      <w:start w:val="1"/>
      <w:numFmt w:val="bullet"/>
      <w:lvlText w:val=""/>
      <w:lvlJc w:val="left"/>
      <w:pPr>
        <w:tabs>
          <w:tab w:val="num" w:pos="6971"/>
        </w:tabs>
        <w:ind w:left="6971" w:hanging="360"/>
      </w:pPr>
      <w:rPr>
        <w:rFonts w:ascii="Wingdings" w:hAnsi="Wingdings" w:cs="Wingdings"/>
        <w:rtl w:val="0"/>
      </w:rPr>
    </w:lvl>
  </w:abstractNum>
  <w:abstractNum w:abstractNumId="8">
    <w:nsid w:val="74EB263B"/>
    <w:multiLevelType w:val="hybridMultilevel"/>
    <w:tmpl w:val="B0E83D16"/>
    <w:lvl w:ilvl="0">
      <w:start w:val="1"/>
      <w:numFmt w:val="bullet"/>
      <w:lvlText w:val=""/>
      <w:lvlJc w:val="left"/>
      <w:pPr>
        <w:tabs>
          <w:tab w:val="num" w:pos="1211"/>
        </w:tabs>
        <w:ind w:left="1211" w:hanging="360"/>
      </w:pPr>
      <w:rPr>
        <w:rFonts w:ascii="Wingdings" w:hAnsi="Wingdings" w:cs="Wingdings"/>
        <w:rtl w:val="0"/>
      </w:rPr>
    </w:lvl>
    <w:lvl w:ilvl="1">
      <w:start w:val="1"/>
      <w:numFmt w:val="bullet"/>
      <w:lvlText w:val="o"/>
      <w:lvlJc w:val="left"/>
      <w:pPr>
        <w:tabs>
          <w:tab w:val="num" w:pos="1931"/>
        </w:tabs>
        <w:ind w:left="1931" w:hanging="360"/>
      </w:pPr>
      <w:rPr>
        <w:rFonts w:ascii="Courier New" w:hAnsi="Courier New" w:cs="Courier New"/>
        <w:rtl w:val="0"/>
      </w:rPr>
    </w:lvl>
    <w:lvl w:ilvl="2">
      <w:start w:val="1"/>
      <w:numFmt w:val="bullet"/>
      <w:lvlText w:val=""/>
      <w:lvlJc w:val="left"/>
      <w:pPr>
        <w:tabs>
          <w:tab w:val="num" w:pos="2651"/>
        </w:tabs>
        <w:ind w:left="2651" w:hanging="360"/>
      </w:pPr>
      <w:rPr>
        <w:rFonts w:ascii="Wingdings" w:hAnsi="Wingdings" w:cs="Wingdings"/>
        <w:rtl w:val="0"/>
      </w:rPr>
    </w:lvl>
    <w:lvl w:ilvl="3">
      <w:start w:val="1"/>
      <w:numFmt w:val="bullet"/>
      <w:lvlText w:val=""/>
      <w:lvlJc w:val="left"/>
      <w:pPr>
        <w:tabs>
          <w:tab w:val="num" w:pos="3371"/>
        </w:tabs>
        <w:ind w:left="3371" w:hanging="360"/>
      </w:pPr>
      <w:rPr>
        <w:rFonts w:ascii="Symbol" w:hAnsi="Symbol" w:cs="Symbol"/>
        <w:rtl w:val="0"/>
      </w:rPr>
    </w:lvl>
    <w:lvl w:ilvl="4">
      <w:start w:val="1"/>
      <w:numFmt w:val="bullet"/>
      <w:lvlText w:val="o"/>
      <w:lvlJc w:val="left"/>
      <w:pPr>
        <w:tabs>
          <w:tab w:val="num" w:pos="4091"/>
        </w:tabs>
        <w:ind w:left="4091" w:hanging="360"/>
      </w:pPr>
      <w:rPr>
        <w:rFonts w:ascii="Courier New" w:hAnsi="Courier New" w:cs="Courier New"/>
        <w:rtl w:val="0"/>
      </w:rPr>
    </w:lvl>
    <w:lvl w:ilvl="5">
      <w:start w:val="1"/>
      <w:numFmt w:val="bullet"/>
      <w:lvlText w:val=""/>
      <w:lvlJc w:val="left"/>
      <w:pPr>
        <w:tabs>
          <w:tab w:val="num" w:pos="4811"/>
        </w:tabs>
        <w:ind w:left="4811" w:hanging="360"/>
      </w:pPr>
      <w:rPr>
        <w:rFonts w:ascii="Wingdings" w:hAnsi="Wingdings" w:cs="Wingdings"/>
        <w:rtl w:val="0"/>
      </w:rPr>
    </w:lvl>
    <w:lvl w:ilvl="6">
      <w:start w:val="1"/>
      <w:numFmt w:val="bullet"/>
      <w:lvlText w:val=""/>
      <w:lvlJc w:val="left"/>
      <w:pPr>
        <w:tabs>
          <w:tab w:val="num" w:pos="5531"/>
        </w:tabs>
        <w:ind w:left="5531" w:hanging="360"/>
      </w:pPr>
      <w:rPr>
        <w:rFonts w:ascii="Symbol" w:hAnsi="Symbol" w:cs="Symbol"/>
        <w:rtl w:val="0"/>
      </w:rPr>
    </w:lvl>
    <w:lvl w:ilvl="7">
      <w:start w:val="1"/>
      <w:numFmt w:val="bullet"/>
      <w:lvlText w:val="o"/>
      <w:lvlJc w:val="left"/>
      <w:pPr>
        <w:tabs>
          <w:tab w:val="num" w:pos="6251"/>
        </w:tabs>
        <w:ind w:left="6251" w:hanging="360"/>
      </w:pPr>
      <w:rPr>
        <w:rFonts w:ascii="Courier New" w:hAnsi="Courier New" w:cs="Courier New"/>
        <w:rtl w:val="0"/>
      </w:rPr>
    </w:lvl>
    <w:lvl w:ilvl="8">
      <w:start w:val="1"/>
      <w:numFmt w:val="bullet"/>
      <w:lvlText w:val=""/>
      <w:lvlJc w:val="left"/>
      <w:pPr>
        <w:tabs>
          <w:tab w:val="num" w:pos="6971"/>
        </w:tabs>
        <w:ind w:left="6971" w:hanging="360"/>
      </w:pPr>
      <w:rPr>
        <w:rFonts w:ascii="Wingdings" w:hAnsi="Wingdings" w:cs="Wingdings"/>
        <w:rtl w:val="0"/>
      </w:rPr>
    </w:lvl>
  </w:abstractNum>
  <w:abstractNum w:abstractNumId="9">
    <w:nsid w:val="7AD465FF"/>
    <w:multiLevelType w:val="hybridMultilevel"/>
    <w:tmpl w:val="672A0B88"/>
    <w:lvl w:ilvl="0">
      <w:start w:val="1"/>
      <w:numFmt w:val="bullet"/>
      <w:lvlText w:val=""/>
      <w:lvlJc w:val="left"/>
      <w:pPr>
        <w:tabs>
          <w:tab w:val="num" w:pos="1211"/>
        </w:tabs>
        <w:ind w:left="1211" w:hanging="360"/>
      </w:pPr>
      <w:rPr>
        <w:rFonts w:ascii="Wingdings" w:hAnsi="Wingdings" w:cs="Wingdings"/>
        <w:rtl w:val="0"/>
      </w:rPr>
    </w:lvl>
    <w:lvl w:ilvl="1">
      <w:start w:val="1"/>
      <w:numFmt w:val="bullet"/>
      <w:lvlText w:val="o"/>
      <w:lvlJc w:val="left"/>
      <w:pPr>
        <w:tabs>
          <w:tab w:val="num" w:pos="1931"/>
        </w:tabs>
        <w:ind w:left="1931" w:hanging="360"/>
      </w:pPr>
      <w:rPr>
        <w:rFonts w:ascii="Courier New" w:hAnsi="Courier New" w:cs="Courier New"/>
        <w:rtl w:val="0"/>
      </w:rPr>
    </w:lvl>
    <w:lvl w:ilvl="2">
      <w:start w:val="1"/>
      <w:numFmt w:val="bullet"/>
      <w:lvlText w:val=""/>
      <w:lvlJc w:val="left"/>
      <w:pPr>
        <w:tabs>
          <w:tab w:val="num" w:pos="2829"/>
        </w:tabs>
        <w:ind w:left="2829" w:hanging="538"/>
      </w:pPr>
      <w:rPr>
        <w:rFonts w:ascii="Wingdings" w:hAnsi="Wingdings" w:cs="Wingdings"/>
        <w:rtl w:val="0"/>
      </w:rPr>
    </w:lvl>
    <w:lvl w:ilvl="3">
      <w:start w:val="1"/>
      <w:numFmt w:val="bullet"/>
      <w:lvlText w:val=""/>
      <w:lvlJc w:val="left"/>
      <w:pPr>
        <w:tabs>
          <w:tab w:val="num" w:pos="3371"/>
        </w:tabs>
        <w:ind w:left="3371" w:hanging="360"/>
      </w:pPr>
      <w:rPr>
        <w:rFonts w:ascii="Symbol" w:hAnsi="Symbol" w:cs="Symbol"/>
        <w:rtl w:val="0"/>
      </w:rPr>
    </w:lvl>
    <w:lvl w:ilvl="4">
      <w:start w:val="1"/>
      <w:numFmt w:val="bullet"/>
      <w:lvlText w:val="o"/>
      <w:lvlJc w:val="left"/>
      <w:pPr>
        <w:tabs>
          <w:tab w:val="num" w:pos="4091"/>
        </w:tabs>
        <w:ind w:left="4091" w:hanging="360"/>
      </w:pPr>
      <w:rPr>
        <w:rFonts w:ascii="Courier New" w:hAnsi="Courier New" w:cs="Courier New"/>
        <w:rtl w:val="0"/>
      </w:rPr>
    </w:lvl>
    <w:lvl w:ilvl="5">
      <w:start w:val="1"/>
      <w:numFmt w:val="bullet"/>
      <w:lvlText w:val=""/>
      <w:lvlJc w:val="left"/>
      <w:pPr>
        <w:tabs>
          <w:tab w:val="num" w:pos="4811"/>
        </w:tabs>
        <w:ind w:left="4811" w:hanging="360"/>
      </w:pPr>
      <w:rPr>
        <w:rFonts w:ascii="Wingdings" w:hAnsi="Wingdings" w:cs="Wingdings"/>
        <w:rtl w:val="0"/>
      </w:rPr>
    </w:lvl>
    <w:lvl w:ilvl="6">
      <w:start w:val="1"/>
      <w:numFmt w:val="bullet"/>
      <w:lvlText w:val=""/>
      <w:lvlJc w:val="left"/>
      <w:pPr>
        <w:tabs>
          <w:tab w:val="num" w:pos="5531"/>
        </w:tabs>
        <w:ind w:left="5531" w:hanging="360"/>
      </w:pPr>
      <w:rPr>
        <w:rFonts w:ascii="Symbol" w:hAnsi="Symbol" w:cs="Symbol"/>
        <w:rtl w:val="0"/>
      </w:rPr>
    </w:lvl>
    <w:lvl w:ilvl="7">
      <w:start w:val="1"/>
      <w:numFmt w:val="bullet"/>
      <w:lvlText w:val="o"/>
      <w:lvlJc w:val="left"/>
      <w:pPr>
        <w:tabs>
          <w:tab w:val="num" w:pos="6251"/>
        </w:tabs>
        <w:ind w:left="6251" w:hanging="360"/>
      </w:pPr>
      <w:rPr>
        <w:rFonts w:ascii="Courier New" w:hAnsi="Courier New" w:cs="Courier New"/>
        <w:rtl w:val="0"/>
      </w:rPr>
    </w:lvl>
    <w:lvl w:ilvl="8">
      <w:start w:val="1"/>
      <w:numFmt w:val="bullet"/>
      <w:lvlText w:val=""/>
      <w:lvlJc w:val="left"/>
      <w:pPr>
        <w:tabs>
          <w:tab w:val="num" w:pos="6971"/>
        </w:tabs>
        <w:ind w:left="6971" w:hanging="360"/>
      </w:pPr>
      <w:rPr>
        <w:rFonts w:ascii="Wingdings" w:hAnsi="Wingdings" w:cs="Wingdings"/>
        <w:rtl w:val="0"/>
      </w:rPr>
    </w:lvl>
  </w:abstractNum>
  <w:num w:numId="1">
    <w:abstractNumId w:val="4"/>
  </w:num>
  <w:num w:numId="2">
    <w:abstractNumId w:val="3"/>
  </w:num>
  <w:num w:numId="3">
    <w:abstractNumId w:val="1"/>
  </w:num>
  <w:num w:numId="4">
    <w:abstractNumId w:val="6"/>
  </w:num>
  <w:num w:numId="5">
    <w:abstractNumId w:val="8"/>
  </w:num>
  <w:num w:numId="6">
    <w:abstractNumId w:val="5"/>
  </w:num>
  <w:num w:numId="7">
    <w:abstractNumId w:val="7"/>
  </w:num>
  <w:num w:numId="8">
    <w:abstractNumId w:val="9"/>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575EB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rFonts w:ascii="Arial Narrow" w:hAnsi="Arial Narrow" w:cs="Arial Narrow"/>
      <w:b/>
      <w:bCs/>
      <w:color w:val="00000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character" w:styleId="PlaceholderText">
    <w:name w:val="Placeholder Text"/>
    <w:basedOn w:val="DefaultParagraphFont"/>
    <w:rPr>
      <w:rFonts w:ascii="Times New Roman" w:hAnsi="Times New Roman" w:cs="Times New Roman"/>
      <w:color w:val="808080"/>
      <w:rtl w:val="0"/>
    </w:rPr>
  </w:style>
  <w:style w:type="paragraph" w:styleId="BalloonText">
    <w:name w:val="Balloon Text"/>
    <w:basedOn w:val="Normal"/>
    <w:semiHidden/>
    <w:pPr>
      <w:jc w:val="left"/>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tl w:val="0"/>
      <w:lang w:val="sk-SK"/>
    </w:rPr>
  </w:style>
  <w:style w:type="paragraph" w:styleId="BodyText">
    <w:name w:val="Body Text"/>
    <w:basedOn w:val="Normal"/>
    <w:pPr>
      <w:jc w:val="both"/>
    </w:pPr>
    <w:rPr>
      <w:rFonts w:ascii="Arial Narrow" w:hAnsi="Arial Narrow" w:cs="Arial Narrow"/>
      <w:color w:val="000000"/>
    </w:rPr>
  </w:style>
  <w:style w:type="paragraph" w:styleId="Title">
    <w:name w:val="Title"/>
    <w:basedOn w:val="Normal"/>
    <w:uiPriority w:val="10"/>
    <w:qFormat/>
    <w:pPr>
      <w:jc w:val="center"/>
    </w:pPr>
    <w:rPr>
      <w:rFonts w:ascii="Arial Narrow" w:hAnsi="Arial Narrow" w:cs="Arial Narrow"/>
      <w:b/>
      <w:bCs/>
      <w:caps/>
      <w:color w:val="000000"/>
      <w:spacing w:val="30"/>
    </w:rPr>
  </w:style>
  <w:style w:type="paragraph" w:styleId="BodyTextIndent">
    <w:name w:val="Body Text Indent"/>
    <w:basedOn w:val="Normal"/>
    <w:pPr>
      <w:jc w:val="both"/>
    </w:pPr>
    <w:rPr>
      <w:rFonts w:ascii="Arial Narrow" w:hAnsi="Arial Narrow" w:cs="Arial Narrow"/>
      <w:color w:val="000000"/>
      <w:sz w:val="22"/>
      <w:szCs w:val="22"/>
    </w:rPr>
  </w:style>
  <w:style w:type="paragraph" w:styleId="Header">
    <w:name w:val="head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both"/>
    </w:pPr>
    <w:rPr>
      <w:rFonts w:ascii="Arial Narrow" w:hAnsi="Arial Narrow" w:cs="Arial Narrow"/>
      <w:b/>
      <w:bCs/>
      <w:color w:val="000000"/>
      <w:sz w:val="22"/>
      <w:szCs w:val="22"/>
    </w:rPr>
  </w:style>
  <w:style w:type="paragraph" w:styleId="Footer">
    <w:name w:val="footer"/>
    <w:basedOn w:val="Normal"/>
    <w:pPr>
      <w:tabs>
        <w:tab w:val="center" w:pos="4536"/>
        <w:tab w:val="right" w:pos="9072"/>
      </w:tabs>
      <w:jc w:val="left"/>
    </w:pPr>
  </w:style>
  <w:style w:type="paragraph" w:customStyle="1" w:styleId="Zkladntext">
    <w:name w:val="Základní text"/>
    <w:pPr>
      <w:widowControl w:val="0"/>
      <w:autoSpaceDE w:val="0"/>
      <w:autoSpaceDN w:val="0"/>
      <w:bidi w:val="0"/>
      <w:adjustRightInd w:val="0"/>
      <w:snapToGrid w:val="0"/>
      <w:ind w:left="0" w:right="0"/>
      <w:jc w:val="left"/>
      <w:textAlignment w:val="auto"/>
    </w:pPr>
    <w:rPr>
      <w:color w:val="000000"/>
      <w:sz w:val="24"/>
      <w:szCs w:val="24"/>
      <w:rtl w:val="0"/>
      <w:lang w:val="sk-SK" w:bidi="ar-SA"/>
    </w:rPr>
  </w:style>
  <w:style w:type="character" w:styleId="Emphasis">
    <w:name w:val="Emphasis"/>
    <w:basedOn w:val="DefaultParagraphFont"/>
    <w:uiPriority w:val="20"/>
    <w:qFormat/>
    <w:rPr>
      <w:i/>
      <w:iCs/>
      <w:rtl w:val="0"/>
    </w:rPr>
  </w:style>
  <w:style w:type="character" w:customStyle="1" w:styleId="ZkladntextChar">
    <w:name w:val="Základní text Char"/>
    <w:basedOn w:val="DefaultParagraphFont"/>
    <w:rPr>
      <w:color w:val="000000"/>
      <w:sz w:val="24"/>
      <w:szCs w:val="24"/>
      <w:rtl w:val="0"/>
      <w:lang w:val="sk-SK"/>
    </w:rPr>
  </w:style>
  <w:style w:type="paragraph" w:styleId="NormalWeb">
    <w:name w:val="Normal (Web)"/>
    <w:basedOn w:val="Normal"/>
    <w:pPr>
      <w:jc w:val="left"/>
    </w:pPr>
  </w:style>
  <w:style w:type="paragraph" w:styleId="BodyTextIndent3">
    <w:name w:val="Body Text Indent 3"/>
    <w:basedOn w:val="Normal"/>
    <w:pPr>
      <w:spacing w:after="120"/>
      <w:ind w:left="283"/>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TotalTime>
  <Pages>1</Pages>
  <Words>10459</Words>
  <Characters>59617</Characters>
  <Application>Microsoft Office Word</Application>
  <DocSecurity>0</DocSecurity>
  <Lines>0</Lines>
  <Paragraphs>0</Paragraphs>
  <ScaleCrop>false</ScaleCrop>
  <Company>Abyss</Company>
  <LinksUpToDate>false</LinksUpToDate>
  <CharactersWithSpaces>69937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cp:lastModifiedBy>
  <cp:revision>6</cp:revision>
  <cp:lastPrinted>2008-08-21T08:43:00Z</cp:lastPrinted>
  <dcterms:created xsi:type="dcterms:W3CDTF">2008-08-21T08:05:00Z</dcterms:created>
  <dcterms:modified xsi:type="dcterms:W3CDTF">2008-08-21T08:52:00Z</dcterms:modified>
</cp:coreProperties>
</file>