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546F" w:rsidRPr="004854AB" w:rsidP="0079546F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4854AB">
        <w:rPr>
          <w:rFonts w:ascii="Times New Roman" w:hAnsi="Times New Roman" w:cs="Times New Roman"/>
          <w:b/>
          <w:caps/>
          <w:spacing w:val="30"/>
          <w:szCs w:val="24"/>
        </w:rPr>
        <w:t>Dôvodová správa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854AB">
        <w:rPr>
          <w:rFonts w:ascii="Times New Roman" w:hAnsi="Times New Roman" w:cs="Times New Roman"/>
          <w:b/>
          <w:szCs w:val="24"/>
          <w:u w:val="single"/>
        </w:rPr>
        <w:t xml:space="preserve">A. Všeobecná časť 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2E5C34" w:rsidRPr="004854AB" w:rsidP="002E5C34">
      <w:pPr>
        <w:ind w:firstLine="708"/>
        <w:jc w:val="both"/>
        <w:rPr>
          <w:rStyle w:val="PlaceholderText"/>
          <w:rFonts w:ascii="Times New Roman" w:hAnsi="Times New Roman" w:cs="Times New Roman"/>
          <w:color w:val="auto"/>
          <w:szCs w:val="24"/>
        </w:rPr>
      </w:pPr>
      <w:r w:rsidR="002840B5">
        <w:rPr>
          <w:rStyle w:val="PlaceholderText"/>
          <w:rFonts w:ascii="Times New Roman" w:hAnsi="Times New Roman" w:cs="Times New Roman"/>
          <w:color w:val="000000"/>
          <w:szCs w:val="24"/>
        </w:rPr>
        <w:t>Vládny n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ávrh zákona, </w:t>
      </w:r>
      <w:r w:rsidR="002840B5">
        <w:rPr>
          <w:rFonts w:ascii="Times New Roman" w:hAnsi="Times New Roman" w:cs="Times New Roman"/>
          <w:szCs w:val="24"/>
        </w:rPr>
        <w:t>ktorým sa</w:t>
      </w:r>
      <w:r w:rsidRPr="004854AB">
        <w:rPr>
          <w:rFonts w:ascii="Times New Roman" w:hAnsi="Times New Roman" w:cs="Times New Roman"/>
          <w:szCs w:val="24"/>
        </w:rPr>
        <w:t xml:space="preserve"> menia zákony v oblasti organizácie a riadenia súdnictva, postavenia </w:t>
      </w:r>
      <w:r w:rsidR="00C662F9">
        <w:rPr>
          <w:rFonts w:ascii="Times New Roman" w:hAnsi="Times New Roman" w:cs="Times New Roman"/>
          <w:szCs w:val="24"/>
        </w:rPr>
        <w:t>sudcov</w:t>
      </w:r>
      <w:r w:rsidR="00A8497A">
        <w:rPr>
          <w:rFonts w:ascii="Times New Roman" w:hAnsi="Times New Roman" w:cs="Times New Roman"/>
          <w:szCs w:val="24"/>
        </w:rPr>
        <w:t>,</w:t>
      </w:r>
      <w:r w:rsidR="00EE3AF1">
        <w:rPr>
          <w:rFonts w:ascii="Times New Roman" w:hAnsi="Times New Roman" w:cs="Times New Roman"/>
          <w:szCs w:val="24"/>
        </w:rPr>
        <w:t xml:space="preserve"> </w:t>
      </w:r>
      <w:r w:rsidRPr="004854AB">
        <w:rPr>
          <w:rFonts w:ascii="Times New Roman" w:hAnsi="Times New Roman" w:cs="Times New Roman"/>
          <w:szCs w:val="24"/>
        </w:rPr>
        <w:t>znalcov, tlmočníkov</w:t>
      </w:r>
      <w:r w:rsidR="00A8497A">
        <w:rPr>
          <w:rFonts w:ascii="Times New Roman" w:hAnsi="Times New Roman" w:cs="Times New Roman"/>
          <w:szCs w:val="24"/>
        </w:rPr>
        <w:t xml:space="preserve"> a</w:t>
      </w:r>
      <w:r w:rsidRPr="004854AB">
        <w:rPr>
          <w:rFonts w:ascii="Times New Roman" w:hAnsi="Times New Roman" w:cs="Times New Roman"/>
          <w:szCs w:val="24"/>
        </w:rPr>
        <w:t xml:space="preserve"> prekladateľov</w:t>
      </w:r>
      <w:r w:rsidRPr="002840B5" w:rsidR="002840B5">
        <w:rPr>
          <w:rFonts w:ascii="Times New Roman" w:hAnsi="Times New Roman" w:cs="Times New Roman"/>
          <w:szCs w:val="24"/>
        </w:rPr>
        <w:t xml:space="preserve"> </w:t>
      </w:r>
      <w:r w:rsidR="002840B5">
        <w:rPr>
          <w:rFonts w:ascii="Times New Roman" w:hAnsi="Times New Roman" w:cs="Times New Roman"/>
          <w:szCs w:val="24"/>
        </w:rPr>
        <w:t xml:space="preserve">v </w:t>
      </w:r>
      <w:r w:rsidRPr="004854AB" w:rsidR="002840B5">
        <w:rPr>
          <w:rFonts w:ascii="Times New Roman" w:hAnsi="Times New Roman" w:cs="Times New Roman"/>
          <w:szCs w:val="24"/>
        </w:rPr>
        <w:t>súvislosti so zavedením meny euro v Slovenskej republike</w:t>
      </w:r>
      <w:r w:rsidR="00C84A40">
        <w:rPr>
          <w:rFonts w:ascii="Times New Roman" w:hAnsi="Times New Roman" w:cs="Times New Roman"/>
          <w:szCs w:val="24"/>
        </w:rPr>
        <w:t>,</w:t>
      </w:r>
      <w:r w:rsidRPr="004854AB">
        <w:rPr>
          <w:rFonts w:ascii="Times New Roman" w:hAnsi="Times New Roman" w:cs="Times New Roman"/>
          <w:szCs w:val="24"/>
        </w:rPr>
        <w:t xml:space="preserve"> 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sa predkladá </w:t>
      </w:r>
      <w:r w:rsidR="004D4B9E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na rokovanie </w:t>
      </w:r>
      <w:r w:rsidR="002840B5">
        <w:rPr>
          <w:rFonts w:ascii="Times New Roman" w:hAnsi="Times New Roman" w:cs="Times New Roman"/>
          <w:szCs w:val="24"/>
        </w:rPr>
        <w:t>Národnej rady</w:t>
      </w:r>
      <w:r w:rsidR="004D4B9E">
        <w:rPr>
          <w:rFonts w:ascii="Times New Roman" w:hAnsi="Times New Roman" w:cs="Times New Roman"/>
          <w:szCs w:val="24"/>
        </w:rPr>
        <w:t xml:space="preserve"> Slovenskej republiky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na základe Plánu legislatívnych úloh vlády Slovenskej republiky na rok 2008.  </w:t>
      </w:r>
    </w:p>
    <w:p w:rsidR="002E5C34" w:rsidRPr="004854AB" w:rsidP="002E5C34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2E5C34" w:rsidRPr="004854AB" w:rsidP="002E5C3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>V nadväznosti na  zákon  č. 659/2007 Z. z. o zavedení meny euro v Slovenskej republike a o zmene a doplnení niektorých zákonov v znení neskorších predpisov</w:t>
      </w:r>
      <w:r w:rsidR="00C70F25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(ďalej len „generálny zákon“)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Ministerstvo spravodlivosti Slovenskej republiky vypracovalo novely zákon</w:t>
      </w:r>
      <w:r w:rsidR="001C74FE">
        <w:rPr>
          <w:rStyle w:val="PlaceholderText"/>
          <w:rFonts w:ascii="Times New Roman" w:hAnsi="Times New Roman" w:cs="Times New Roman"/>
          <w:color w:val="000000"/>
          <w:szCs w:val="24"/>
        </w:rPr>
        <w:t>ov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pre oblasť organizácie, riadenia a správy súdov, postavenia znal</w:t>
      </w:r>
      <w:r w:rsidR="007E0EB1">
        <w:rPr>
          <w:rStyle w:val="PlaceholderText"/>
          <w:rFonts w:ascii="Times New Roman" w:hAnsi="Times New Roman" w:cs="Times New Roman"/>
          <w:color w:val="000000"/>
          <w:szCs w:val="24"/>
        </w:rPr>
        <w:t>cov, tlmočníkov, prekladateľov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, t.j. právnych predpisov, ktoré nespadajú do oblasti civilného alebo trestného </w:t>
      </w:r>
      <w:r w:rsidRPr="004854AB">
        <w:rPr>
          <w:rFonts w:ascii="Times New Roman" w:hAnsi="Times New Roman" w:cs="Times New Roman"/>
          <w:szCs w:val="24"/>
        </w:rPr>
        <w:t xml:space="preserve">práva. </w:t>
      </w:r>
    </w:p>
    <w:p w:rsidR="002E5C34" w:rsidRPr="004854AB" w:rsidP="002E5C34">
      <w:pPr>
        <w:jc w:val="both"/>
        <w:rPr>
          <w:rFonts w:ascii="Times New Roman" w:hAnsi="Times New Roman" w:cs="Times New Roman"/>
          <w:szCs w:val="24"/>
        </w:rPr>
      </w:pPr>
    </w:p>
    <w:p w:rsidR="002E5C34" w:rsidRPr="004854AB" w:rsidP="002E5C3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Účelom predl</w:t>
      </w:r>
      <w:r w:rsidR="00C63727">
        <w:rPr>
          <w:rFonts w:ascii="Times New Roman" w:hAnsi="Times New Roman" w:cs="Times New Roman"/>
          <w:szCs w:val="24"/>
        </w:rPr>
        <w:t xml:space="preserve">oženého </w:t>
      </w:r>
      <w:r w:rsidRPr="004854AB">
        <w:rPr>
          <w:rFonts w:ascii="Times New Roman" w:hAnsi="Times New Roman" w:cs="Times New Roman"/>
          <w:szCs w:val="24"/>
        </w:rPr>
        <w:t>návrh</w:t>
      </w:r>
      <w:r w:rsidR="00C63727">
        <w:rPr>
          <w:rFonts w:ascii="Times New Roman" w:hAnsi="Times New Roman" w:cs="Times New Roman"/>
          <w:szCs w:val="24"/>
        </w:rPr>
        <w:t xml:space="preserve">u </w:t>
      </w:r>
      <w:r w:rsidRPr="004854AB">
        <w:rPr>
          <w:rFonts w:ascii="Times New Roman" w:hAnsi="Times New Roman" w:cs="Times New Roman"/>
          <w:szCs w:val="24"/>
        </w:rPr>
        <w:t>zákona je okrem novelizácie spočívajúcej v prepočte súm uvádzaných v dotknutých zákon</w:t>
      </w:r>
      <w:r w:rsidR="001C74FE">
        <w:rPr>
          <w:rFonts w:ascii="Times New Roman" w:hAnsi="Times New Roman" w:cs="Times New Roman"/>
          <w:szCs w:val="24"/>
        </w:rPr>
        <w:t>o</w:t>
      </w:r>
      <w:r w:rsidR="00C84A40">
        <w:rPr>
          <w:rFonts w:ascii="Times New Roman" w:hAnsi="Times New Roman" w:cs="Times New Roman"/>
          <w:szCs w:val="24"/>
        </w:rPr>
        <w:t>ch</w:t>
      </w:r>
      <w:r w:rsidRPr="004854AB">
        <w:rPr>
          <w:rFonts w:ascii="Times New Roman" w:hAnsi="Times New Roman" w:cs="Times New Roman"/>
          <w:szCs w:val="24"/>
        </w:rPr>
        <w:t xml:space="preserve"> v slovenskej mene na menu euro </w:t>
      </w:r>
      <w:r w:rsidR="00C70F25">
        <w:rPr>
          <w:rFonts w:ascii="Times New Roman" w:hAnsi="Times New Roman" w:cs="Times New Roman"/>
          <w:szCs w:val="24"/>
        </w:rPr>
        <w:t>podľa pravidiel ustanovených generálnym zákonom</w:t>
      </w:r>
      <w:r w:rsidR="007C1751">
        <w:rPr>
          <w:rFonts w:ascii="Times New Roman" w:hAnsi="Times New Roman" w:cs="Times New Roman"/>
          <w:szCs w:val="24"/>
        </w:rPr>
        <w:t>,</w:t>
      </w:r>
      <w:r w:rsidR="00C70F25">
        <w:rPr>
          <w:rFonts w:ascii="Times New Roman" w:hAnsi="Times New Roman" w:cs="Times New Roman"/>
          <w:szCs w:val="24"/>
        </w:rPr>
        <w:t xml:space="preserve"> </w:t>
      </w:r>
      <w:r w:rsidR="009B3CA9">
        <w:rPr>
          <w:rFonts w:ascii="Times New Roman" w:hAnsi="Times New Roman" w:cs="Times New Roman"/>
          <w:szCs w:val="24"/>
        </w:rPr>
        <w:t xml:space="preserve">tiež </w:t>
      </w:r>
      <w:r w:rsidRPr="004854AB">
        <w:rPr>
          <w:rFonts w:ascii="Times New Roman" w:hAnsi="Times New Roman" w:cs="Times New Roman"/>
          <w:szCs w:val="24"/>
        </w:rPr>
        <w:t xml:space="preserve">ustanoviť v odôvodnených prípadoch v rámci prechodných ustanovení podrobnejšie pravidlá prechodu na menu euro, a to najmä z dôvodu dodržania </w:t>
      </w:r>
      <w:r w:rsidR="00D9052B">
        <w:rPr>
          <w:rFonts w:ascii="Times New Roman" w:hAnsi="Times New Roman" w:cs="Times New Roman"/>
          <w:szCs w:val="24"/>
        </w:rPr>
        <w:t xml:space="preserve">princípu </w:t>
      </w:r>
      <w:r w:rsidRPr="004854AB">
        <w:rPr>
          <w:rFonts w:ascii="Times New Roman" w:hAnsi="Times New Roman" w:cs="Times New Roman"/>
          <w:szCs w:val="24"/>
        </w:rPr>
        <w:t>právnej istoty a zachovania cenovej neutrality.</w:t>
      </w:r>
    </w:p>
    <w:p w:rsidR="00AE1995" w:rsidP="002E5C34">
      <w:pPr>
        <w:jc w:val="both"/>
        <w:rPr>
          <w:rFonts w:ascii="Times New Roman" w:hAnsi="Times New Roman" w:cs="Times New Roman"/>
          <w:szCs w:val="24"/>
        </w:rPr>
      </w:pPr>
    </w:p>
    <w:p w:rsidR="002E5C34" w:rsidRPr="004854AB" w:rsidP="00AE1995">
      <w:pPr>
        <w:ind w:firstLine="708"/>
        <w:jc w:val="both"/>
        <w:rPr>
          <w:rFonts w:ascii="Times New Roman" w:hAnsi="Times New Roman" w:cs="Times New Roman"/>
          <w:szCs w:val="24"/>
        </w:rPr>
      </w:pPr>
      <w:r w:rsidR="00AE1995">
        <w:rPr>
          <w:rFonts w:ascii="Times New Roman" w:hAnsi="Times New Roman" w:cs="Times New Roman"/>
          <w:szCs w:val="24"/>
        </w:rPr>
        <w:t>Vo všeobecnosti je možné konštatovať, že predkladateľ postupoval pri premene, prepočte a zaokrúhľovaní peňažných súm zo slovenskej meny na eurá v súlade s ustanoveniami generálneho zákona o zachovaní cenovej neutrality, čo reprezentuje matematický prepočet súm zaokrúhlených na dve desatinné miesta. Výnimky spočívajúce v zaokrúhlení prepočítaných súm odlišne od vyššie uvedeného modelu predstavujú situácie, kedy sa pri jednotlivých sumách jedná o príjem alebo výdavok štátneho rozpočtu, prípadne iného druhu rozpočtu verejnej správy. V týchto prípadoch však predkladateľ striktne dodržal literu generálneho zákona, z ktorého vyplýva, že konečne stanovené sumy v eurách budú v závislosti od toho či sa jedná o príjem alebo výdavok štátneho rozpočtu alebo iného druhu rozpočtu verejnej správy prepočítané a zaokrúhlené buď na prospech osôb povinných znášať úhradu platieb alebo na prospech oprávnených príjemcov platieb.</w:t>
      </w:r>
    </w:p>
    <w:p w:rsidR="00AE1995" w:rsidP="002E5C34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2E5C34" w:rsidRPr="004854AB" w:rsidP="002E5C3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Návrh zákona je v súlade s Ústavou Slovenskej republiky, ústavnými zákonmi, medzinárodnými zmluvami, ktorými je Slovenská republika viazaná a zákonmi a súčasne je v súlade aj s právom Európskych spoločenstiev a Európskej únie, ako aj s ustanoveniami generálneho zákona.</w:t>
      </w:r>
    </w:p>
    <w:p w:rsidR="002E5C34" w:rsidRPr="004854AB" w:rsidP="002E5C34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2E5C34" w:rsidRPr="004854AB" w:rsidP="002E5C3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Navrhovaná právna úprava nebude mať </w:t>
      </w:r>
      <w:r w:rsidR="003E4591">
        <w:rPr>
          <w:rFonts w:ascii="Times New Roman" w:hAnsi="Times New Roman" w:cs="Times New Roman"/>
          <w:szCs w:val="24"/>
        </w:rPr>
        <w:t xml:space="preserve">negatívny </w:t>
      </w:r>
      <w:r w:rsidRPr="004854AB">
        <w:rPr>
          <w:rFonts w:ascii="Times New Roman" w:hAnsi="Times New Roman" w:cs="Times New Roman"/>
          <w:szCs w:val="24"/>
        </w:rPr>
        <w:t xml:space="preserve">dopad na štátny rozpočet, rozpočty obcí alebo rozpočty vyšších územných celkov a nezakladá nároky na pracovné sily a organizačné zabezpečenie. Materiál nemá finančný, ekonomický, environmentálny vplyv, ani vplyv na zamestnanosť a podnikateľské prostredie.  </w:t>
      </w:r>
    </w:p>
    <w:p w:rsidR="002E5C34" w:rsidRPr="004854AB" w:rsidP="002E5C34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26757C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4854AB">
        <w:rPr>
          <w:rFonts w:ascii="Times New Roman" w:hAnsi="Times New Roman" w:cs="Times New Roman"/>
          <w:b/>
          <w:caps/>
          <w:spacing w:val="30"/>
          <w:szCs w:val="24"/>
        </w:rPr>
        <w:br w:type="page"/>
        <w:t>DOLOŽKA  ZLUČITEĽNOSTI</w:t>
      </w:r>
    </w:p>
    <w:p w:rsidR="0079546F" w:rsidRPr="004854AB" w:rsidP="0079546F">
      <w:pPr>
        <w:jc w:val="center"/>
        <w:rPr>
          <w:rFonts w:ascii="Times New Roman" w:hAnsi="Times New Roman" w:cs="Times New Roman"/>
          <w:b/>
          <w:szCs w:val="24"/>
        </w:rPr>
      </w:pPr>
      <w:r w:rsidRPr="004854AB">
        <w:rPr>
          <w:rFonts w:ascii="Times New Roman" w:hAnsi="Times New Roman" w:cs="Times New Roman"/>
          <w:b/>
          <w:szCs w:val="24"/>
        </w:rPr>
        <w:t>návrhu právneho predpisu</w:t>
      </w:r>
    </w:p>
    <w:p w:rsidR="0079546F" w:rsidRPr="004854AB" w:rsidP="0079546F">
      <w:pPr>
        <w:jc w:val="center"/>
        <w:rPr>
          <w:rFonts w:ascii="Times New Roman" w:hAnsi="Times New Roman" w:cs="Times New Roman"/>
          <w:b/>
          <w:szCs w:val="24"/>
        </w:rPr>
      </w:pPr>
      <w:r w:rsidRPr="004854AB">
        <w:rPr>
          <w:rFonts w:ascii="Times New Roman" w:hAnsi="Times New Roman" w:cs="Times New Roman"/>
          <w:b/>
          <w:szCs w:val="24"/>
        </w:rPr>
        <w:t>s právom Európskych spoločenstiev a právom Európskej únie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b/>
          <w:szCs w:val="24"/>
        </w:rPr>
        <w:t>1. Predkladateľ právneho predpisu:</w:t>
      </w:r>
      <w:r w:rsidRPr="004854AB">
        <w:rPr>
          <w:rFonts w:ascii="Times New Roman" w:hAnsi="Times New Roman" w:cs="Times New Roman"/>
          <w:szCs w:val="24"/>
        </w:rPr>
        <w:t xml:space="preserve"> vláda Slovenskej republiky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b/>
          <w:szCs w:val="24"/>
        </w:rPr>
        <w:t>2. Názov návrhu právneho predpisu:</w:t>
      </w:r>
      <w:r w:rsidR="00AC53F7">
        <w:rPr>
          <w:rFonts w:ascii="Times New Roman" w:hAnsi="Times New Roman" w:cs="Times New Roman"/>
          <w:szCs w:val="24"/>
        </w:rPr>
        <w:t xml:space="preserve"> </w:t>
      </w:r>
      <w:r w:rsidR="008621C3">
        <w:rPr>
          <w:rFonts w:ascii="Times New Roman" w:hAnsi="Times New Roman" w:cs="Times New Roman"/>
          <w:szCs w:val="24"/>
        </w:rPr>
        <w:t xml:space="preserve">zákon, </w:t>
      </w:r>
      <w:r w:rsidRPr="004854AB" w:rsidR="008621C3">
        <w:rPr>
          <w:rFonts w:ascii="Times New Roman" w:hAnsi="Times New Roman" w:cs="Times New Roman"/>
          <w:szCs w:val="24"/>
        </w:rPr>
        <w:t xml:space="preserve">ktorým sa menia zákony </w:t>
      </w:r>
      <w:r w:rsidRPr="004854AB" w:rsidR="008B3B1A">
        <w:rPr>
          <w:rFonts w:ascii="Times New Roman" w:hAnsi="Times New Roman" w:cs="Times New Roman"/>
          <w:szCs w:val="24"/>
        </w:rPr>
        <w:t xml:space="preserve">v oblasti organizácie a riadenia súdnictva, postavenia </w:t>
      </w:r>
      <w:r w:rsidR="008B3B1A">
        <w:rPr>
          <w:rFonts w:ascii="Times New Roman" w:hAnsi="Times New Roman" w:cs="Times New Roman"/>
          <w:szCs w:val="24"/>
        </w:rPr>
        <w:t>sudcov</w:t>
      </w:r>
      <w:r w:rsidR="008B68AB">
        <w:rPr>
          <w:rFonts w:ascii="Times New Roman" w:hAnsi="Times New Roman" w:cs="Times New Roman"/>
          <w:szCs w:val="24"/>
        </w:rPr>
        <w:t>,</w:t>
      </w:r>
      <w:r w:rsidR="008B3B1A">
        <w:rPr>
          <w:rFonts w:ascii="Times New Roman" w:hAnsi="Times New Roman" w:cs="Times New Roman"/>
          <w:szCs w:val="24"/>
        </w:rPr>
        <w:t xml:space="preserve"> </w:t>
      </w:r>
      <w:r w:rsidRPr="004854AB" w:rsidR="008B3B1A">
        <w:rPr>
          <w:rFonts w:ascii="Times New Roman" w:hAnsi="Times New Roman" w:cs="Times New Roman"/>
          <w:szCs w:val="24"/>
        </w:rPr>
        <w:t>znalcov, tlmočníkov</w:t>
      </w:r>
      <w:r w:rsidR="008B68AB">
        <w:rPr>
          <w:rFonts w:ascii="Times New Roman" w:hAnsi="Times New Roman" w:cs="Times New Roman"/>
          <w:szCs w:val="24"/>
        </w:rPr>
        <w:t xml:space="preserve"> a</w:t>
      </w:r>
      <w:r w:rsidRPr="004854AB" w:rsidR="008B3B1A">
        <w:rPr>
          <w:rFonts w:ascii="Times New Roman" w:hAnsi="Times New Roman" w:cs="Times New Roman"/>
          <w:szCs w:val="24"/>
        </w:rPr>
        <w:t xml:space="preserve"> prekladateľov</w:t>
      </w:r>
      <w:r w:rsidRPr="00FC1C6A" w:rsidR="00FC1C6A">
        <w:rPr>
          <w:rFonts w:ascii="Times New Roman" w:hAnsi="Times New Roman" w:cs="Times New Roman"/>
          <w:szCs w:val="24"/>
        </w:rPr>
        <w:t xml:space="preserve"> </w:t>
      </w:r>
      <w:r w:rsidRPr="004854AB" w:rsidR="00FC1C6A">
        <w:rPr>
          <w:rFonts w:ascii="Times New Roman" w:hAnsi="Times New Roman" w:cs="Times New Roman"/>
          <w:szCs w:val="24"/>
        </w:rPr>
        <w:t>v súvislosti so zavedením</w:t>
      </w:r>
      <w:r w:rsidR="00FC1C6A">
        <w:rPr>
          <w:rFonts w:ascii="Times New Roman" w:hAnsi="Times New Roman" w:cs="Times New Roman"/>
          <w:szCs w:val="24"/>
        </w:rPr>
        <w:t xml:space="preserve"> meny euro </w:t>
      </w:r>
      <w:r w:rsidRPr="004854AB" w:rsidR="00FC1C6A">
        <w:rPr>
          <w:rFonts w:ascii="Times New Roman" w:hAnsi="Times New Roman" w:cs="Times New Roman"/>
          <w:szCs w:val="24"/>
        </w:rPr>
        <w:t>v Slovenskej republike</w:t>
      </w:r>
      <w:r w:rsidR="005701D9">
        <w:rPr>
          <w:rFonts w:ascii="Times New Roman" w:hAnsi="Times New Roman" w:cs="Times New Roman"/>
          <w:szCs w:val="24"/>
        </w:rPr>
        <w:t>.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b/>
          <w:szCs w:val="24"/>
        </w:rPr>
      </w:pPr>
      <w:r w:rsidRPr="004854AB">
        <w:rPr>
          <w:rFonts w:ascii="Times New Roman" w:hAnsi="Times New Roman" w:cs="Times New Roman"/>
          <w:b/>
          <w:szCs w:val="24"/>
        </w:rPr>
        <w:t>3. Problematika návrhu právneho predpisu:</w:t>
      </w:r>
    </w:p>
    <w:p w:rsidR="0079546F" w:rsidRPr="004854AB" w:rsidP="0079546F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je upravená v práve Európskych spoločenstiev,</w:t>
      </w:r>
    </w:p>
    <w:p w:rsidR="00046AE4" w:rsidRPr="004854AB" w:rsidP="00046AE4">
      <w:pPr>
        <w:jc w:val="both"/>
        <w:rPr>
          <w:rFonts w:ascii="Times New Roman" w:hAnsi="Times New Roman" w:cs="Times New Roman"/>
          <w:szCs w:val="24"/>
        </w:rPr>
      </w:pPr>
    </w:p>
    <w:p w:rsidR="00046AE4" w:rsidRPr="004854AB" w:rsidP="004854AB">
      <w:pPr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4854AB">
        <w:rPr>
          <w:rFonts w:ascii="Times New Roman" w:hAnsi="Times New Roman" w:cs="Times New Roman"/>
          <w:i/>
          <w:szCs w:val="24"/>
        </w:rPr>
        <w:t xml:space="preserve">v primárnom </w:t>
      </w:r>
    </w:p>
    <w:p w:rsidR="00046AE4" w:rsidRPr="004854AB" w:rsidP="004854AB">
      <w:pPr>
        <w:jc w:val="both"/>
        <w:rPr>
          <w:rFonts w:ascii="Times New Roman" w:hAnsi="Times New Roman" w:cs="Times New Roman"/>
          <w:szCs w:val="24"/>
        </w:rPr>
      </w:pP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- v čl. 4 ods. 2, čl. 8, čl. 101, čl. 102, čl. 105 až 124 a čl. 249 Zmluvy o založení Európskeho spoločenstva v platnom znení (Ú.v. EÚ C 321E, 29. 12. 2006),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- v Protokole (č. 18) o Štatúte Európskeho systému centrálnych bánk a Európskej centrálnej banky v platnom znení,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- v Protokole (č. 21) o kritériách konvergencie podľa článku 121 Zmluvy o založení Európskeho spoločenstva.</w:t>
      </w:r>
    </w:p>
    <w:p w:rsidR="00046AE4" w:rsidRPr="004854AB" w:rsidP="004854AB">
      <w:pPr>
        <w:jc w:val="both"/>
        <w:rPr>
          <w:rFonts w:ascii="Times New Roman" w:hAnsi="Times New Roman" w:cs="Times New Roman"/>
          <w:szCs w:val="24"/>
        </w:rPr>
      </w:pPr>
    </w:p>
    <w:p w:rsidR="00046AE4" w:rsidRPr="004854AB" w:rsidP="004854AB">
      <w:pPr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4854AB">
        <w:rPr>
          <w:rFonts w:ascii="Times New Roman" w:hAnsi="Times New Roman" w:cs="Times New Roman"/>
          <w:i/>
          <w:szCs w:val="24"/>
        </w:rPr>
        <w:t xml:space="preserve">v sekundárnom </w:t>
      </w:r>
    </w:p>
    <w:p w:rsidR="00046AE4" w:rsidRPr="004854AB" w:rsidP="004854AB">
      <w:pPr>
        <w:jc w:val="both"/>
        <w:rPr>
          <w:rFonts w:ascii="Times New Roman" w:hAnsi="Times New Roman" w:cs="Times New Roman"/>
          <w:szCs w:val="24"/>
        </w:rPr>
      </w:pP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- v nariadení Rady (ES) č. 3603/93 z 13. decembra 1993, ktorým sa stanovujú definície na uplatňovanie zákazov uvedené v článkoch 104 a 104b ods. 1 zmluvy (Ú. v. ES L 332, 31. 12. 1993; Mimoriadne vydanie Ú. v. EÚ, 10/zv. 01),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- v nariadení Rady (ES) č. 3604/93 z 13. decembra 1993, ktorým sa stanovujú definície na uplatňovanie zákazu zvýhodneného prístupu, uvedeného v</w:t>
      </w:r>
      <w:r w:rsidR="00AB50F7">
        <w:rPr>
          <w:rFonts w:ascii="Times New Roman" w:hAnsi="Times New Roman" w:cs="Times New Roman"/>
          <w:szCs w:val="24"/>
        </w:rPr>
        <w:t> </w:t>
      </w:r>
      <w:r w:rsidRPr="004854AB">
        <w:rPr>
          <w:rFonts w:ascii="Times New Roman" w:hAnsi="Times New Roman" w:cs="Times New Roman"/>
          <w:szCs w:val="24"/>
        </w:rPr>
        <w:t>článku</w:t>
      </w:r>
      <w:r w:rsidR="00AB50F7">
        <w:rPr>
          <w:rFonts w:ascii="Times New Roman" w:hAnsi="Times New Roman" w:cs="Times New Roman"/>
          <w:szCs w:val="24"/>
        </w:rPr>
        <w:t xml:space="preserve"> </w:t>
      </w:r>
      <w:r w:rsidRPr="004854AB">
        <w:rPr>
          <w:rFonts w:ascii="Times New Roman" w:hAnsi="Times New Roman" w:cs="Times New Roman"/>
          <w:szCs w:val="24"/>
        </w:rPr>
        <w:t xml:space="preserve">104a zmluvy (Ú. v. ES L 332, 31. 12. 1993; Mimoriadne vydanie Ú. v. EÚ, 10/zv. 01),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- v nariadení Rady (ES) č. 1103/97 zo 17. júna 1997 o určitých ustanoveniach týkajúcich sa zavedenia eura v platnom znení (Ú. v. ES L 162, 19. 6.1997; Mimoriadne vydanie Ú. v. EÚ, 10/zv. 01),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- v nariadení Rady (ES) č. 974/98 z 3. mája 1998 o zavedení eura v platnom znení (Ú. v. ES L 139, 11. 5. 1998; Mimoriadne vydanie Ú. v. EÚ, 10/zv. 01),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- v nariadení Rady (ES) č.975/98 z 3.mája 1998 o nominálnych hodnotách a technických špecifikáciách euromincí určených do obehu v platnom znení (Ú.v.ES L 139, 11.5.1998; Mimoriadne vydanie Ú.v.EÚ, 10/zv.01),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- v rozhodnutí Rady (ES) č. 98/415/ES z 29. júna 1998 o poradení sa vnútroštátnych orgánov s Európskou centrálnou bankou ohľadom návrhov právnych predpisov (Ú.v. ES L 189, 3.7.1998; Mimoriadne vydanie Ú.v. EÚ, 0</w:t>
      </w:r>
      <w:r w:rsidR="000501DF">
        <w:rPr>
          <w:rFonts w:ascii="Times New Roman" w:hAnsi="Times New Roman" w:cs="Times New Roman"/>
          <w:szCs w:val="24"/>
        </w:rPr>
        <w:t>1</w:t>
      </w:r>
      <w:r w:rsidRPr="004854AB">
        <w:rPr>
          <w:rFonts w:ascii="Times New Roman" w:hAnsi="Times New Roman" w:cs="Times New Roman"/>
          <w:szCs w:val="24"/>
        </w:rPr>
        <w:t xml:space="preserve">/zv. 01; korigendum Ú. v. EÚ L 234, 29.8.2006),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- v nariadení Rady (ES) č. 2866/98 z 31. decembra 1998 o výmenných kurzoch medzi eurom a menami členských štátov zavádzajúcich euro v platnom znení (Ú. v. ES L 359, 31. 12 1998),</w:t>
      </w:r>
    </w:p>
    <w:p w:rsidR="000F3FE0" w:rsidP="004854AB">
      <w:pPr>
        <w:jc w:val="both"/>
        <w:rPr>
          <w:rFonts w:ascii="Times New Roman" w:hAnsi="Times New Roman" w:cs="Times New Roman"/>
          <w:szCs w:val="24"/>
        </w:rPr>
      </w:pPr>
    </w:p>
    <w:p w:rsidR="000F3FE0" w:rsidP="004854AB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4854AB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4854AB" w:rsidR="00046AE4">
        <w:rPr>
          <w:rFonts w:ascii="Times New Roman" w:hAnsi="Times New Roman" w:cs="Times New Roman"/>
          <w:szCs w:val="24"/>
        </w:rPr>
        <w:t>j</w:t>
      </w:r>
      <w:r w:rsidRPr="004854AB">
        <w:rPr>
          <w:rFonts w:ascii="Times New Roman" w:hAnsi="Times New Roman" w:cs="Times New Roman"/>
          <w:szCs w:val="24"/>
        </w:rPr>
        <w:t>e upravená v práve Európskej únie,</w:t>
      </w:r>
    </w:p>
    <w:p w:rsidR="00046AE4" w:rsidRPr="004854AB" w:rsidP="004854AB">
      <w:pPr>
        <w:jc w:val="both"/>
        <w:rPr>
          <w:rFonts w:ascii="Times New Roman" w:hAnsi="Times New Roman" w:cs="Times New Roman"/>
          <w:szCs w:val="24"/>
        </w:rPr>
      </w:pPr>
    </w:p>
    <w:p w:rsidR="00046AE4" w:rsidRPr="004854AB" w:rsidP="004854AB">
      <w:pPr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4854AB" w:rsidR="004854AB">
        <w:rPr>
          <w:rFonts w:ascii="Times New Roman" w:hAnsi="Times New Roman" w:cs="Times New Roman"/>
          <w:i/>
          <w:szCs w:val="24"/>
        </w:rPr>
        <w:t xml:space="preserve">v primárnom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- v čl. 1 ods. 1 Zmluvy o pristúpení Slovenskej republiky k Európskej únii a čl. 2 pripojeného aktu o podmienkach pristúpenia a o úpravách zmlúv, na ktorých je založená Európska únia (Ú. v. L 236, 23. 9.2003; oznámenie č. 185/2004 Z.z.), </w:t>
      </w:r>
    </w:p>
    <w:p w:rsidR="004854AB" w:rsidRPr="004854AB" w:rsidP="004854AB">
      <w:pPr>
        <w:ind w:left="851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- v čl. 2 Zmluvy o založení Európskej únie v platnom znení (Ú.v. EÚ C 321E, 29. 12. 2006).</w:t>
      </w:r>
    </w:p>
    <w:p w:rsidR="004854AB" w:rsidRPr="004854AB" w:rsidP="00046AE4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je obsiahnutá v judikatúre Súdneho dvora Európskych spoločenstiev alebo Súdu prvého </w:t>
      </w:r>
      <w:r w:rsidRPr="004854AB" w:rsidR="004854AB">
        <w:rPr>
          <w:rFonts w:ascii="Times New Roman" w:hAnsi="Times New Roman" w:cs="Times New Roman"/>
          <w:szCs w:val="24"/>
        </w:rPr>
        <w:t>stupňa Európskych spoločenstiev:</w:t>
      </w:r>
    </w:p>
    <w:p w:rsidR="004854AB" w:rsidRPr="004854AB" w:rsidP="004854AB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4854AB" w:rsidRPr="004854AB" w:rsidP="004854AB">
      <w:pPr>
        <w:ind w:left="720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– v rozhodnutí Súdneho dvora Európskych spoločenstiev z 18. januára 2007 vo veci C–359/05, Estager SA v. Receveur principal de la recette des douanes de Brive (Ú. v. EÚ C 56, 10. 3. 2007Ú. v. EÚ  C 056, 10.03.2007, str. 8). </w:t>
      </w:r>
    </w:p>
    <w:p w:rsidR="004854AB" w:rsidRPr="004854AB" w:rsidP="004854AB">
      <w:pPr>
        <w:ind w:left="720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- v rozhodnutí Súdneho dvora Európskych spoločenstiev zo 14. septembra 2004 vo veci C–19/03, Landgericht München I): Verbraucher-Zentrale Hamburg eV v. O2 (Germany) GmbH &amp; Co. OHG (Ú. v. EÚ C 284, 20.11. 2004, str.3),</w:t>
      </w:r>
    </w:p>
    <w:p w:rsidR="0079546F" w:rsidP="0079546F">
      <w:pPr>
        <w:jc w:val="both"/>
        <w:rPr>
          <w:rFonts w:ascii="Times New Roman" w:hAnsi="Times New Roman" w:cs="Times New Roman"/>
          <w:szCs w:val="24"/>
        </w:rPr>
      </w:pPr>
    </w:p>
    <w:p w:rsidR="004854AB" w:rsidRPr="008621C3" w:rsidP="0079546F">
      <w:pPr>
        <w:jc w:val="both"/>
        <w:rPr>
          <w:rFonts w:ascii="Times New Roman" w:hAnsi="Times New Roman" w:cs="Times New Roman"/>
          <w:b/>
          <w:szCs w:val="24"/>
        </w:rPr>
      </w:pPr>
      <w:r w:rsidRPr="008621C3">
        <w:rPr>
          <w:rFonts w:ascii="Times New Roman" w:hAnsi="Times New Roman" w:cs="Times New Roman"/>
          <w:b/>
          <w:szCs w:val="24"/>
        </w:rPr>
        <w:t xml:space="preserve">4. </w:t>
      </w:r>
      <w:r w:rsidRPr="008621C3" w:rsidR="008621C3">
        <w:rPr>
          <w:rFonts w:ascii="Times New Roman" w:hAnsi="Times New Roman" w:cs="Times New Roman"/>
          <w:b/>
          <w:szCs w:val="24"/>
        </w:rPr>
        <w:t>Záväzky Slovenskej republiky vo vzťahu k Európskym spoločenstvám a Európskej únii:</w:t>
      </w:r>
    </w:p>
    <w:p w:rsidR="008621C3" w:rsidP="0079546F">
      <w:pPr>
        <w:jc w:val="both"/>
        <w:rPr>
          <w:rFonts w:ascii="Times New Roman" w:hAnsi="Times New Roman" w:cs="Times New Roman"/>
          <w:b/>
          <w:szCs w:val="24"/>
        </w:rPr>
      </w:pPr>
    </w:p>
    <w:p w:rsidR="000F3FE0" w:rsidP="000F3FE0">
      <w:pPr>
        <w:ind w:left="709" w:hanging="349"/>
        <w:rPr>
          <w:rFonts w:ascii="Times New Roman" w:hAnsi="Times New Roman" w:cs="Times New Roman"/>
          <w:szCs w:val="24"/>
        </w:rPr>
      </w:pPr>
      <w:r w:rsidR="00960562">
        <w:rPr>
          <w:rFonts w:ascii="Times New Roman" w:hAnsi="Times New Roman" w:cs="Times New Roman"/>
          <w:szCs w:val="24"/>
        </w:rPr>
        <w:t>a)   l</w:t>
      </w:r>
      <w:r w:rsidRPr="007D03A3">
        <w:rPr>
          <w:rFonts w:ascii="Times New Roman" w:hAnsi="Times New Roman" w:cs="Times New Roman"/>
          <w:szCs w:val="24"/>
        </w:rPr>
        <w:t>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  <w:r w:rsidR="001B2592">
        <w:rPr>
          <w:rFonts w:ascii="Times New Roman" w:hAnsi="Times New Roman" w:cs="Times New Roman"/>
          <w:szCs w:val="24"/>
        </w:rPr>
        <w:t xml:space="preserve"> – bezpredmetné.</w:t>
      </w:r>
    </w:p>
    <w:p w:rsidR="000F3FE0" w:rsidP="000F3FE0">
      <w:pPr>
        <w:rPr>
          <w:rFonts w:ascii="Times New Roman" w:hAnsi="Times New Roman" w:cs="Times New Roman"/>
          <w:szCs w:val="24"/>
        </w:rPr>
      </w:pPr>
    </w:p>
    <w:p w:rsidR="000F3FE0" w:rsidP="000F3FE0">
      <w:pPr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</w:r>
      <w:r w:rsidRPr="007D03A3">
        <w:rPr>
          <w:rFonts w:ascii="Times New Roman" w:hAnsi="Times New Roman" w:cs="Times New Roman"/>
          <w:szCs w:val="24"/>
        </w:rPr>
        <w:t>informácia o konaní začatom proti Slovenskej republike o porušení Zmluvy o založení Európskych spoločenstiev podľa čl. 226 až 228 Zmluvy o založení Európskyc</w:t>
      </w:r>
      <w:r>
        <w:rPr>
          <w:rFonts w:ascii="Times New Roman" w:hAnsi="Times New Roman" w:cs="Times New Roman"/>
          <w:szCs w:val="24"/>
        </w:rPr>
        <w:t>h spoločenstiev v platnom znení</w:t>
      </w:r>
      <w:r w:rsidR="0004383E">
        <w:rPr>
          <w:rFonts w:ascii="Times New Roman" w:hAnsi="Times New Roman" w:cs="Times New Roman"/>
          <w:szCs w:val="24"/>
        </w:rPr>
        <w:t xml:space="preserve"> –</w:t>
      </w:r>
      <w:r w:rsidR="00272789">
        <w:rPr>
          <w:rFonts w:ascii="Times New Roman" w:hAnsi="Times New Roman" w:cs="Times New Roman"/>
          <w:szCs w:val="24"/>
        </w:rPr>
        <w:t xml:space="preserve"> bezpredmetné. </w:t>
      </w:r>
    </w:p>
    <w:p w:rsidR="000F3FE0" w:rsidP="000F3FE0">
      <w:pPr>
        <w:ind w:firstLine="708"/>
        <w:rPr>
          <w:rFonts w:ascii="Times New Roman" w:hAnsi="Times New Roman" w:cs="Times New Roman"/>
          <w:szCs w:val="24"/>
        </w:rPr>
      </w:pPr>
    </w:p>
    <w:p w:rsidR="000F3FE0" w:rsidP="000F3FE0">
      <w:pPr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</w:r>
      <w:r w:rsidRPr="007D03A3">
        <w:rPr>
          <w:rFonts w:ascii="Times New Roman" w:hAnsi="Times New Roman" w:cs="Times New Roman"/>
          <w:szCs w:val="24"/>
        </w:rPr>
        <w:t>informácia o právnych predpisoch, v ktorých sú preberané smernice alebo rámcové rozhodnutia už prebraté spolu s uvedením rozsahu tohto prebratia</w:t>
      </w:r>
      <w:r w:rsidR="00C1082A">
        <w:rPr>
          <w:rFonts w:ascii="Times New Roman" w:hAnsi="Times New Roman" w:cs="Times New Roman"/>
          <w:szCs w:val="24"/>
        </w:rPr>
        <w:t xml:space="preserve"> </w:t>
      </w:r>
      <w:r w:rsidR="001D0FD9">
        <w:rPr>
          <w:rFonts w:ascii="Times New Roman" w:hAnsi="Times New Roman" w:cs="Times New Roman"/>
          <w:szCs w:val="24"/>
        </w:rPr>
        <w:t>– bezpredmetné.</w:t>
      </w:r>
    </w:p>
    <w:p w:rsidR="000F3FE0" w:rsidRPr="008621C3" w:rsidP="0079546F">
      <w:pPr>
        <w:jc w:val="both"/>
        <w:rPr>
          <w:rFonts w:ascii="Times New Roman" w:hAnsi="Times New Roman" w:cs="Times New Roman"/>
          <w:b/>
          <w:szCs w:val="24"/>
        </w:rPr>
      </w:pPr>
    </w:p>
    <w:p w:rsidR="008621C3" w:rsidP="0079546F">
      <w:pPr>
        <w:jc w:val="both"/>
        <w:rPr>
          <w:rFonts w:ascii="Times New Roman" w:hAnsi="Times New Roman" w:cs="Times New Roman"/>
          <w:szCs w:val="24"/>
        </w:rPr>
      </w:pPr>
    </w:p>
    <w:p w:rsidR="008621C3" w:rsidRPr="008621C3" w:rsidP="0079546F">
      <w:pPr>
        <w:jc w:val="both"/>
        <w:rPr>
          <w:rFonts w:ascii="Times New Roman" w:hAnsi="Times New Roman" w:cs="Times New Roman"/>
          <w:b/>
          <w:szCs w:val="24"/>
        </w:rPr>
      </w:pPr>
      <w:r w:rsidRPr="008621C3">
        <w:rPr>
          <w:rFonts w:ascii="Times New Roman" w:hAnsi="Times New Roman" w:cs="Times New Roman"/>
          <w:b/>
          <w:szCs w:val="24"/>
        </w:rPr>
        <w:t xml:space="preserve">5. Stupeň zlučiteľnosti </w:t>
      </w:r>
    </w:p>
    <w:p w:rsidR="008621C3" w:rsidP="0079546F">
      <w:pPr>
        <w:jc w:val="both"/>
        <w:rPr>
          <w:rFonts w:ascii="Times New Roman" w:hAnsi="Times New Roman" w:cs="Times New Roman"/>
          <w:szCs w:val="24"/>
        </w:rPr>
      </w:pPr>
    </w:p>
    <w:p w:rsidR="008621C3" w:rsidP="0079546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Úplný </w:t>
      </w:r>
    </w:p>
    <w:p w:rsidR="008621C3" w:rsidP="0079546F">
      <w:pPr>
        <w:jc w:val="both"/>
        <w:rPr>
          <w:rFonts w:ascii="Times New Roman" w:hAnsi="Times New Roman" w:cs="Times New Roman"/>
          <w:szCs w:val="24"/>
        </w:rPr>
      </w:pPr>
    </w:p>
    <w:p w:rsidR="008621C3" w:rsidRPr="008621C3" w:rsidP="0079546F">
      <w:pPr>
        <w:jc w:val="both"/>
        <w:rPr>
          <w:rFonts w:ascii="Times New Roman" w:hAnsi="Times New Roman" w:cs="Times New Roman"/>
          <w:b/>
          <w:szCs w:val="24"/>
        </w:rPr>
      </w:pPr>
      <w:r w:rsidRPr="008621C3">
        <w:rPr>
          <w:rFonts w:ascii="Times New Roman" w:hAnsi="Times New Roman" w:cs="Times New Roman"/>
          <w:b/>
          <w:szCs w:val="24"/>
        </w:rPr>
        <w:t xml:space="preserve">6. Gestor </w:t>
      </w:r>
    </w:p>
    <w:p w:rsidR="008621C3" w:rsidP="0079546F">
      <w:pPr>
        <w:jc w:val="both"/>
        <w:rPr>
          <w:rFonts w:ascii="Times New Roman" w:hAnsi="Times New Roman" w:cs="Times New Roman"/>
          <w:szCs w:val="24"/>
        </w:rPr>
      </w:pPr>
    </w:p>
    <w:p w:rsidR="004854AB" w:rsidRPr="004854AB" w:rsidP="0079546F">
      <w:pPr>
        <w:jc w:val="both"/>
        <w:rPr>
          <w:rFonts w:ascii="Times New Roman" w:hAnsi="Times New Roman" w:cs="Times New Roman"/>
          <w:szCs w:val="24"/>
        </w:rPr>
      </w:pPr>
      <w:r w:rsidR="00421596">
        <w:rPr>
          <w:rFonts w:ascii="Times New Roman" w:hAnsi="Times New Roman" w:cs="Times New Roman"/>
          <w:szCs w:val="24"/>
        </w:rPr>
        <w:t>Ministerstvo spravodlivosti Slovenskej republiky.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pStyle w:val="BodyText"/>
        <w:jc w:val="center"/>
        <w:rPr>
          <w:rFonts w:ascii="Times New Roman" w:hAnsi="Times New Roman" w:cs="Times New Roman"/>
          <w:b/>
          <w:caps/>
          <w:spacing w:val="30"/>
          <w:szCs w:val="24"/>
          <w:lang w:val="sk-SK"/>
        </w:rPr>
      </w:pPr>
      <w:r w:rsidR="001159B8">
        <w:rPr>
          <w:rFonts w:ascii="Times New Roman" w:hAnsi="Times New Roman" w:cs="Times New Roman"/>
          <w:b/>
          <w:caps/>
          <w:spacing w:val="30"/>
          <w:szCs w:val="24"/>
          <w:lang w:val="sk-SK"/>
        </w:rPr>
        <w:br w:type="page"/>
      </w:r>
      <w:r w:rsidRPr="004854AB">
        <w:rPr>
          <w:rFonts w:ascii="Times New Roman" w:hAnsi="Times New Roman" w:cs="Times New Roman"/>
          <w:b/>
          <w:caps/>
          <w:spacing w:val="30"/>
          <w:szCs w:val="24"/>
          <w:lang w:val="sk-SK"/>
        </w:rPr>
        <w:t>Doložka</w:t>
      </w:r>
    </w:p>
    <w:p w:rsidR="0079546F" w:rsidRPr="004854AB" w:rsidP="0079546F">
      <w:pPr>
        <w:pStyle w:val="BodyText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4854AB">
        <w:rPr>
          <w:rFonts w:ascii="Times New Roman" w:hAnsi="Times New Roman" w:cs="Times New Roman"/>
          <w:b/>
          <w:szCs w:val="24"/>
          <w:lang w:val="sk-SK"/>
        </w:rPr>
        <w:t>finančných, ekonomických, environmentálnych vplyvov</w:t>
      </w:r>
    </w:p>
    <w:p w:rsidR="0079546F" w:rsidRPr="004854AB" w:rsidP="0079546F">
      <w:pPr>
        <w:pStyle w:val="BodyText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4854AB">
        <w:rPr>
          <w:rFonts w:ascii="Times New Roman" w:hAnsi="Times New Roman" w:cs="Times New Roman"/>
          <w:b/>
          <w:szCs w:val="24"/>
          <w:lang w:val="sk-SK"/>
        </w:rPr>
        <w:t>a vplyvov na podnikateľské prostredie a na zamestnanosť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21556B" w:rsidRPr="00747F7D" w:rsidP="0021556B">
      <w:pPr>
        <w:numPr>
          <w:numId w:val="17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szCs w:val="24"/>
        </w:rPr>
      </w:pPr>
      <w:r w:rsidRPr="00747F7D">
        <w:rPr>
          <w:rFonts w:ascii="Times New Roman" w:hAnsi="Times New Roman" w:cs="Times New Roman"/>
          <w:b/>
          <w:color w:val="000000"/>
          <w:szCs w:val="24"/>
        </w:rPr>
        <w:t xml:space="preserve">Odhad dopadov na verejné financie: </w:t>
      </w:r>
    </w:p>
    <w:p w:rsidR="0021556B" w:rsidP="0021556B">
      <w:pPr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Nároky na verejné financie, ktoré vzniknú v dôsledku konverzie </w:t>
      </w:r>
      <w:r w:rsidR="00EF504C">
        <w:rPr>
          <w:rFonts w:ascii="Times New Roman" w:hAnsi="Times New Roman" w:cs="Times New Roman"/>
          <w:szCs w:val="24"/>
        </w:rPr>
        <w:t xml:space="preserve">peňažných súm vyjadrených v novelizovaných zákonoch </w:t>
      </w:r>
      <w:r w:rsidR="0093275C">
        <w:rPr>
          <w:rFonts w:ascii="Times New Roman" w:hAnsi="Times New Roman" w:cs="Times New Roman"/>
          <w:szCs w:val="24"/>
        </w:rPr>
        <w:t xml:space="preserve">v slovenských korunách </w:t>
      </w:r>
      <w:r w:rsidR="008A545B">
        <w:rPr>
          <w:rFonts w:ascii="Times New Roman" w:hAnsi="Times New Roman" w:cs="Times New Roman"/>
          <w:szCs w:val="24"/>
        </w:rPr>
        <w:t>na menu euro budú kryté z rozpočtových kapitol</w:t>
      </w:r>
      <w:r w:rsidR="00FE33F1">
        <w:rPr>
          <w:rFonts w:ascii="Times New Roman" w:hAnsi="Times New Roman" w:cs="Times New Roman"/>
          <w:szCs w:val="24"/>
        </w:rPr>
        <w:t xml:space="preserve"> dotknutých subjektov bez nutnosti dodatočného zvyšovania rozpočtových prostriedkov v rámci rozpočtovej kapitoly Ministerstva spravodlivosti Slovenskej republiky, resp. </w:t>
      </w:r>
      <w:r w:rsidR="00B6513E">
        <w:rPr>
          <w:rFonts w:ascii="Times New Roman" w:hAnsi="Times New Roman" w:cs="Times New Roman"/>
          <w:szCs w:val="24"/>
        </w:rPr>
        <w:t xml:space="preserve">Kancelárie </w:t>
      </w:r>
      <w:r w:rsidR="00FE33F1">
        <w:rPr>
          <w:rFonts w:ascii="Times New Roman" w:hAnsi="Times New Roman" w:cs="Times New Roman"/>
          <w:szCs w:val="24"/>
        </w:rPr>
        <w:t>Ústavného súdu Slovenskej republiky</w:t>
      </w:r>
      <w:r w:rsidR="00E05C74">
        <w:rPr>
          <w:rFonts w:ascii="Times New Roman" w:hAnsi="Times New Roman" w:cs="Times New Roman"/>
          <w:szCs w:val="24"/>
        </w:rPr>
        <w:t xml:space="preserve"> – uvedené sa týka prepočtov platieb v prospech oprávnených osôb </w:t>
      </w:r>
      <w:r w:rsidR="00033373">
        <w:rPr>
          <w:rFonts w:ascii="Times New Roman" w:hAnsi="Times New Roman" w:cs="Times New Roman"/>
          <w:szCs w:val="24"/>
        </w:rPr>
        <w:t>(najmä platové náležitosti),</w:t>
      </w:r>
      <w:r w:rsidR="009B6250">
        <w:rPr>
          <w:rFonts w:ascii="Times New Roman" w:hAnsi="Times New Roman" w:cs="Times New Roman"/>
          <w:szCs w:val="24"/>
        </w:rPr>
        <w:t xml:space="preserve"> pri ktorých sa </w:t>
      </w:r>
      <w:r w:rsidR="00033373">
        <w:rPr>
          <w:rFonts w:ascii="Times New Roman" w:hAnsi="Times New Roman" w:cs="Times New Roman"/>
          <w:szCs w:val="24"/>
        </w:rPr>
        <w:t xml:space="preserve">navrhuje vykonať </w:t>
      </w:r>
      <w:r w:rsidR="009B6250">
        <w:rPr>
          <w:rFonts w:ascii="Times New Roman" w:hAnsi="Times New Roman" w:cs="Times New Roman"/>
          <w:szCs w:val="24"/>
        </w:rPr>
        <w:t>zaokrúhľovanie výsledných súm smer</w:t>
      </w:r>
      <w:r w:rsidR="00F322C9">
        <w:rPr>
          <w:rFonts w:ascii="Times New Roman" w:hAnsi="Times New Roman" w:cs="Times New Roman"/>
          <w:szCs w:val="24"/>
        </w:rPr>
        <w:t xml:space="preserve">om nahor na najbližší eurocent tak, ako to predpokladá generálny zákon. </w:t>
      </w:r>
    </w:p>
    <w:p w:rsidR="00FD04B3" w:rsidP="0021556B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974958" w:rsidRPr="00B67D55" w:rsidP="00B37B99">
      <w:pPr>
        <w:ind w:left="360"/>
        <w:jc w:val="both"/>
        <w:rPr>
          <w:rFonts w:ascii="Times New Roman" w:hAnsi="Times New Roman" w:cs="Times New Roman"/>
          <w:szCs w:val="24"/>
          <w:highlight w:val="yellow"/>
        </w:rPr>
      </w:pPr>
      <w:r w:rsidR="008F30D6">
        <w:rPr>
          <w:rFonts w:ascii="Times New Roman" w:hAnsi="Times New Roman" w:cs="Times New Roman"/>
          <w:szCs w:val="24"/>
        </w:rPr>
        <w:t>V rámci návrhu zákona sa ďalej navrhuje špecifický spôsob zaokrúhľovania výsledných súm sankcií, ktorých dolná a horná hranica je určená priamo zákonom – v tomto prípade sa navrhuje ich zaokrúhľovanie, ako vo vzťahu k dolnej, tak aj vo vzťahu k hornej sadzbe sankcie</w:t>
      </w:r>
      <w:r w:rsidR="007B0307">
        <w:rPr>
          <w:rFonts w:ascii="Times New Roman" w:hAnsi="Times New Roman" w:cs="Times New Roman"/>
          <w:szCs w:val="24"/>
        </w:rPr>
        <w:t xml:space="preserve"> tak, že výsledná suma sa zaokrúhli na celé desiatky eur smerom nadol. </w:t>
      </w:r>
      <w:r>
        <w:rPr>
          <w:rFonts w:ascii="Times New Roman" w:hAnsi="Times New Roman" w:cs="Times New Roman"/>
          <w:szCs w:val="24"/>
        </w:rPr>
        <w:t xml:space="preserve">Z hľadiska prípadných rozdielov vo výške pokuty, resp. výnosu z nej (pokuty sú príjmom štátneho rozpočtu) možno konštatovať, že pri aplikácii navrhovanej konštrukcie </w:t>
      </w:r>
      <w:r w:rsidRPr="00A75BBA">
        <w:rPr>
          <w:rFonts w:ascii="Times New Roman" w:hAnsi="Times New Roman" w:cs="Times New Roman"/>
          <w:i/>
          <w:szCs w:val="24"/>
        </w:rPr>
        <w:t>„na desiatky eur smerom nadol“</w:t>
      </w:r>
      <w:r>
        <w:rPr>
          <w:rFonts w:ascii="Times New Roman" w:hAnsi="Times New Roman" w:cs="Times New Roman"/>
          <w:szCs w:val="24"/>
        </w:rPr>
        <w:t xml:space="preserve"> sa hranica dolnej alebo hornej sadzby pokuty môže zmeniť od 0,01 eura do 9,99 eur, čo v prepočte na slovenské koruny predstavuje rozdiel cca od 0,30 Sk do 301 Sk. Prípadný dopad na verejné financie z titulu zníženia sadzieb peňažných sankcií nemožno vopred vyčísliť, keďže výška sankcie je v konečnom dôsledku na posúdení príslušného orgánu, ktorý pri jej ukladaní zohľadňuje viaceré okolnosti vzniku protiprávneho stavu, ktorý zakladá právnu zodpovednosť. </w:t>
      </w:r>
    </w:p>
    <w:p w:rsidR="0021556B" w:rsidRPr="000C66B0" w:rsidP="0021556B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Cs w:val="24"/>
        </w:rPr>
      </w:pPr>
    </w:p>
    <w:p w:rsidR="0021556B" w:rsidRPr="00747F7D" w:rsidP="0021556B">
      <w:pPr>
        <w:numPr>
          <w:numId w:val="17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szCs w:val="24"/>
        </w:rPr>
      </w:pPr>
      <w:r w:rsidRPr="00747F7D">
        <w:rPr>
          <w:rFonts w:ascii="Times New Roman" w:hAnsi="Times New Roman" w:cs="Times New Roman"/>
          <w:b/>
          <w:color w:val="000000"/>
          <w:szCs w:val="24"/>
        </w:rPr>
        <w:t xml:space="preserve">Odhad dopadov na obyvateľov, hospodárenie podnikateľskej sféry a iných právnických osôb: </w:t>
      </w:r>
    </w:p>
    <w:p w:rsidR="0021556B" w:rsidRPr="000C66B0" w:rsidP="0021556B">
      <w:pPr>
        <w:ind w:left="360"/>
        <w:jc w:val="both"/>
        <w:rPr>
          <w:rFonts w:ascii="Times New Roman" w:hAnsi="Times New Roman" w:cs="Times New Roman"/>
          <w:szCs w:val="24"/>
        </w:rPr>
      </w:pPr>
      <w:r w:rsidRPr="000C66B0">
        <w:rPr>
          <w:rFonts w:ascii="Times New Roman" w:hAnsi="Times New Roman" w:cs="Times New Roman"/>
          <w:szCs w:val="24"/>
        </w:rPr>
        <w:t>Návrh zákona nebude mať ekonomický dopad na obyvateľov, hospodárenie podnikateľskej sféry a iných právnických osôb.</w:t>
      </w:r>
    </w:p>
    <w:p w:rsidR="0021556B" w:rsidRPr="000C66B0" w:rsidP="0021556B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Cs w:val="24"/>
        </w:rPr>
      </w:pPr>
    </w:p>
    <w:p w:rsidR="0021556B" w:rsidRPr="00747F7D" w:rsidP="0021556B">
      <w:pPr>
        <w:numPr>
          <w:numId w:val="17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szCs w:val="24"/>
        </w:rPr>
      </w:pPr>
      <w:r w:rsidRPr="00747F7D">
        <w:rPr>
          <w:rFonts w:ascii="Times New Roman" w:hAnsi="Times New Roman" w:cs="Times New Roman"/>
          <w:b/>
          <w:color w:val="000000"/>
          <w:szCs w:val="24"/>
        </w:rPr>
        <w:t xml:space="preserve">Odhad dopadov na životné prostredie: </w:t>
      </w:r>
    </w:p>
    <w:p w:rsidR="0021556B" w:rsidRPr="000C66B0" w:rsidP="0021556B">
      <w:pPr>
        <w:ind w:firstLine="360"/>
        <w:jc w:val="both"/>
        <w:rPr>
          <w:rFonts w:ascii="Times New Roman" w:hAnsi="Times New Roman" w:cs="Times New Roman"/>
          <w:szCs w:val="24"/>
        </w:rPr>
      </w:pPr>
      <w:r w:rsidRPr="000C66B0">
        <w:rPr>
          <w:rFonts w:ascii="Times New Roman" w:hAnsi="Times New Roman" w:cs="Times New Roman"/>
          <w:szCs w:val="24"/>
        </w:rPr>
        <w:t>Návrh zákona nebude mať vplyv na životné prostredie.</w:t>
      </w:r>
    </w:p>
    <w:p w:rsidR="0021556B" w:rsidRPr="000C66B0" w:rsidP="0021556B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Cs w:val="24"/>
        </w:rPr>
      </w:pPr>
    </w:p>
    <w:p w:rsidR="0021556B" w:rsidRPr="00747F7D" w:rsidP="0021556B">
      <w:pPr>
        <w:numPr>
          <w:numId w:val="17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szCs w:val="24"/>
        </w:rPr>
      </w:pPr>
      <w:r w:rsidRPr="00747F7D">
        <w:rPr>
          <w:rFonts w:ascii="Times New Roman" w:hAnsi="Times New Roman" w:cs="Times New Roman"/>
          <w:b/>
          <w:color w:val="000000"/>
          <w:szCs w:val="24"/>
        </w:rPr>
        <w:t>Odhad dopadov na zamestnanosť:</w:t>
      </w:r>
    </w:p>
    <w:p w:rsidR="0021556B" w:rsidP="0021556B">
      <w:pPr>
        <w:ind w:left="360"/>
        <w:jc w:val="both"/>
        <w:rPr>
          <w:rFonts w:ascii="Times New Roman" w:hAnsi="Times New Roman" w:cs="Times New Roman"/>
          <w:szCs w:val="24"/>
        </w:rPr>
      </w:pPr>
      <w:r w:rsidRPr="000C66B0">
        <w:rPr>
          <w:rFonts w:ascii="Times New Roman" w:hAnsi="Times New Roman" w:cs="Times New Roman"/>
          <w:szCs w:val="24"/>
        </w:rPr>
        <w:t>Návrh zákona nebude mať vplyv na zamestnanosť, nevyžiada si zvýšenie počtu zamestnancov.</w:t>
      </w:r>
    </w:p>
    <w:p w:rsidR="0021556B" w:rsidP="0021556B">
      <w:pPr>
        <w:jc w:val="both"/>
        <w:rPr>
          <w:rFonts w:ascii="Times New Roman" w:hAnsi="Times New Roman" w:cs="Times New Roman"/>
          <w:szCs w:val="24"/>
        </w:rPr>
      </w:pPr>
    </w:p>
    <w:p w:rsidR="0021556B" w:rsidRPr="00747F7D" w:rsidP="0021556B">
      <w:pPr>
        <w:numPr>
          <w:numId w:val="17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b/>
          <w:szCs w:val="24"/>
        </w:rPr>
      </w:pPr>
      <w:r w:rsidRPr="00747F7D">
        <w:rPr>
          <w:rFonts w:ascii="Times New Roman" w:hAnsi="Times New Roman" w:cs="Times New Roman"/>
          <w:b/>
          <w:color w:val="000000"/>
          <w:szCs w:val="24"/>
        </w:rPr>
        <w:t xml:space="preserve">Odhad dopadov na podnikateľské prostredie: </w:t>
      </w:r>
    </w:p>
    <w:p w:rsidR="0021556B" w:rsidRPr="000C66B0" w:rsidP="0021556B">
      <w:pPr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zákona </w:t>
      </w:r>
      <w:r w:rsidRPr="000C66B0">
        <w:rPr>
          <w:rFonts w:ascii="Times New Roman" w:hAnsi="Times New Roman" w:cs="Times New Roman"/>
          <w:szCs w:val="24"/>
        </w:rPr>
        <w:t>nebude mať vplyv ani na podnikateľské prostredie</w:t>
      </w:r>
      <w:r w:rsidR="00FF0DA2">
        <w:rPr>
          <w:rFonts w:ascii="Times New Roman" w:hAnsi="Times New Roman" w:cs="Times New Roman"/>
          <w:szCs w:val="24"/>
        </w:rPr>
        <w:t>.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79546F" w:rsidRPr="004854AB" w:rsidP="0079546F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854AB" w:rsidR="005458D1">
        <w:rPr>
          <w:rFonts w:ascii="Times New Roman" w:hAnsi="Times New Roman" w:cs="Times New Roman"/>
          <w:b/>
          <w:szCs w:val="24"/>
          <w:u w:val="single"/>
        </w:rPr>
        <w:br w:type="page"/>
      </w:r>
      <w:r w:rsidRPr="004854AB">
        <w:rPr>
          <w:rFonts w:ascii="Times New Roman" w:hAnsi="Times New Roman" w:cs="Times New Roman"/>
          <w:b/>
          <w:szCs w:val="24"/>
          <w:u w:val="single"/>
        </w:rPr>
        <w:t xml:space="preserve">B. Osobitná časť </w:t>
      </w:r>
    </w:p>
    <w:p w:rsidR="0079546F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5458D1" w:rsidRPr="004854AB" w:rsidP="0079546F">
      <w:pPr>
        <w:jc w:val="both"/>
        <w:rPr>
          <w:rFonts w:ascii="Times New Roman" w:hAnsi="Times New Roman" w:cs="Times New Roman"/>
          <w:b/>
          <w:szCs w:val="24"/>
        </w:rPr>
      </w:pPr>
      <w:r w:rsidRPr="004854AB" w:rsidR="00696CAB">
        <w:rPr>
          <w:rFonts w:ascii="Times New Roman" w:hAnsi="Times New Roman" w:cs="Times New Roman"/>
          <w:b/>
          <w:szCs w:val="24"/>
        </w:rPr>
        <w:t>K Čl. I</w:t>
      </w:r>
    </w:p>
    <w:p w:rsidR="00696CAB" w:rsidP="0079546F">
      <w:pPr>
        <w:jc w:val="both"/>
        <w:rPr>
          <w:rFonts w:ascii="Times New Roman" w:hAnsi="Times New Roman" w:cs="Times New Roman"/>
          <w:szCs w:val="24"/>
        </w:rPr>
      </w:pPr>
    </w:p>
    <w:p w:rsidR="00414651" w:rsidRPr="004854AB" w:rsidP="00414651">
      <w:pPr>
        <w:jc w:val="both"/>
        <w:rPr>
          <w:rFonts w:ascii="Times New Roman" w:hAnsi="Times New Roman" w:cs="Times New Roman"/>
          <w:szCs w:val="24"/>
          <w:u w:val="single"/>
        </w:rPr>
      </w:pPr>
      <w:r w:rsidRPr="004854AB">
        <w:rPr>
          <w:rFonts w:ascii="Times New Roman" w:hAnsi="Times New Roman" w:cs="Times New Roman"/>
          <w:szCs w:val="24"/>
          <w:u w:val="single"/>
        </w:rPr>
        <w:t>K bodu 1</w:t>
      </w:r>
    </w:p>
    <w:p w:rsidR="00414651" w:rsidRPr="004854AB" w:rsidP="00414651">
      <w:pPr>
        <w:jc w:val="both"/>
        <w:rPr>
          <w:rFonts w:ascii="Times New Roman" w:hAnsi="Times New Roman" w:cs="Times New Roman"/>
          <w:szCs w:val="24"/>
        </w:rPr>
      </w:pPr>
    </w:p>
    <w:p w:rsidR="00414651" w:rsidRPr="004854AB" w:rsidP="00414651">
      <w:pPr>
        <w:ind w:firstLine="708"/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V predmetnom ustanovení (§ 16a ods. 2) je zakotvené zaokrúhľovanie jednotlivých súm na celé stovky korún smerom nahor. Tento mechanizmu sa vo vzťahu k mene euro mení návrhom zákona tak, že vypočítané sumy sa zaokrúhľujú na </w:t>
      </w:r>
      <w:r w:rsidR="009B3CA9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celé 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eurá (smerom nahor). </w:t>
      </w:r>
    </w:p>
    <w:p w:rsidR="00414651" w:rsidRPr="004854AB" w:rsidP="00414651">
      <w:pPr>
        <w:jc w:val="both"/>
        <w:rPr>
          <w:rFonts w:ascii="Times New Roman" w:hAnsi="Times New Roman" w:cs="Times New Roman"/>
          <w:szCs w:val="24"/>
        </w:rPr>
      </w:pPr>
    </w:p>
    <w:p w:rsidR="00414651" w:rsidRPr="004854AB" w:rsidP="00414651">
      <w:pPr>
        <w:jc w:val="both"/>
        <w:rPr>
          <w:rFonts w:ascii="Times New Roman" w:hAnsi="Times New Roman" w:cs="Times New Roman"/>
          <w:szCs w:val="24"/>
          <w:u w:val="single"/>
        </w:rPr>
      </w:pPr>
      <w:r w:rsidRPr="004854AB">
        <w:rPr>
          <w:rFonts w:ascii="Times New Roman" w:hAnsi="Times New Roman" w:cs="Times New Roman"/>
          <w:szCs w:val="24"/>
          <w:u w:val="single"/>
        </w:rPr>
        <w:t>K bodu 2</w:t>
      </w:r>
    </w:p>
    <w:p w:rsidR="00414651" w:rsidRPr="004854AB" w:rsidP="00414651">
      <w:pPr>
        <w:jc w:val="both"/>
        <w:rPr>
          <w:rFonts w:ascii="Times New Roman" w:hAnsi="Times New Roman" w:cs="Times New Roman"/>
          <w:szCs w:val="24"/>
        </w:rPr>
      </w:pPr>
    </w:p>
    <w:p w:rsidR="00414651" w:rsidRPr="004854AB" w:rsidP="0041465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>Navrhuje sa prepočet súm uvádzaných v prílohe k novelizovanému zákonu v slovenskej mene na menu euro. Z hľadiska metodiky zaokrúhľovania sa uplatňuje princíp zaokrúhľovania na najbližší</w:t>
      </w:r>
      <w:r w:rsidR="007F6EC6">
        <w:rPr>
          <w:rFonts w:ascii="Times New Roman" w:hAnsi="Times New Roman" w:cs="Times New Roman"/>
          <w:szCs w:val="24"/>
        </w:rPr>
        <w:t>ch 50</w:t>
      </w:r>
      <w:r w:rsidRPr="004854AB">
        <w:rPr>
          <w:rFonts w:ascii="Times New Roman" w:hAnsi="Times New Roman" w:cs="Times New Roman"/>
          <w:szCs w:val="24"/>
        </w:rPr>
        <w:t xml:space="preserve"> eurocent</w:t>
      </w:r>
      <w:r w:rsidR="007F6EC6">
        <w:rPr>
          <w:rFonts w:ascii="Times New Roman" w:hAnsi="Times New Roman" w:cs="Times New Roman"/>
          <w:szCs w:val="24"/>
        </w:rPr>
        <w:t>ov</w:t>
      </w:r>
      <w:r w:rsidRPr="004854AB">
        <w:rPr>
          <w:rFonts w:ascii="Times New Roman" w:hAnsi="Times New Roman" w:cs="Times New Roman"/>
          <w:szCs w:val="24"/>
        </w:rPr>
        <w:t xml:space="preserve"> smerom nahor na prospech oprávnených príjemcov týchto platieb, rešpektujúc tak základné princípy prechodu na euro definované v generá</w:t>
      </w:r>
      <w:r w:rsidR="003F09E2">
        <w:rPr>
          <w:rFonts w:ascii="Times New Roman" w:hAnsi="Times New Roman" w:cs="Times New Roman"/>
          <w:szCs w:val="24"/>
        </w:rPr>
        <w:t>lnom zákone, to znamená, že sa neuplatní matematický princíp zaokrúhľovania, ale princíp zaokrúhlenia</w:t>
      </w:r>
      <w:r w:rsidR="007F6EC6">
        <w:rPr>
          <w:rFonts w:ascii="Times New Roman" w:hAnsi="Times New Roman" w:cs="Times New Roman"/>
          <w:szCs w:val="24"/>
        </w:rPr>
        <w:t xml:space="preserve"> na prospech</w:t>
      </w:r>
      <w:r w:rsidR="003F09E2">
        <w:rPr>
          <w:rFonts w:ascii="Times New Roman" w:hAnsi="Times New Roman" w:cs="Times New Roman"/>
          <w:szCs w:val="24"/>
        </w:rPr>
        <w:t xml:space="preserve"> príjemcu tejto platby, čo predpokladá aj generálny zákon.</w:t>
      </w:r>
      <w:r w:rsidR="00A92AC9">
        <w:rPr>
          <w:rFonts w:ascii="Times New Roman" w:hAnsi="Times New Roman" w:cs="Times New Roman"/>
          <w:szCs w:val="24"/>
        </w:rPr>
        <w:t xml:space="preserve"> Zaokrúhlenie na 50 eurocentov smerom nahor je všeobecne akceptovanou metodikou </w:t>
      </w:r>
      <w:r w:rsidR="001B0920">
        <w:rPr>
          <w:rFonts w:ascii="Times New Roman" w:hAnsi="Times New Roman" w:cs="Times New Roman"/>
          <w:szCs w:val="24"/>
        </w:rPr>
        <w:t xml:space="preserve">zaokrúhľovania </w:t>
      </w:r>
      <w:r w:rsidR="00F24911">
        <w:rPr>
          <w:rFonts w:ascii="Times New Roman" w:hAnsi="Times New Roman" w:cs="Times New Roman"/>
          <w:szCs w:val="24"/>
        </w:rPr>
        <w:t>pri</w:t>
      </w:r>
      <w:r w:rsidR="00A92AC9">
        <w:rPr>
          <w:rFonts w:ascii="Times New Roman" w:hAnsi="Times New Roman" w:cs="Times New Roman"/>
          <w:szCs w:val="24"/>
        </w:rPr>
        <w:t xml:space="preserve"> </w:t>
      </w:r>
      <w:r w:rsidR="00B53E18">
        <w:rPr>
          <w:rFonts w:ascii="Times New Roman" w:hAnsi="Times New Roman" w:cs="Times New Roman"/>
          <w:szCs w:val="24"/>
        </w:rPr>
        <w:t>druhovo rovnakých právnych</w:t>
      </w:r>
      <w:r w:rsidR="00196EAC">
        <w:rPr>
          <w:rFonts w:ascii="Times New Roman" w:hAnsi="Times New Roman" w:cs="Times New Roman"/>
          <w:szCs w:val="24"/>
        </w:rPr>
        <w:t xml:space="preserve"> normách</w:t>
      </w:r>
      <w:r w:rsidR="00B53E18">
        <w:rPr>
          <w:rFonts w:ascii="Times New Roman" w:hAnsi="Times New Roman" w:cs="Times New Roman"/>
          <w:szCs w:val="24"/>
        </w:rPr>
        <w:t xml:space="preserve"> aj v</w:t>
      </w:r>
      <w:r w:rsidR="0036583E">
        <w:rPr>
          <w:rFonts w:ascii="Times New Roman" w:hAnsi="Times New Roman" w:cs="Times New Roman"/>
          <w:szCs w:val="24"/>
        </w:rPr>
        <w:t xml:space="preserve"> návrhoch </w:t>
      </w:r>
      <w:r w:rsidR="00B53E18">
        <w:rPr>
          <w:rFonts w:ascii="Times New Roman" w:hAnsi="Times New Roman" w:cs="Times New Roman"/>
          <w:szCs w:val="24"/>
        </w:rPr>
        <w:t>iných všeobecne záväzných právnych predpisov</w:t>
      </w:r>
      <w:r w:rsidR="0036583E">
        <w:rPr>
          <w:rFonts w:ascii="Times New Roman" w:hAnsi="Times New Roman" w:cs="Times New Roman"/>
          <w:szCs w:val="24"/>
        </w:rPr>
        <w:t xml:space="preserve"> schvaľovaných v súvislosti so zavedením meny euro v Slovenskej republike.</w:t>
      </w:r>
      <w:r w:rsidR="001744E3">
        <w:rPr>
          <w:rFonts w:ascii="Times New Roman" w:hAnsi="Times New Roman" w:cs="Times New Roman"/>
          <w:szCs w:val="24"/>
        </w:rPr>
        <w:t xml:space="preserve"> </w:t>
      </w:r>
      <w:r w:rsidR="00247FE3">
        <w:rPr>
          <w:rFonts w:ascii="Times New Roman" w:hAnsi="Times New Roman" w:cs="Times New Roman"/>
          <w:szCs w:val="24"/>
        </w:rPr>
        <w:t xml:space="preserve">Vzhľadom na pripomienky vznesené v rámci </w:t>
      </w:r>
      <w:r w:rsidR="00D7361F">
        <w:rPr>
          <w:rFonts w:ascii="Times New Roman" w:hAnsi="Times New Roman" w:cs="Times New Roman"/>
          <w:szCs w:val="24"/>
        </w:rPr>
        <w:t>pripomienkového</w:t>
      </w:r>
      <w:r w:rsidR="00247FE3">
        <w:rPr>
          <w:rFonts w:ascii="Times New Roman" w:hAnsi="Times New Roman" w:cs="Times New Roman"/>
          <w:szCs w:val="24"/>
        </w:rPr>
        <w:t xml:space="preserve"> konania sa vychádza síce zo súm uvedených v platnom znení zákon</w:t>
      </w:r>
      <w:r w:rsidR="00473EB6">
        <w:rPr>
          <w:rFonts w:ascii="Times New Roman" w:hAnsi="Times New Roman" w:cs="Times New Roman"/>
          <w:szCs w:val="24"/>
        </w:rPr>
        <w:t>a</w:t>
      </w:r>
      <w:r w:rsidR="00247FE3">
        <w:rPr>
          <w:rFonts w:ascii="Times New Roman" w:hAnsi="Times New Roman" w:cs="Times New Roman"/>
          <w:szCs w:val="24"/>
        </w:rPr>
        <w:t xml:space="preserve">, ale </w:t>
      </w:r>
      <w:r w:rsidR="00D7361F">
        <w:rPr>
          <w:rFonts w:ascii="Times New Roman" w:hAnsi="Times New Roman" w:cs="Times New Roman"/>
          <w:szCs w:val="24"/>
        </w:rPr>
        <w:t>súčasne</w:t>
      </w:r>
      <w:r w:rsidR="00247FE3">
        <w:rPr>
          <w:rFonts w:ascii="Times New Roman" w:hAnsi="Times New Roman" w:cs="Times New Roman"/>
          <w:szCs w:val="24"/>
        </w:rPr>
        <w:t xml:space="preserve"> so zohľadnením doteraz vykonaných valorizácií (pripomienky Kancelárie Ústavného súdu Slovenskej republiky a Ministerstva práce, </w:t>
      </w:r>
      <w:r w:rsidR="00D7361F">
        <w:rPr>
          <w:rFonts w:ascii="Times New Roman" w:hAnsi="Times New Roman" w:cs="Times New Roman"/>
          <w:szCs w:val="24"/>
        </w:rPr>
        <w:t>sociálnych</w:t>
      </w:r>
      <w:r w:rsidR="00247FE3">
        <w:rPr>
          <w:rFonts w:ascii="Times New Roman" w:hAnsi="Times New Roman" w:cs="Times New Roman"/>
          <w:szCs w:val="24"/>
        </w:rPr>
        <w:t xml:space="preserve"> vecí a rodiny Slovenskej republiky). </w:t>
      </w:r>
    </w:p>
    <w:p w:rsidR="00414651" w:rsidRPr="004854AB" w:rsidP="00414651">
      <w:pPr>
        <w:jc w:val="both"/>
        <w:rPr>
          <w:rFonts w:ascii="Times New Roman" w:hAnsi="Times New Roman" w:cs="Times New Roman"/>
          <w:szCs w:val="24"/>
        </w:rPr>
      </w:pPr>
    </w:p>
    <w:p w:rsidR="00414651" w:rsidRPr="00414651" w:rsidP="0079546F">
      <w:pPr>
        <w:jc w:val="both"/>
        <w:rPr>
          <w:rFonts w:ascii="Times New Roman" w:hAnsi="Times New Roman" w:cs="Times New Roman"/>
          <w:b/>
          <w:szCs w:val="24"/>
        </w:rPr>
      </w:pPr>
      <w:r w:rsidRPr="00414651">
        <w:rPr>
          <w:rFonts w:ascii="Times New Roman" w:hAnsi="Times New Roman" w:cs="Times New Roman"/>
          <w:b/>
          <w:szCs w:val="24"/>
        </w:rPr>
        <w:t>K Čl. II</w:t>
      </w:r>
    </w:p>
    <w:p w:rsidR="00414651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696CAB" w:rsidRPr="004854AB" w:rsidP="0079546F">
      <w:pPr>
        <w:jc w:val="both"/>
        <w:rPr>
          <w:rFonts w:ascii="Times New Roman" w:hAnsi="Times New Roman" w:cs="Times New Roman"/>
          <w:szCs w:val="24"/>
          <w:u w:val="single"/>
        </w:rPr>
      </w:pPr>
      <w:r w:rsidRPr="004854AB" w:rsidR="00B8266B">
        <w:rPr>
          <w:rFonts w:ascii="Times New Roman" w:hAnsi="Times New Roman" w:cs="Times New Roman"/>
          <w:szCs w:val="24"/>
          <w:u w:val="single"/>
        </w:rPr>
        <w:t xml:space="preserve">K bodom 1 </w:t>
      </w:r>
      <w:r w:rsidRPr="004854AB" w:rsidR="00300CB2">
        <w:rPr>
          <w:rFonts w:ascii="Times New Roman" w:hAnsi="Times New Roman" w:cs="Times New Roman"/>
          <w:szCs w:val="24"/>
          <w:u w:val="single"/>
        </w:rPr>
        <w:t>a</w:t>
      </w:r>
      <w:r w:rsidRPr="004854AB" w:rsidR="00B8266B">
        <w:rPr>
          <w:rFonts w:ascii="Times New Roman" w:hAnsi="Times New Roman" w:cs="Times New Roman"/>
          <w:szCs w:val="24"/>
          <w:u w:val="single"/>
        </w:rPr>
        <w:t>ž</w:t>
      </w:r>
      <w:r w:rsidR="00C8105C">
        <w:rPr>
          <w:rFonts w:ascii="Times New Roman" w:hAnsi="Times New Roman" w:cs="Times New Roman"/>
          <w:szCs w:val="24"/>
          <w:u w:val="single"/>
        </w:rPr>
        <w:t> 7</w:t>
      </w:r>
    </w:p>
    <w:p w:rsidR="00300CB2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300CB2" w:rsidRPr="004854AB" w:rsidP="00BD7FC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 w:rsidR="00007639">
        <w:rPr>
          <w:rFonts w:ascii="Times New Roman" w:hAnsi="Times New Roman" w:cs="Times New Roman"/>
          <w:szCs w:val="24"/>
        </w:rPr>
        <w:t>Navrhuje sa prepočet súm uvádzaných v slovenskej mene na menu euro. Z hľadiska metodiky zaokrúhľovania sa uplatňuje princíp zaokrúhľovania na najbližší e</w:t>
      </w:r>
      <w:r w:rsidRPr="004854AB" w:rsidR="00DF5700">
        <w:rPr>
          <w:rFonts w:ascii="Times New Roman" w:hAnsi="Times New Roman" w:cs="Times New Roman"/>
          <w:szCs w:val="24"/>
        </w:rPr>
        <w:t>urocent smerom nahor na prospech oprávnených príjemcov týchto platieb</w:t>
      </w:r>
      <w:r w:rsidRPr="004854AB" w:rsidR="00140B1E">
        <w:rPr>
          <w:rFonts w:ascii="Times New Roman" w:hAnsi="Times New Roman" w:cs="Times New Roman"/>
          <w:szCs w:val="24"/>
        </w:rPr>
        <w:t xml:space="preserve">, </w:t>
      </w:r>
      <w:r w:rsidRPr="004854AB" w:rsidR="00C46490">
        <w:rPr>
          <w:rFonts w:ascii="Times New Roman" w:hAnsi="Times New Roman" w:cs="Times New Roman"/>
          <w:szCs w:val="24"/>
        </w:rPr>
        <w:t>rešpektujúc</w:t>
      </w:r>
      <w:r w:rsidRPr="004854AB" w:rsidR="00140B1E">
        <w:rPr>
          <w:rFonts w:ascii="Times New Roman" w:hAnsi="Times New Roman" w:cs="Times New Roman"/>
          <w:szCs w:val="24"/>
        </w:rPr>
        <w:t xml:space="preserve"> tak základné princípy prechodu na euro definované v generálnom zákone. </w:t>
      </w:r>
    </w:p>
    <w:p w:rsidR="00BD7FCC" w:rsidRPr="004854AB" w:rsidP="00BD7FCC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</w:p>
    <w:p w:rsidR="00BD7FCC" w:rsidRPr="004854AB" w:rsidP="00BD7FCC">
      <w:pPr>
        <w:ind w:firstLine="708"/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 w:rsidR="00CC2A6C">
        <w:rPr>
          <w:rStyle w:val="PlaceholderText"/>
          <w:rFonts w:ascii="Times New Roman" w:hAnsi="Times New Roman" w:cs="Times New Roman"/>
          <w:color w:val="000000"/>
          <w:szCs w:val="24"/>
        </w:rPr>
        <w:t>V platnom znení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(§ 99 ods. 3) je zakotvené zaokrúhľovanie jednotlivých súm na celé desiatky korún smerom nahor. Tento mechanizmu</w:t>
      </w:r>
      <w:r w:rsidR="00CF3F01">
        <w:rPr>
          <w:rStyle w:val="PlaceholderText"/>
          <w:rFonts w:ascii="Times New Roman" w:hAnsi="Times New Roman" w:cs="Times New Roman"/>
          <w:color w:val="000000"/>
          <w:szCs w:val="24"/>
        </w:rPr>
        <w:t>s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sa vo vzťahu k mene euro mení návrhom zákona tak, že</w:t>
      </w:r>
      <w:r w:rsidR="00CC2A6C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vypočítané sumy sa zaokrúhľujú, síce nie matematicky, ale na prospech príjemcov týchto platieb 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>na</w:t>
      </w:r>
      <w:r w:rsidR="00B53135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celých </w:t>
      </w:r>
      <w:r w:rsidR="0093101F">
        <w:rPr>
          <w:rStyle w:val="PlaceholderText"/>
          <w:rFonts w:ascii="Times New Roman" w:hAnsi="Times New Roman" w:cs="Times New Roman"/>
          <w:color w:val="000000"/>
          <w:szCs w:val="24"/>
        </w:rPr>
        <w:t>50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eurocentov (smerom nahor)</w:t>
      </w:r>
      <w:r w:rsidR="0093101F">
        <w:rPr>
          <w:rStyle w:val="PlaceholderText"/>
          <w:rFonts w:ascii="Times New Roman" w:hAnsi="Times New Roman" w:cs="Times New Roman"/>
          <w:color w:val="000000"/>
          <w:szCs w:val="24"/>
        </w:rPr>
        <w:t>, čo predstavuje všeobecne používaný mechanizmus zaokrúhlenia súm v</w:t>
      </w:r>
      <w:r w:rsidR="00B307AC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druhovo</w:t>
      </w:r>
      <w:r w:rsidR="0093101F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 podobných alebo v rovnakých prípadoch aj v návrhoch iných všeobecne záväzných právnych predpisov. </w:t>
      </w:r>
      <w:r w:rsidRPr="004854AB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133396" w:rsidP="0079546F">
      <w:pPr>
        <w:jc w:val="both"/>
        <w:rPr>
          <w:rFonts w:ascii="Times New Roman" w:hAnsi="Times New Roman" w:cs="Times New Roman"/>
          <w:b/>
          <w:szCs w:val="24"/>
        </w:rPr>
      </w:pPr>
    </w:p>
    <w:p w:rsidR="00356DF8" w:rsidRPr="001B39D4" w:rsidP="0079546F">
      <w:pPr>
        <w:jc w:val="both"/>
        <w:rPr>
          <w:rFonts w:ascii="Times New Roman" w:hAnsi="Times New Roman" w:cs="Times New Roman"/>
          <w:b/>
          <w:szCs w:val="24"/>
        </w:rPr>
      </w:pPr>
      <w:r w:rsidR="001B53A6">
        <w:rPr>
          <w:rFonts w:ascii="Times New Roman" w:hAnsi="Times New Roman" w:cs="Times New Roman"/>
          <w:b/>
          <w:szCs w:val="24"/>
        </w:rPr>
        <w:t>K Čl. III</w:t>
      </w:r>
    </w:p>
    <w:p w:rsidR="00356DF8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696CAB" w:rsidRPr="004854AB" w:rsidP="0079546F">
      <w:pPr>
        <w:jc w:val="both"/>
        <w:rPr>
          <w:rFonts w:ascii="Times New Roman" w:hAnsi="Times New Roman" w:cs="Times New Roman"/>
          <w:szCs w:val="24"/>
          <w:u w:val="single"/>
        </w:rPr>
      </w:pPr>
      <w:r w:rsidRPr="004854AB" w:rsidR="005332B9">
        <w:rPr>
          <w:rFonts w:ascii="Times New Roman" w:hAnsi="Times New Roman" w:cs="Times New Roman"/>
          <w:szCs w:val="24"/>
          <w:u w:val="single"/>
        </w:rPr>
        <w:t>K bodu 1</w:t>
      </w:r>
    </w:p>
    <w:p w:rsidR="005332B9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5332B9" w:rsidRPr="004854AB" w:rsidP="00AE0057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 w:rsidR="00A3656E">
        <w:rPr>
          <w:rFonts w:ascii="Times New Roman" w:hAnsi="Times New Roman" w:cs="Times New Roman"/>
          <w:szCs w:val="24"/>
        </w:rPr>
        <w:t xml:space="preserve">Poistenie znalca (tlmočníka alebo prekladateľa) je jednou z podmienok začatia výkonu ich činnosti. </w:t>
      </w:r>
      <w:r w:rsidRPr="004854AB" w:rsidR="005B4019">
        <w:rPr>
          <w:rFonts w:ascii="Times New Roman" w:hAnsi="Times New Roman" w:cs="Times New Roman"/>
          <w:szCs w:val="24"/>
        </w:rPr>
        <w:t>Zákon ustanovuje pevnou sumou výšku poisteného plnenia. Keďže v dôsledku použitia matematického zaokrúhľovania by mohlo teoreticky dôjsť</w:t>
      </w:r>
      <w:r w:rsidR="00530EDA">
        <w:rPr>
          <w:rFonts w:ascii="Times New Roman" w:hAnsi="Times New Roman" w:cs="Times New Roman"/>
          <w:szCs w:val="24"/>
        </w:rPr>
        <w:t xml:space="preserve"> k tomu</w:t>
      </w:r>
      <w:r w:rsidRPr="004854AB" w:rsidR="005B4019">
        <w:rPr>
          <w:rFonts w:ascii="Times New Roman" w:hAnsi="Times New Roman" w:cs="Times New Roman"/>
          <w:szCs w:val="24"/>
        </w:rPr>
        <w:t>, že poistná suma vyjadrená pôvodne v slovenskej mene bude </w:t>
      </w:r>
      <w:r w:rsidRPr="004854AB" w:rsidR="005B4019">
        <w:rPr>
          <w:rFonts w:ascii="Times New Roman" w:hAnsi="Times New Roman" w:cs="Times New Roman"/>
          <w:i/>
          <w:szCs w:val="24"/>
        </w:rPr>
        <w:t>de facto</w:t>
      </w:r>
      <w:r w:rsidRPr="004854AB" w:rsidR="005B4019">
        <w:rPr>
          <w:rFonts w:ascii="Times New Roman" w:hAnsi="Times New Roman" w:cs="Times New Roman"/>
          <w:szCs w:val="24"/>
        </w:rPr>
        <w:t xml:space="preserve"> nižšia, navrhuje sa zaokrúhlenie tejto sumy priamo v zákone, a to smerom nadol na najbližší eurocent. Predíde sa tak prípadným výkladovým nezrovnalostiam a naplní sa požiadavka definovaná generálnym zákonom na nemennosť už existujúcich právnych vzťahov</w:t>
      </w:r>
      <w:r w:rsidR="00C21BBB">
        <w:rPr>
          <w:rFonts w:ascii="Times New Roman" w:hAnsi="Times New Roman" w:cs="Times New Roman"/>
          <w:szCs w:val="24"/>
        </w:rPr>
        <w:t xml:space="preserve"> (princíp právnej istoty)</w:t>
      </w:r>
      <w:r w:rsidRPr="004854AB" w:rsidR="005B4019">
        <w:rPr>
          <w:rFonts w:ascii="Times New Roman" w:hAnsi="Times New Roman" w:cs="Times New Roman"/>
          <w:szCs w:val="24"/>
        </w:rPr>
        <w:t xml:space="preserve">. </w:t>
      </w:r>
      <w:r w:rsidR="00925FA0">
        <w:rPr>
          <w:rFonts w:ascii="Times New Roman" w:hAnsi="Times New Roman" w:cs="Times New Roman"/>
          <w:szCs w:val="24"/>
        </w:rPr>
        <w:t xml:space="preserve">Súčasne sa tak posilňuje princíp právnej istoty a nemennosti právnych vzťahov, ktoré vznikli pred zavedením eura v Slovenskej republike. Ide teda o odchýlenie od </w:t>
      </w:r>
      <w:r w:rsidR="003C5BEE">
        <w:rPr>
          <w:rFonts w:ascii="Times New Roman" w:hAnsi="Times New Roman" w:cs="Times New Roman"/>
          <w:szCs w:val="24"/>
        </w:rPr>
        <w:t>princípov</w:t>
      </w:r>
      <w:r w:rsidR="00925FA0">
        <w:rPr>
          <w:rFonts w:ascii="Times New Roman" w:hAnsi="Times New Roman" w:cs="Times New Roman"/>
          <w:szCs w:val="24"/>
        </w:rPr>
        <w:t xml:space="preserve"> generálneho zákona (matematické zaokrúhľovanie), ale súčasne poukazujeme na to, že navrhovaný spôsob zaokrúhlenia je výlučne na prospech </w:t>
      </w:r>
      <w:r w:rsidR="003C5BEE">
        <w:rPr>
          <w:rFonts w:ascii="Times New Roman" w:hAnsi="Times New Roman" w:cs="Times New Roman"/>
          <w:szCs w:val="24"/>
        </w:rPr>
        <w:t>dotknutých</w:t>
      </w:r>
      <w:r w:rsidR="00925FA0">
        <w:rPr>
          <w:rFonts w:ascii="Times New Roman" w:hAnsi="Times New Roman" w:cs="Times New Roman"/>
          <w:szCs w:val="24"/>
        </w:rPr>
        <w:t xml:space="preserve"> osôb a nie je v rozpore z princípom cenovej neutrality vo význame negatívnych dopadov na dotknutú skupinu osôb. </w:t>
      </w:r>
    </w:p>
    <w:p w:rsidR="00430546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1325E7" w:rsidRPr="004854AB" w:rsidP="0079546F">
      <w:pPr>
        <w:jc w:val="both"/>
        <w:rPr>
          <w:rFonts w:ascii="Times New Roman" w:hAnsi="Times New Roman" w:cs="Times New Roman"/>
          <w:szCs w:val="24"/>
          <w:u w:val="single"/>
        </w:rPr>
      </w:pPr>
      <w:r w:rsidRPr="004854AB">
        <w:rPr>
          <w:rFonts w:ascii="Times New Roman" w:hAnsi="Times New Roman" w:cs="Times New Roman"/>
          <w:szCs w:val="24"/>
          <w:u w:val="single"/>
        </w:rPr>
        <w:t xml:space="preserve">K bodom 2, 3 a 4 </w:t>
      </w:r>
    </w:p>
    <w:p w:rsidR="001325E7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6D45FA" w:rsidRPr="00B05571" w:rsidP="006D45FA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05571">
        <w:rPr>
          <w:rFonts w:ascii="Times New Roman" w:hAnsi="Times New Roman" w:cs="Times New Roman"/>
          <w:szCs w:val="24"/>
        </w:rPr>
        <w:t>Vo všeobecnosti možno konštatovať, že zavedenie meny euro v Slovenskej republik</w:t>
      </w:r>
      <w:r w:rsidR="00213E79">
        <w:rPr>
          <w:rFonts w:ascii="Times New Roman" w:hAnsi="Times New Roman" w:cs="Times New Roman"/>
          <w:szCs w:val="24"/>
        </w:rPr>
        <w:t>e</w:t>
      </w:r>
      <w:r w:rsidRPr="00B05571">
        <w:rPr>
          <w:rFonts w:ascii="Times New Roman" w:hAnsi="Times New Roman" w:cs="Times New Roman"/>
          <w:szCs w:val="24"/>
        </w:rPr>
        <w:t xml:space="preserve"> nie je relevantným titulom na akékoľvek sprísňovanie zákonnej právnej úpravy vo význame zvyšovania dolnej alebo hornej sadzby sankcie peňažného charakteru</w:t>
      </w:r>
      <w:r w:rsidR="009D67C3">
        <w:rPr>
          <w:rFonts w:ascii="Times New Roman" w:hAnsi="Times New Roman" w:cs="Times New Roman"/>
          <w:szCs w:val="24"/>
        </w:rPr>
        <w:t>, čo by mohlo priniesť uplatnenie výlučne matematického zaokrúhľovania</w:t>
      </w:r>
      <w:r w:rsidRPr="00B05571">
        <w:rPr>
          <w:rFonts w:ascii="Times New Roman" w:hAnsi="Times New Roman" w:cs="Times New Roman"/>
          <w:szCs w:val="24"/>
        </w:rPr>
        <w:t>.</w:t>
      </w:r>
      <w:r w:rsidR="005270D6">
        <w:rPr>
          <w:rFonts w:ascii="Times New Roman" w:hAnsi="Times New Roman" w:cs="Times New Roman"/>
          <w:szCs w:val="24"/>
        </w:rPr>
        <w:t xml:space="preserve"> Preto sa v intenciách </w:t>
      </w:r>
      <w:r w:rsidR="00D66F35">
        <w:rPr>
          <w:rFonts w:ascii="Times New Roman" w:hAnsi="Times New Roman" w:cs="Times New Roman"/>
          <w:szCs w:val="24"/>
        </w:rPr>
        <w:t>generálneho</w:t>
      </w:r>
      <w:r w:rsidR="005270D6">
        <w:rPr>
          <w:rFonts w:ascii="Times New Roman" w:hAnsi="Times New Roman" w:cs="Times New Roman"/>
          <w:szCs w:val="24"/>
        </w:rPr>
        <w:t xml:space="preserve"> zákona osobitným zákon zavádza odlišný postup konverzie pokút.</w:t>
      </w:r>
      <w:r w:rsidRPr="00B05571">
        <w:rPr>
          <w:rFonts w:ascii="Times New Roman" w:hAnsi="Times New Roman" w:cs="Times New Roman"/>
          <w:szCs w:val="24"/>
        </w:rPr>
        <w:t xml:space="preserve"> Z uvedeného dôvodu preto Ministerstvo spravodlivosti Slovenskej republiky považuje za jediný vhodný spôsob konverzie sankcií peňažného charakteru ich výsledným zaokrúhlením smerom nadol. Pokuty v novelizovanom zákone sú vyjadrené minimálnou a maximálnou výškou, resp. dolnou a hornou sadzbou, pričom tento model zostáva zachovaný. Prepočet pokút vyjadrených v platnom znení zákona v slovenskej mene na menu euro sa navrhuje vykonať spôsobom, kedy sa výsledné sumy po prepočítaním konverzným zaokrúhlia na celé desiatky eur smerom nadol</w:t>
      </w:r>
      <w:r w:rsidR="00615F1C">
        <w:rPr>
          <w:rFonts w:ascii="Times New Roman" w:hAnsi="Times New Roman" w:cs="Times New Roman"/>
          <w:szCs w:val="24"/>
        </w:rPr>
        <w:t>, keďže nie je žiaduce, aby právny predpis obsahoval rozpätie peňažných sankcií vyjadrené v desatinných číslach. Čo je však dôležité, takto zvolená konštrukcia zaokrúhlenia bude vždy na prospech dotknutých osôb.</w:t>
      </w:r>
      <w:r w:rsidRPr="00B05571">
        <w:rPr>
          <w:rFonts w:ascii="Times New Roman" w:hAnsi="Times New Roman" w:cs="Times New Roman"/>
          <w:szCs w:val="24"/>
        </w:rPr>
        <w:t xml:space="preserve"> V rámci praktickej aplikácie zákona sú pokuty ukladané len výnimočne na hornej hranici sadzby – z uvedeného dôvodu sa teda javí zaokrúhlenie výsledných súm na celé desiatky eur smerom na</w:t>
      </w:r>
      <w:r w:rsidR="00F731F4">
        <w:rPr>
          <w:rFonts w:ascii="Times New Roman" w:hAnsi="Times New Roman" w:cs="Times New Roman"/>
          <w:szCs w:val="24"/>
        </w:rPr>
        <w:t>dol</w:t>
      </w:r>
      <w:r w:rsidRPr="00B05571">
        <w:rPr>
          <w:rFonts w:ascii="Times New Roman" w:hAnsi="Times New Roman" w:cs="Times New Roman"/>
          <w:szCs w:val="24"/>
        </w:rPr>
        <w:t xml:space="preserve"> ako optimálne riešenie, keďže výsledná suma pokuty, ktorá bude uložená je výsledkom posúdenia viacerých kritérií hmotnoprávnej povahy (závažnosť protizákonného konania, intenzita konania, osoba páchateľa a pod.), ktoré realizuje príslušný správny orgán v rámci rozhodovania o pokute. Súčasne platí, že takto vyjadrené sankcie budú vyjadrené v celých číslach. </w:t>
      </w:r>
      <w:r w:rsidR="00425E29">
        <w:rPr>
          <w:rFonts w:ascii="Times New Roman" w:hAnsi="Times New Roman" w:cs="Times New Roman"/>
          <w:szCs w:val="24"/>
        </w:rPr>
        <w:t xml:space="preserve">K tomu pozri tiež bod 1 doložky vplyvov. </w:t>
      </w:r>
    </w:p>
    <w:p w:rsidR="00034BB5" w:rsidP="0079546F">
      <w:pPr>
        <w:jc w:val="both"/>
        <w:rPr>
          <w:rFonts w:ascii="Times New Roman" w:hAnsi="Times New Roman" w:cs="Times New Roman"/>
          <w:szCs w:val="24"/>
        </w:rPr>
      </w:pPr>
    </w:p>
    <w:p w:rsidR="00696CAB" w:rsidRPr="004854AB" w:rsidP="0079546F">
      <w:pPr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b/>
          <w:szCs w:val="24"/>
        </w:rPr>
        <w:t>K Čl. I</w:t>
      </w:r>
      <w:r w:rsidR="00133396">
        <w:rPr>
          <w:rFonts w:ascii="Times New Roman" w:hAnsi="Times New Roman" w:cs="Times New Roman"/>
          <w:b/>
          <w:szCs w:val="24"/>
        </w:rPr>
        <w:t>V</w:t>
      </w:r>
    </w:p>
    <w:p w:rsidR="00BF27CD" w:rsidRPr="004854AB" w:rsidP="0079546F">
      <w:pPr>
        <w:jc w:val="both"/>
        <w:rPr>
          <w:rFonts w:ascii="Times New Roman" w:hAnsi="Times New Roman" w:cs="Times New Roman"/>
          <w:szCs w:val="24"/>
        </w:rPr>
      </w:pPr>
    </w:p>
    <w:p w:rsidR="00BF27CD" w:rsidP="00F232D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854AB">
        <w:rPr>
          <w:rFonts w:ascii="Times New Roman" w:hAnsi="Times New Roman" w:cs="Times New Roman"/>
          <w:szCs w:val="24"/>
        </w:rPr>
        <w:t xml:space="preserve">Účinnosť </w:t>
      </w:r>
      <w:r w:rsidRPr="004854AB" w:rsidR="0032045F">
        <w:rPr>
          <w:rFonts w:ascii="Times New Roman" w:hAnsi="Times New Roman" w:cs="Times New Roman"/>
          <w:szCs w:val="24"/>
        </w:rPr>
        <w:t>uvádzaných</w:t>
      </w:r>
      <w:r w:rsidRPr="004854AB">
        <w:rPr>
          <w:rFonts w:ascii="Times New Roman" w:hAnsi="Times New Roman" w:cs="Times New Roman"/>
          <w:szCs w:val="24"/>
        </w:rPr>
        <w:t xml:space="preserve"> zmien sa n</w:t>
      </w:r>
      <w:r w:rsidRPr="004854AB" w:rsidR="00F232D5">
        <w:rPr>
          <w:rFonts w:ascii="Times New Roman" w:hAnsi="Times New Roman" w:cs="Times New Roman"/>
          <w:szCs w:val="24"/>
        </w:rPr>
        <w:t>a</w:t>
      </w:r>
      <w:r w:rsidRPr="004854AB">
        <w:rPr>
          <w:rFonts w:ascii="Times New Roman" w:hAnsi="Times New Roman" w:cs="Times New Roman"/>
          <w:szCs w:val="24"/>
        </w:rPr>
        <w:t xml:space="preserve">vrhuje </w:t>
      </w:r>
      <w:r w:rsidR="00220262">
        <w:rPr>
          <w:rFonts w:ascii="Times New Roman" w:hAnsi="Times New Roman" w:cs="Times New Roman"/>
          <w:szCs w:val="24"/>
        </w:rPr>
        <w:t>od 1. januára 2009</w:t>
      </w:r>
      <w:r w:rsidR="00A97A4A">
        <w:rPr>
          <w:rFonts w:ascii="Times New Roman" w:hAnsi="Times New Roman" w:cs="Times New Roman"/>
          <w:szCs w:val="24"/>
        </w:rPr>
        <w:t>, t.j.</w:t>
      </w:r>
      <w:r w:rsidRPr="00220262" w:rsidR="00220262">
        <w:rPr>
          <w:rFonts w:ascii="Times New Roman" w:hAnsi="Times New Roman" w:cs="Times New Roman"/>
          <w:szCs w:val="24"/>
        </w:rPr>
        <w:t xml:space="preserve"> </w:t>
      </w:r>
      <w:r w:rsidRPr="004854AB" w:rsidR="00220262">
        <w:rPr>
          <w:rFonts w:ascii="Times New Roman" w:hAnsi="Times New Roman" w:cs="Times New Roman"/>
          <w:szCs w:val="24"/>
        </w:rPr>
        <w:t>odo dňa zavedenia me</w:t>
      </w:r>
      <w:r w:rsidR="00220262">
        <w:rPr>
          <w:rFonts w:ascii="Times New Roman" w:hAnsi="Times New Roman" w:cs="Times New Roman"/>
          <w:szCs w:val="24"/>
        </w:rPr>
        <w:t>ny euro v Slovenskej republike</w:t>
      </w:r>
      <w:r w:rsidR="00A97A4A">
        <w:rPr>
          <w:rFonts w:ascii="Times New Roman" w:hAnsi="Times New Roman" w:cs="Times New Roman"/>
          <w:szCs w:val="24"/>
        </w:rPr>
        <w:t>.</w:t>
      </w:r>
    </w:p>
    <w:p w:rsidR="00C451C2" w:rsidP="00C451C2">
      <w:pPr>
        <w:jc w:val="both"/>
        <w:rPr>
          <w:rFonts w:ascii="Times New Roman" w:hAnsi="Times New Roman" w:cs="Times New Roman"/>
          <w:szCs w:val="24"/>
        </w:rPr>
      </w:pPr>
    </w:p>
    <w:p w:rsidR="00C451C2" w:rsidP="00C451C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Bratislave, 2</w:t>
      </w:r>
      <w:r w:rsidR="00A16B9A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. augusta 2008 </w:t>
      </w:r>
    </w:p>
    <w:p w:rsidR="00BA2438" w:rsidP="00C451C2">
      <w:pPr>
        <w:jc w:val="both"/>
        <w:rPr>
          <w:rFonts w:ascii="Times New Roman" w:hAnsi="Times New Roman" w:cs="Times New Roman"/>
          <w:szCs w:val="24"/>
        </w:rPr>
      </w:pPr>
    </w:p>
    <w:p w:rsidR="00C80973" w:rsidP="00C451C2">
      <w:pPr>
        <w:jc w:val="both"/>
        <w:rPr>
          <w:rFonts w:ascii="Times New Roman" w:hAnsi="Times New Roman" w:cs="Times New Roman"/>
          <w:szCs w:val="24"/>
        </w:rPr>
      </w:pPr>
    </w:p>
    <w:p w:rsidR="00C80973" w:rsidP="00C451C2">
      <w:pPr>
        <w:jc w:val="both"/>
        <w:rPr>
          <w:rFonts w:ascii="Times New Roman" w:hAnsi="Times New Roman" w:cs="Times New Roman"/>
          <w:szCs w:val="24"/>
        </w:rPr>
      </w:pPr>
    </w:p>
    <w:p w:rsidR="00954FEB" w:rsidP="00076C44">
      <w:pPr>
        <w:jc w:val="center"/>
        <w:rPr>
          <w:rFonts w:ascii="Times New Roman" w:hAnsi="Times New Roman" w:cs="Times New Roman"/>
          <w:szCs w:val="24"/>
        </w:rPr>
      </w:pPr>
      <w:r w:rsidR="00076C44">
        <w:rPr>
          <w:rFonts w:ascii="Times New Roman" w:hAnsi="Times New Roman" w:cs="Times New Roman"/>
          <w:szCs w:val="24"/>
        </w:rPr>
        <w:t>Robert   F i c o, v.r.</w:t>
      </w:r>
    </w:p>
    <w:p w:rsidR="002120F5" w:rsidRPr="00B200D1" w:rsidP="00C80973">
      <w:pPr>
        <w:jc w:val="center"/>
        <w:rPr>
          <w:rFonts w:ascii="Times New Roman" w:hAnsi="Times New Roman" w:cs="Times New Roman"/>
          <w:szCs w:val="24"/>
        </w:rPr>
      </w:pPr>
      <w:r w:rsidRPr="00B200D1" w:rsidR="00C80973">
        <w:rPr>
          <w:rFonts w:ascii="Times New Roman" w:hAnsi="Times New Roman" w:cs="Times New Roman"/>
          <w:szCs w:val="24"/>
        </w:rPr>
        <w:t xml:space="preserve">predseda vlády </w:t>
      </w:r>
    </w:p>
    <w:p w:rsidR="00BA2438" w:rsidRPr="00B200D1" w:rsidP="00C80973">
      <w:pPr>
        <w:jc w:val="center"/>
        <w:rPr>
          <w:rFonts w:ascii="Times New Roman" w:hAnsi="Times New Roman" w:cs="Times New Roman"/>
          <w:szCs w:val="24"/>
        </w:rPr>
      </w:pPr>
      <w:r w:rsidRPr="00B200D1" w:rsidR="00C80973">
        <w:rPr>
          <w:rFonts w:ascii="Times New Roman" w:hAnsi="Times New Roman" w:cs="Times New Roman"/>
          <w:szCs w:val="24"/>
        </w:rPr>
        <w:t>Slovenskej republiky</w:t>
      </w:r>
    </w:p>
    <w:p w:rsidR="00C80973" w:rsidRPr="00B200D1" w:rsidP="00C80973">
      <w:pPr>
        <w:jc w:val="center"/>
        <w:rPr>
          <w:rFonts w:ascii="Times New Roman" w:hAnsi="Times New Roman" w:cs="Times New Roman"/>
          <w:szCs w:val="24"/>
        </w:rPr>
      </w:pPr>
    </w:p>
    <w:p w:rsidR="00C80973" w:rsidP="00015C4C">
      <w:pPr>
        <w:jc w:val="right"/>
        <w:rPr>
          <w:rFonts w:ascii="Times New Roman" w:hAnsi="Times New Roman" w:cs="Times New Roman"/>
          <w:szCs w:val="24"/>
        </w:rPr>
      </w:pPr>
    </w:p>
    <w:p w:rsidR="0050746E" w:rsidP="00C80973">
      <w:pPr>
        <w:jc w:val="center"/>
        <w:rPr>
          <w:rFonts w:ascii="Times New Roman" w:hAnsi="Times New Roman" w:cs="Times New Roman"/>
          <w:szCs w:val="24"/>
        </w:rPr>
      </w:pPr>
    </w:p>
    <w:p w:rsidR="0050746E" w:rsidRPr="00B200D1" w:rsidP="00C80973">
      <w:pPr>
        <w:jc w:val="center"/>
        <w:rPr>
          <w:rFonts w:ascii="Times New Roman" w:hAnsi="Times New Roman" w:cs="Times New Roman"/>
          <w:szCs w:val="24"/>
        </w:rPr>
      </w:pPr>
    </w:p>
    <w:p w:rsidR="00C80973" w:rsidRPr="00B200D1" w:rsidP="00C80973">
      <w:pPr>
        <w:jc w:val="center"/>
        <w:rPr>
          <w:rFonts w:ascii="Times New Roman" w:hAnsi="Times New Roman" w:cs="Times New Roman"/>
          <w:szCs w:val="24"/>
        </w:rPr>
      </w:pPr>
    </w:p>
    <w:p w:rsidR="00C80973" w:rsidRPr="00B200D1" w:rsidP="00C80973">
      <w:pPr>
        <w:jc w:val="center"/>
        <w:rPr>
          <w:rFonts w:ascii="Times New Roman" w:hAnsi="Times New Roman" w:cs="Times New Roman"/>
          <w:szCs w:val="24"/>
        </w:rPr>
      </w:pPr>
      <w:r w:rsidR="00076C44">
        <w:rPr>
          <w:rFonts w:ascii="Times New Roman" w:hAnsi="Times New Roman" w:cs="Times New Roman"/>
          <w:szCs w:val="24"/>
        </w:rPr>
        <w:t>Štefan   H a r a b i n, v.r.</w:t>
      </w:r>
    </w:p>
    <w:p w:rsidR="002120F5" w:rsidRPr="00B200D1" w:rsidP="00C80973">
      <w:pPr>
        <w:jc w:val="center"/>
        <w:rPr>
          <w:rFonts w:ascii="Times New Roman" w:hAnsi="Times New Roman" w:cs="Times New Roman"/>
          <w:szCs w:val="24"/>
        </w:rPr>
      </w:pPr>
      <w:r w:rsidRPr="00B200D1" w:rsidR="00C80973">
        <w:rPr>
          <w:rFonts w:ascii="Times New Roman" w:hAnsi="Times New Roman" w:cs="Times New Roman"/>
          <w:szCs w:val="24"/>
        </w:rPr>
        <w:t xml:space="preserve">podpredseda vlády </w:t>
      </w:r>
    </w:p>
    <w:p w:rsidR="002120F5" w:rsidRPr="00B200D1" w:rsidP="00C80973">
      <w:pPr>
        <w:jc w:val="center"/>
        <w:rPr>
          <w:rFonts w:ascii="Times New Roman" w:hAnsi="Times New Roman" w:cs="Times New Roman"/>
          <w:szCs w:val="24"/>
        </w:rPr>
      </w:pPr>
      <w:r w:rsidRPr="00B200D1" w:rsidR="00C80973">
        <w:rPr>
          <w:rFonts w:ascii="Times New Roman" w:hAnsi="Times New Roman" w:cs="Times New Roman"/>
          <w:szCs w:val="24"/>
        </w:rPr>
        <w:t xml:space="preserve">a minister spravodlivosti </w:t>
      </w:r>
    </w:p>
    <w:p w:rsidR="00BA2438" w:rsidRPr="00B200D1" w:rsidP="002120F5">
      <w:pPr>
        <w:jc w:val="center"/>
        <w:rPr>
          <w:rFonts w:ascii="Times New Roman" w:hAnsi="Times New Roman" w:cs="Times New Roman"/>
          <w:szCs w:val="24"/>
        </w:rPr>
      </w:pPr>
      <w:r w:rsidRPr="00B200D1" w:rsidR="00C80973">
        <w:rPr>
          <w:rFonts w:ascii="Times New Roman" w:hAnsi="Times New Roman" w:cs="Times New Roman"/>
          <w:szCs w:val="24"/>
        </w:rPr>
        <w:t>Slovenskej republiky</w:t>
      </w:r>
    </w:p>
    <w:sectPr w:rsidSect="00953959">
      <w:footerReference w:type="default" r:id="rId4"/>
      <w:pgSz w:w="11906" w:h="16838"/>
      <w:pgMar w:top="1079" w:right="1417" w:bottom="1258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24" w:rsidP="0079546F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076C44">
      <w:rPr>
        <w:rStyle w:val="PageNumber"/>
        <w:rFonts w:ascii="Times New Roman" w:hAnsi="Times New Roman" w:cs="Times New Roman"/>
        <w:noProof/>
        <w:szCs w:val="24"/>
      </w:rPr>
      <w:t>6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722224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B65"/>
    <w:multiLevelType w:val="multilevel"/>
    <w:tmpl w:val="9A34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C5829"/>
    <w:multiLevelType w:val="hybridMultilevel"/>
    <w:tmpl w:val="391408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E0DDF"/>
    <w:multiLevelType w:val="hybridMultilevel"/>
    <w:tmpl w:val="3AFA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686BB7"/>
    <w:multiLevelType w:val="hybridMultilevel"/>
    <w:tmpl w:val="CD4A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E62398"/>
    <w:multiLevelType w:val="hybridMultilevel"/>
    <w:tmpl w:val="86CA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9871B7"/>
    <w:multiLevelType w:val="hybridMultilevel"/>
    <w:tmpl w:val="B3AC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72BE2"/>
    <w:multiLevelType w:val="hybridMultilevel"/>
    <w:tmpl w:val="81F0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F012D3"/>
    <w:multiLevelType w:val="hybridMultilevel"/>
    <w:tmpl w:val="9BD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066962"/>
    <w:multiLevelType w:val="hybridMultilevel"/>
    <w:tmpl w:val="9A34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FA2A1E"/>
    <w:multiLevelType w:val="hybridMultilevel"/>
    <w:tmpl w:val="E160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5B2D1F"/>
    <w:multiLevelType w:val="multilevel"/>
    <w:tmpl w:val="86CA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B5281D"/>
    <w:multiLevelType w:val="hybridMultilevel"/>
    <w:tmpl w:val="E50E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35078F"/>
    <w:multiLevelType w:val="hybridMultilevel"/>
    <w:tmpl w:val="78140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81671A"/>
    <w:multiLevelType w:val="hybridMultilevel"/>
    <w:tmpl w:val="3AA43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3B419B"/>
    <w:multiLevelType w:val="hybridMultilevel"/>
    <w:tmpl w:val="57C221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"/>
  </w:num>
  <w:num w:numId="5">
    <w:abstractNumId w:val="6"/>
  </w:num>
  <w:num w:numId="6">
    <w:abstractNumId w:val="15"/>
  </w:num>
  <w:num w:numId="7">
    <w:abstractNumId w:val="8"/>
  </w:num>
  <w:num w:numId="8">
    <w:abstractNumId w:val="0"/>
  </w:num>
  <w:num w:numId="9">
    <w:abstractNumId w:val="4"/>
  </w:num>
  <w:num w:numId="10">
    <w:abstractNumId w:val="12"/>
  </w:num>
  <w:num w:numId="11">
    <w:abstractNumId w:val="5"/>
  </w:num>
  <w:num w:numId="12">
    <w:abstractNumId w:val="16"/>
  </w:num>
  <w:num w:numId="13">
    <w:abstractNumId w:val="13"/>
  </w:num>
  <w:num w:numId="14">
    <w:abstractNumId w:val="3"/>
  </w:num>
  <w:num w:numId="15">
    <w:abstractNumId w:val="7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79546F"/>
    <w:rsid w:val="00002E1B"/>
    <w:rsid w:val="00007639"/>
    <w:rsid w:val="00015C4C"/>
    <w:rsid w:val="00033373"/>
    <w:rsid w:val="00034BB5"/>
    <w:rsid w:val="000434EF"/>
    <w:rsid w:val="0004383E"/>
    <w:rsid w:val="00046AE4"/>
    <w:rsid w:val="000501DF"/>
    <w:rsid w:val="00076C44"/>
    <w:rsid w:val="000B6924"/>
    <w:rsid w:val="000C5860"/>
    <w:rsid w:val="000C66B0"/>
    <w:rsid w:val="000F3FE0"/>
    <w:rsid w:val="00101C5A"/>
    <w:rsid w:val="001159B8"/>
    <w:rsid w:val="001325E7"/>
    <w:rsid w:val="00133396"/>
    <w:rsid w:val="00140B1E"/>
    <w:rsid w:val="00161CAC"/>
    <w:rsid w:val="00161D6C"/>
    <w:rsid w:val="001744E3"/>
    <w:rsid w:val="001755EA"/>
    <w:rsid w:val="001767D5"/>
    <w:rsid w:val="001805D8"/>
    <w:rsid w:val="00187A23"/>
    <w:rsid w:val="001911E4"/>
    <w:rsid w:val="00196EAC"/>
    <w:rsid w:val="001A4695"/>
    <w:rsid w:val="001B0920"/>
    <w:rsid w:val="001B2592"/>
    <w:rsid w:val="001B39D4"/>
    <w:rsid w:val="001B53A6"/>
    <w:rsid w:val="001C74FE"/>
    <w:rsid w:val="001D089E"/>
    <w:rsid w:val="001D0FD9"/>
    <w:rsid w:val="001D4BCC"/>
    <w:rsid w:val="001F17BA"/>
    <w:rsid w:val="001F5DFC"/>
    <w:rsid w:val="001F6760"/>
    <w:rsid w:val="002035A9"/>
    <w:rsid w:val="002120F5"/>
    <w:rsid w:val="00213E79"/>
    <w:rsid w:val="0021556B"/>
    <w:rsid w:val="00220262"/>
    <w:rsid w:val="00225F7B"/>
    <w:rsid w:val="002342AF"/>
    <w:rsid w:val="00247FE3"/>
    <w:rsid w:val="00252A8E"/>
    <w:rsid w:val="00264A59"/>
    <w:rsid w:val="002661BD"/>
    <w:rsid w:val="0026757C"/>
    <w:rsid w:val="0027100E"/>
    <w:rsid w:val="00272789"/>
    <w:rsid w:val="002840B5"/>
    <w:rsid w:val="002C7F0F"/>
    <w:rsid w:val="002E5C34"/>
    <w:rsid w:val="002F3A5C"/>
    <w:rsid w:val="00300CB2"/>
    <w:rsid w:val="003167A9"/>
    <w:rsid w:val="0032045F"/>
    <w:rsid w:val="0032700C"/>
    <w:rsid w:val="00343A27"/>
    <w:rsid w:val="00347DEE"/>
    <w:rsid w:val="00356DF8"/>
    <w:rsid w:val="0036583E"/>
    <w:rsid w:val="003B3DB0"/>
    <w:rsid w:val="003C21C2"/>
    <w:rsid w:val="003C5BEE"/>
    <w:rsid w:val="003D15D0"/>
    <w:rsid w:val="003E4591"/>
    <w:rsid w:val="003F09E2"/>
    <w:rsid w:val="003F33AE"/>
    <w:rsid w:val="00401C59"/>
    <w:rsid w:val="00414651"/>
    <w:rsid w:val="0042015D"/>
    <w:rsid w:val="00421596"/>
    <w:rsid w:val="00425E29"/>
    <w:rsid w:val="00430546"/>
    <w:rsid w:val="00434517"/>
    <w:rsid w:val="00473EB6"/>
    <w:rsid w:val="004822E8"/>
    <w:rsid w:val="004854AB"/>
    <w:rsid w:val="004B1DFA"/>
    <w:rsid w:val="004C1B49"/>
    <w:rsid w:val="004D303A"/>
    <w:rsid w:val="004D4B9E"/>
    <w:rsid w:val="004F104C"/>
    <w:rsid w:val="0050746E"/>
    <w:rsid w:val="005270D6"/>
    <w:rsid w:val="00530EDA"/>
    <w:rsid w:val="005332B9"/>
    <w:rsid w:val="00535C39"/>
    <w:rsid w:val="005458D1"/>
    <w:rsid w:val="00554E20"/>
    <w:rsid w:val="005575A4"/>
    <w:rsid w:val="00560063"/>
    <w:rsid w:val="00566810"/>
    <w:rsid w:val="005701D9"/>
    <w:rsid w:val="00570660"/>
    <w:rsid w:val="005967A2"/>
    <w:rsid w:val="005970C6"/>
    <w:rsid w:val="005A6A6C"/>
    <w:rsid w:val="005B4019"/>
    <w:rsid w:val="005C6773"/>
    <w:rsid w:val="005D10D0"/>
    <w:rsid w:val="005E2980"/>
    <w:rsid w:val="005F4A8B"/>
    <w:rsid w:val="006055BD"/>
    <w:rsid w:val="00615F1C"/>
    <w:rsid w:val="00627DCA"/>
    <w:rsid w:val="006333E1"/>
    <w:rsid w:val="00661235"/>
    <w:rsid w:val="00680F72"/>
    <w:rsid w:val="00684969"/>
    <w:rsid w:val="00686098"/>
    <w:rsid w:val="00696CAB"/>
    <w:rsid w:val="006A3C5C"/>
    <w:rsid w:val="006B0267"/>
    <w:rsid w:val="006C77EC"/>
    <w:rsid w:val="006D45FA"/>
    <w:rsid w:val="006D518E"/>
    <w:rsid w:val="006E47F3"/>
    <w:rsid w:val="006E48EA"/>
    <w:rsid w:val="007059FC"/>
    <w:rsid w:val="007152F1"/>
    <w:rsid w:val="00722224"/>
    <w:rsid w:val="00722594"/>
    <w:rsid w:val="00732542"/>
    <w:rsid w:val="00747F7D"/>
    <w:rsid w:val="00754B58"/>
    <w:rsid w:val="0079546F"/>
    <w:rsid w:val="007A1366"/>
    <w:rsid w:val="007B0307"/>
    <w:rsid w:val="007B2335"/>
    <w:rsid w:val="007B5E8D"/>
    <w:rsid w:val="007C1751"/>
    <w:rsid w:val="007D03A3"/>
    <w:rsid w:val="007E0EB1"/>
    <w:rsid w:val="007F01DE"/>
    <w:rsid w:val="007F5D6E"/>
    <w:rsid w:val="007F6EC6"/>
    <w:rsid w:val="0080493E"/>
    <w:rsid w:val="00816CA9"/>
    <w:rsid w:val="00850240"/>
    <w:rsid w:val="008506AD"/>
    <w:rsid w:val="00850EE8"/>
    <w:rsid w:val="008621C3"/>
    <w:rsid w:val="00862D76"/>
    <w:rsid w:val="0087124B"/>
    <w:rsid w:val="008941E5"/>
    <w:rsid w:val="008A545B"/>
    <w:rsid w:val="008B3B1A"/>
    <w:rsid w:val="008B68AB"/>
    <w:rsid w:val="008D1D1E"/>
    <w:rsid w:val="008F30D6"/>
    <w:rsid w:val="00906C79"/>
    <w:rsid w:val="00925FA0"/>
    <w:rsid w:val="0093101F"/>
    <w:rsid w:val="0093275C"/>
    <w:rsid w:val="00934824"/>
    <w:rsid w:val="009348E8"/>
    <w:rsid w:val="00953959"/>
    <w:rsid w:val="00954FEB"/>
    <w:rsid w:val="00960562"/>
    <w:rsid w:val="009621B2"/>
    <w:rsid w:val="00974958"/>
    <w:rsid w:val="00983AD9"/>
    <w:rsid w:val="00984CB7"/>
    <w:rsid w:val="009930D4"/>
    <w:rsid w:val="009B3CA9"/>
    <w:rsid w:val="009B6250"/>
    <w:rsid w:val="009D67C3"/>
    <w:rsid w:val="009E04B8"/>
    <w:rsid w:val="00A01C9F"/>
    <w:rsid w:val="00A16B9A"/>
    <w:rsid w:val="00A3656E"/>
    <w:rsid w:val="00A418B4"/>
    <w:rsid w:val="00A47170"/>
    <w:rsid w:val="00A61797"/>
    <w:rsid w:val="00A65DA2"/>
    <w:rsid w:val="00A75BBA"/>
    <w:rsid w:val="00A8497A"/>
    <w:rsid w:val="00A854C8"/>
    <w:rsid w:val="00A92AC9"/>
    <w:rsid w:val="00A97A4A"/>
    <w:rsid w:val="00AA6A53"/>
    <w:rsid w:val="00AB50F7"/>
    <w:rsid w:val="00AC53F7"/>
    <w:rsid w:val="00AE0057"/>
    <w:rsid w:val="00AE1995"/>
    <w:rsid w:val="00AE20E9"/>
    <w:rsid w:val="00AF7163"/>
    <w:rsid w:val="00B03608"/>
    <w:rsid w:val="00B05571"/>
    <w:rsid w:val="00B200D1"/>
    <w:rsid w:val="00B307AC"/>
    <w:rsid w:val="00B37B99"/>
    <w:rsid w:val="00B40B70"/>
    <w:rsid w:val="00B4235F"/>
    <w:rsid w:val="00B53135"/>
    <w:rsid w:val="00B53E18"/>
    <w:rsid w:val="00B64970"/>
    <w:rsid w:val="00B6513E"/>
    <w:rsid w:val="00B67D55"/>
    <w:rsid w:val="00B8266B"/>
    <w:rsid w:val="00B83264"/>
    <w:rsid w:val="00BA2438"/>
    <w:rsid w:val="00BD3F02"/>
    <w:rsid w:val="00BD7FCC"/>
    <w:rsid w:val="00BF27CD"/>
    <w:rsid w:val="00BF361F"/>
    <w:rsid w:val="00C1082A"/>
    <w:rsid w:val="00C21BBB"/>
    <w:rsid w:val="00C451C2"/>
    <w:rsid w:val="00C455A9"/>
    <w:rsid w:val="00C46490"/>
    <w:rsid w:val="00C57C2A"/>
    <w:rsid w:val="00C63727"/>
    <w:rsid w:val="00C662F9"/>
    <w:rsid w:val="00C70F25"/>
    <w:rsid w:val="00C76A97"/>
    <w:rsid w:val="00C80973"/>
    <w:rsid w:val="00C8105C"/>
    <w:rsid w:val="00C84A40"/>
    <w:rsid w:val="00CA3EA6"/>
    <w:rsid w:val="00CA5514"/>
    <w:rsid w:val="00CC2A6C"/>
    <w:rsid w:val="00CC50D1"/>
    <w:rsid w:val="00CD0BC7"/>
    <w:rsid w:val="00CE5B5F"/>
    <w:rsid w:val="00CF22C9"/>
    <w:rsid w:val="00CF3F01"/>
    <w:rsid w:val="00D006C4"/>
    <w:rsid w:val="00D06E55"/>
    <w:rsid w:val="00D2348B"/>
    <w:rsid w:val="00D42179"/>
    <w:rsid w:val="00D42A4F"/>
    <w:rsid w:val="00D42BD2"/>
    <w:rsid w:val="00D66F35"/>
    <w:rsid w:val="00D7361F"/>
    <w:rsid w:val="00D9052B"/>
    <w:rsid w:val="00D9354B"/>
    <w:rsid w:val="00DA577A"/>
    <w:rsid w:val="00DC2F83"/>
    <w:rsid w:val="00DE6115"/>
    <w:rsid w:val="00DF2E53"/>
    <w:rsid w:val="00DF5700"/>
    <w:rsid w:val="00E04F42"/>
    <w:rsid w:val="00E05C74"/>
    <w:rsid w:val="00E13675"/>
    <w:rsid w:val="00E30369"/>
    <w:rsid w:val="00E5276C"/>
    <w:rsid w:val="00E6593E"/>
    <w:rsid w:val="00E8090D"/>
    <w:rsid w:val="00E943C0"/>
    <w:rsid w:val="00EC7405"/>
    <w:rsid w:val="00EE3AF1"/>
    <w:rsid w:val="00EF2FFB"/>
    <w:rsid w:val="00EF504C"/>
    <w:rsid w:val="00F101E6"/>
    <w:rsid w:val="00F232D5"/>
    <w:rsid w:val="00F24911"/>
    <w:rsid w:val="00F27B22"/>
    <w:rsid w:val="00F322C9"/>
    <w:rsid w:val="00F469B5"/>
    <w:rsid w:val="00F62179"/>
    <w:rsid w:val="00F62AAD"/>
    <w:rsid w:val="00F72FBA"/>
    <w:rsid w:val="00F731F4"/>
    <w:rsid w:val="00F83E75"/>
    <w:rsid w:val="00F93457"/>
    <w:rsid w:val="00F979D4"/>
    <w:rsid w:val="00FB3F98"/>
    <w:rsid w:val="00FC1C6A"/>
    <w:rsid w:val="00FD04B3"/>
    <w:rsid w:val="00FD24BB"/>
    <w:rsid w:val="00FE33F1"/>
    <w:rsid w:val="00FE5064"/>
    <w:rsid w:val="00FF0D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9546F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styleId="BodyText">
    <w:name w:val="Body Text"/>
    <w:basedOn w:val="Normal"/>
    <w:uiPriority w:val="99"/>
    <w:rsid w:val="0079546F"/>
    <w:pPr>
      <w:jc w:val="both"/>
    </w:pPr>
    <w:rPr>
      <w:lang w:val="cs-CZ" w:eastAsia="cs-CZ"/>
    </w:rPr>
  </w:style>
  <w:style w:type="paragraph" w:styleId="Footer">
    <w:name w:val="footer"/>
    <w:basedOn w:val="Normal"/>
    <w:uiPriority w:val="99"/>
    <w:rsid w:val="0079546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79546F"/>
  </w:style>
  <w:style w:type="table" w:styleId="TableGrid">
    <w:name w:val="Table Grid"/>
    <w:basedOn w:val="TableNormal"/>
    <w:uiPriority w:val="99"/>
    <w:rsid w:val="0079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5C34"/>
    <w:rPr>
      <w:color w:val="808080"/>
    </w:rPr>
  </w:style>
  <w:style w:type="paragraph" w:customStyle="1" w:styleId="CharChar">
    <w:name w:val="Char Char"/>
    <w:basedOn w:val="Normal"/>
    <w:uiPriority w:val="99"/>
    <w:rsid w:val="0021556B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220</TotalTime>
  <Pages>6</Pages>
  <Words>2175</Words>
  <Characters>12401</Characters>
  <Application>Microsoft Office Word</Application>
  <DocSecurity>0</DocSecurity>
  <Lines>0</Lines>
  <Paragraphs>0</Paragraphs>
  <ScaleCrop>false</ScaleCrop>
  <Company>MS SR</Company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juraj.palus</dc:creator>
  <cp:lastModifiedBy>jana.gadosiova</cp:lastModifiedBy>
  <cp:revision>183</cp:revision>
  <cp:lastPrinted>2008-08-20T15:21:00Z</cp:lastPrinted>
  <dcterms:created xsi:type="dcterms:W3CDTF">2008-07-08T13:10:00Z</dcterms:created>
  <dcterms:modified xsi:type="dcterms:W3CDTF">2008-08-21T10:26:00Z</dcterms:modified>
</cp:coreProperties>
</file>