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3E8" w:rsidRPr="004B5FDE">
      <w:pPr>
        <w:shd w:val="clear" w:color="auto" w:fill="FFFFFF"/>
        <w:spacing w:before="523"/>
        <w:ind w:left="5"/>
        <w:jc w:val="center"/>
        <w:rPr>
          <w:szCs w:val="24"/>
          <w:lang w:val="sk-SK"/>
        </w:rPr>
      </w:pPr>
      <w:r w:rsidR="00655664">
        <w:rPr>
          <w:rFonts w:ascii="Times New Roman" w:hAnsi="Times New Roman" w:cs="Times New Roman"/>
          <w:i/>
          <w:smallCaps/>
          <w:color w:val="000000"/>
          <w:spacing w:val="2"/>
          <w:szCs w:val="24"/>
          <w:lang w:val="sk-SK"/>
        </w:rPr>
        <w:t>P</w:t>
      </w:r>
      <w:r w:rsidRPr="004B5FDE">
        <w:rPr>
          <w:rFonts w:ascii="Times New Roman" w:hAnsi="Times New Roman" w:cs="Times New Roman"/>
          <w:i/>
          <w:smallCaps/>
          <w:color w:val="000000"/>
          <w:spacing w:val="2"/>
          <w:szCs w:val="24"/>
          <w:lang w:val="sk-SK"/>
        </w:rPr>
        <w:t xml:space="preserve">ríloha </w:t>
      </w:r>
      <w:r w:rsidR="00CC04DA">
        <w:rPr>
          <w:rFonts w:ascii="Times New Roman" w:hAnsi="Times New Roman" w:cs="Times New Roman"/>
          <w:i/>
          <w:smallCaps/>
          <w:color w:val="000000"/>
          <w:spacing w:val="2"/>
          <w:szCs w:val="24"/>
          <w:lang w:val="sk-SK"/>
        </w:rPr>
        <w:t>2</w:t>
      </w:r>
    </w:p>
    <w:p w:rsidR="005933E8" w:rsidRPr="004B5FDE">
      <w:pPr>
        <w:shd w:val="clear" w:color="auto" w:fill="FFFFFF"/>
        <w:spacing w:before="245" w:line="192" w:lineRule="exact"/>
        <w:ind w:left="10"/>
        <w:jc w:val="center"/>
        <w:rPr>
          <w:szCs w:val="24"/>
          <w:lang w:val="sk-SK"/>
        </w:rPr>
      </w:pPr>
      <w:r w:rsidRPr="004B5FDE">
        <w:rPr>
          <w:rFonts w:ascii="Times New Roman" w:hAnsi="Times New Roman" w:cs="Times New Roman"/>
          <w:smallCaps/>
          <w:color w:val="000000"/>
          <w:spacing w:val="5"/>
          <w:sz w:val="18"/>
          <w:szCs w:val="24"/>
          <w:lang w:val="sk-SK"/>
        </w:rPr>
        <w:t>výmena informácií podľa rámcového rozhodnutia rady 2006/960/svv úradný vestník: vlożiť</w:t>
      </w:r>
    </w:p>
    <w:p w:rsidR="005933E8" w:rsidRPr="004B5FDE">
      <w:pPr>
        <w:shd w:val="clear" w:color="auto" w:fill="FFFFFF"/>
        <w:spacing w:line="192" w:lineRule="exact"/>
        <w:ind w:left="19"/>
        <w:jc w:val="center"/>
        <w:rPr>
          <w:szCs w:val="24"/>
          <w:lang w:val="sk-SK"/>
        </w:rPr>
      </w:pPr>
      <w:r w:rsidRPr="004B5FDE">
        <w:rPr>
          <w:rFonts w:ascii="Times New Roman" w:hAnsi="Times New Roman" w:cs="Times New Roman"/>
          <w:smallCaps/>
          <w:color w:val="000000"/>
          <w:spacing w:val="6"/>
          <w:sz w:val="18"/>
          <w:szCs w:val="24"/>
          <w:lang w:val="sk-SK"/>
        </w:rPr>
        <w:t>číslo tohto rámcového rozhodnutia. formulár, ktorý použije dožiadaný členský štát v</w:t>
      </w:r>
    </w:p>
    <w:p w:rsidR="005933E8" w:rsidRPr="004B5FDE">
      <w:pPr>
        <w:shd w:val="clear" w:color="auto" w:fill="FFFFFF"/>
        <w:spacing w:line="192" w:lineRule="exact"/>
        <w:ind w:left="14"/>
        <w:jc w:val="center"/>
        <w:rPr>
          <w:szCs w:val="24"/>
          <w:lang w:val="sk-SK"/>
        </w:rPr>
      </w:pPr>
      <w:r w:rsidRPr="004B5FDE">
        <w:rPr>
          <w:rFonts w:ascii="Times New Roman" w:hAnsi="Times New Roman" w:cs="Times New Roman"/>
          <w:smallCaps/>
          <w:color w:val="000000"/>
          <w:spacing w:val="4"/>
          <w:sz w:val="18"/>
          <w:szCs w:val="24"/>
          <w:lang w:val="sk-SK"/>
        </w:rPr>
        <w:t xml:space="preserve">prípade zaslania/oneskorenia/zamietnutia </w:t>
      </w:r>
      <w:r w:rsidRPr="004B5FDE" w:rsidR="00CC04DA">
        <w:rPr>
          <w:rFonts w:ascii="Times New Roman" w:hAnsi="Times New Roman" w:cs="Times New Roman"/>
          <w:smallCaps/>
          <w:color w:val="000000"/>
          <w:spacing w:val="4"/>
          <w:sz w:val="18"/>
          <w:szCs w:val="24"/>
          <w:lang w:val="sk-SK"/>
        </w:rPr>
        <w:t>informácií</w:t>
      </w:r>
    </w:p>
    <w:p w:rsidR="005933E8" w:rsidRPr="004B5FDE">
      <w:pPr>
        <w:shd w:val="clear" w:color="auto" w:fill="FFFFFF"/>
        <w:spacing w:before="677" w:line="192" w:lineRule="exact"/>
        <w:ind w:left="1022" w:right="998"/>
        <w:jc w:val="both"/>
        <w:rPr>
          <w:szCs w:val="24"/>
          <w:lang w:val="sk-SK"/>
        </w:rPr>
      </w:pPr>
      <w:r w:rsidRPr="004B5FDE">
        <w:rPr>
          <w:rFonts w:ascii="Times New Roman" w:hAnsi="Times New Roman" w:cs="Times New Roman"/>
          <w:color w:val="000000"/>
          <w:spacing w:val="3"/>
          <w:sz w:val="16"/>
          <w:szCs w:val="24"/>
          <w:lang w:val="sk-SK"/>
        </w:rPr>
        <w:t>Tento formulár by sa mal použiť na zaslanie požadovaných informácií a/alebo spravodajských informácií, na informova</w:t>
      </w:r>
      <w:r w:rsidRPr="004B5FDE">
        <w:rPr>
          <w:rFonts w:ascii="Times New Roman" w:hAnsi="Times New Roman" w:cs="Times New Roman"/>
          <w:color w:val="000000"/>
          <w:spacing w:val="3"/>
          <w:sz w:val="16"/>
          <w:szCs w:val="24"/>
          <w:lang w:val="sk-SK"/>
        </w:rPr>
        <w:softHyphen/>
      </w:r>
      <w:r w:rsidRPr="004B5FDE">
        <w:rPr>
          <w:rFonts w:ascii="Times New Roman" w:hAnsi="Times New Roman" w:cs="Times New Roman"/>
          <w:color w:val="000000"/>
          <w:spacing w:val="7"/>
          <w:sz w:val="16"/>
          <w:szCs w:val="24"/>
          <w:lang w:val="sk-SK"/>
        </w:rPr>
        <w:t xml:space="preserve">nie dožadujúceho orgánu o tom, že nie je možné dodržať bežnú lehotu, o potrebe podať justičnému orgánu žiadosť </w:t>
      </w:r>
      <w:r w:rsidRPr="004B5FDE">
        <w:rPr>
          <w:rFonts w:ascii="Times New Roman" w:hAnsi="Times New Roman" w:cs="Times New Roman"/>
          <w:color w:val="000000"/>
          <w:spacing w:val="3"/>
          <w:sz w:val="16"/>
          <w:szCs w:val="24"/>
          <w:lang w:val="sk-SK"/>
        </w:rPr>
        <w:t>o povolenie, alebo o zamietnutí zaslania informácií.</w:t>
      </w:r>
    </w:p>
    <w:p w:rsidR="005933E8" w:rsidRPr="004B5FDE">
      <w:pPr>
        <w:shd w:val="clear" w:color="auto" w:fill="FFFFFF"/>
        <w:spacing w:before="250" w:line="192" w:lineRule="exact"/>
        <w:ind w:left="1022" w:right="1008"/>
        <w:jc w:val="both"/>
        <w:rPr>
          <w:szCs w:val="24"/>
          <w:lang w:val="sk-SK"/>
        </w:rPr>
      </w:pPr>
      <w:r w:rsidRPr="004B5FDE">
        <w:rPr>
          <w:rFonts w:ascii="Times New Roman" w:hAnsi="Times New Roman" w:cs="Times New Roman"/>
          <w:color w:val="000000"/>
          <w:spacing w:val="5"/>
          <w:sz w:val="16"/>
          <w:szCs w:val="24"/>
          <w:lang w:val="sk-SK"/>
        </w:rPr>
        <w:t xml:space="preserve">Tento formulár sa môže použiť viackrát počas postupu (napr. ak sa žiadosť najskôr musí predložiť justičnému orgánu </w:t>
      </w:r>
      <w:r w:rsidRPr="004B5FDE">
        <w:rPr>
          <w:rFonts w:ascii="Times New Roman" w:hAnsi="Times New Roman" w:cs="Times New Roman"/>
          <w:color w:val="000000"/>
          <w:spacing w:val="3"/>
          <w:sz w:val="16"/>
          <w:szCs w:val="24"/>
          <w:lang w:val="sk-SK"/>
        </w:rPr>
        <w:t>a potom sa zistí, že vybavenie žiadosti sa musí zamietnuť).</w:t>
      </w:r>
    </w:p>
    <w:p w:rsidR="005933E8" w:rsidRPr="004B5FDE">
      <w:pPr>
        <w:spacing w:after="41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656"/>
        <w:gridCol w:w="5261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14" w:right="216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Do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iadan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org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 (n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zov, adresa, telef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ó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nne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čí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slo, fax, e-mail,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lensk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t)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daje o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radn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kovi, ktor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vec vybavuje (nepovinn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Referen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čí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slo tejto odpovede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D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tum a referen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čí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slo predch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dzaj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cej odpovede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63"/>
        </w:trPr>
        <w:tc>
          <w:tcPr>
            <w:tcW w:w="9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Odpove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ď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ur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en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tomuto do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aduj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cemu org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nu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D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tum a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as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iadosti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Referen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n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čí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 xml:space="preserve">slo 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2"/>
                <w:sz w:val="16"/>
                <w:szCs w:val="24"/>
                <w:lang w:val="sk-SK"/>
              </w:rPr>
              <w:t>iadosti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</w:tbl>
    <w:p w:rsidR="005933E8" w:rsidRPr="004B5FDE">
      <w:pPr>
        <w:spacing w:after="16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00"/>
        <w:gridCol w:w="2208"/>
        <w:gridCol w:w="595"/>
        <w:gridCol w:w="2314"/>
      </w:tblGrid>
      <w:tr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Be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lehota pod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a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l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nku 4 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mcov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ho rozhodnutia 2006/960/SVV by bola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5" w:hanging="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Trestn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in patr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 xml:space="preserve"> do 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l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nku 2 ods. 2 r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mcov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ho rozhodnutia 2002/584/SW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Naliehav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iados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ť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8 hod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n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094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5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a</w:t>
            </w:r>
          </w:p>
          <w:p w:rsidR="005933E8" w:rsidRPr="004B5FDE">
            <w:pPr>
              <w:shd w:val="clear" w:color="auto" w:fill="FFFFFF"/>
              <w:spacing w:line="182" w:lineRule="exact"/>
              <w:ind w:left="5" w:firstLine="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adovan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  inform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cie   alebo   spravodajsk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  inform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cie   sa 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nach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dzaj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 xml:space="preserve"> v datab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ze priamo pr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stupnej org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 xml:space="preserve">nu 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inn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 xml:space="preserve">mu v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trestnom konan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v do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iadanom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lenskom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iados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nie</w:t>
            </w:r>
            <w:r w:rsidRPr="004B5FDE" w:rsidR="004339A9">
              <w:rPr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je naliehav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1 t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ýž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de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ň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In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 xml:space="preserve"> pr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pady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□ 14 dn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í</w:t>
            </w:r>
          </w:p>
        </w:tc>
      </w:tr>
    </w:tbl>
    <w:p w:rsidR="005933E8" w:rsidRPr="004B5FDE">
      <w:pPr>
        <w:spacing w:after="17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17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 zaslan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pod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a 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mcov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ho rozhodnutia 2006/960/SVV: poskytovan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 a spravodajsk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cie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536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1. Pou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itie zaslan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ch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alebo spravodajsk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ch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</w:p>
          <w:p w:rsidR="005933E8" w:rsidRPr="004B5FDE">
            <w:pPr>
              <w:shd w:val="clear" w:color="auto" w:fill="FFFFFF"/>
              <w:spacing w:line="182" w:lineRule="exact"/>
              <w:ind w:left="14" w:right="1008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□ je mo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iba na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ely, na ktor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boli poskytnut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, alebo na zabr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nenie bezprostredn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mu a z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va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mu ohrozeniu verejnej 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bezpe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 xml:space="preserve">nosti;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□ sa povo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uje tie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na in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ely, pokia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s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dodr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an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tieto podmienky (nepovinn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):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258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2. Vierohodnos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zdroja</w:t>
            </w:r>
          </w:p>
          <w:p w:rsidR="005933E8" w:rsidRPr="004B5FDE">
            <w:pPr>
              <w:shd w:val="clear" w:color="auto" w:fill="FFFFFF"/>
              <w:spacing w:line="182" w:lineRule="exact"/>
              <w:ind w:left="10" w:right="804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□ vierohodn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 xml:space="preserve">ý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□ v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äčš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inou vierohodn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ý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Q nevierohodn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ý 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□ nemo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no pos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di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ť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267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3. Presnos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alebo spravodajsk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inform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</w:p>
          <w:p w:rsidR="005933E8" w:rsidRPr="004B5FDE">
            <w:pPr>
              <w:shd w:val="clear" w:color="auto" w:fill="FFFFFF"/>
              <w:spacing w:line="182" w:lineRule="exact"/>
              <w:ind w:left="10" w:right="5803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□ ist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 xml:space="preserve">á 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preuk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zan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zdrojom 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 xml:space="preserve">□ 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>stne podanie - potvrden</w:t>
            </w:r>
            <w:r w:rsidRPr="004B5FDE">
              <w:rPr>
                <w:color w:val="000000"/>
                <w:spacing w:val="2"/>
                <w:sz w:val="16"/>
                <w:szCs w:val="24"/>
                <w:lang w:val="sk-SK"/>
              </w:rPr>
              <w:t xml:space="preserve">é 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□ 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stne podanie - nepotvrden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é</w:t>
            </w:r>
          </w:p>
        </w:tc>
      </w:tr>
    </w:tbl>
    <w:p w:rsidR="005933E8" w:rsidRPr="004B5FDE">
      <w:pPr>
        <w:rPr>
          <w:szCs w:val="24"/>
          <w:lang w:val="sk-SK"/>
        </w:rPr>
        <w:sectPr>
          <w:type w:val="continuous"/>
          <w:pgSz w:w="11909" w:h="16834"/>
          <w:pgMar w:top="1085" w:right="840" w:bottom="360" w:left="859" w:header="708" w:footer="708" w:gutter="0"/>
          <w:lnNumType w:distance="0"/>
          <w:cols w:space="60"/>
        </w:sectPr>
      </w:pPr>
    </w:p>
    <w:p w:rsidR="005933E8" w:rsidRPr="004B5FDE">
      <w:pPr>
        <w:spacing w:after="336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878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14"/>
        </w:trPr>
        <w:tc>
          <w:tcPr>
            <w:tcW w:w="9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C04DA" w:rsidRPr="004B5FDE">
            <w:pPr>
              <w:shd w:val="clear" w:color="auto" w:fill="FFFFFF"/>
              <w:spacing w:line="182" w:lineRule="exact"/>
              <w:ind w:left="5" w:right="485" w:hanging="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4. V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sledok vy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etrovania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ho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inu alebo spravodajskej oper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cie v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veciach, v 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mci ktor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sa uskuto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nila v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mena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, je nutn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ozn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mi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zasielaj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cemu org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nu</w:t>
            </w:r>
          </w:p>
          <w:p w:rsidR="00CC04DA" w:rsidRPr="004B5FDE">
            <w:pPr>
              <w:shd w:val="clear" w:color="auto" w:fill="FFFFFF"/>
              <w:spacing w:line="187" w:lineRule="exact"/>
              <w:ind w:left="5" w:right="485" w:firstLine="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6"/>
                <w:sz w:val="16"/>
                <w:szCs w:val="24"/>
                <w:lang w:val="sk-SK"/>
              </w:rPr>
              <w:t xml:space="preserve">□ nie </w:t>
            </w:r>
            <w:r w:rsidRPr="004B5FDE">
              <w:rPr>
                <w:color w:val="000000"/>
                <w:spacing w:val="-5"/>
                <w:sz w:val="18"/>
                <w:szCs w:val="24"/>
                <w:lang w:val="sk-SK"/>
              </w:rPr>
              <w:t xml:space="preserve">□ </w:t>
            </w:r>
            <w:r w:rsidRPr="004B5FDE">
              <w:rPr>
                <w:color w:val="000000"/>
                <w:spacing w:val="-5"/>
                <w:sz w:val="18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5"/>
                <w:sz w:val="18"/>
                <w:szCs w:val="24"/>
                <w:lang w:val="sk-SK"/>
              </w:rPr>
              <w:t>no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037"/>
        </w:trPr>
        <w:tc>
          <w:tcPr>
            <w:tcW w:w="9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C04DA" w:rsidRPr="004B5FDE">
            <w:pPr>
              <w:shd w:val="clear" w:color="auto" w:fill="FFFFFF"/>
              <w:spacing w:line="182" w:lineRule="exact"/>
              <w:ind w:left="10" w:right="523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5. V pr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pade nevy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iadanej v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meny, d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vody domnieva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sa,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e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by mohli pom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pri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odha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ovan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, predch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dzan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alebo vy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etrovan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trestn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ch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inov uveden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ch v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l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nku 2 ods. 2 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mcov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ho rozhodnutia 2002/584/SW</w:t>
            </w:r>
          </w:p>
        </w:tc>
      </w:tr>
    </w:tbl>
    <w:p w:rsidR="005933E8" w:rsidRPr="004B5FDE">
      <w:pPr>
        <w:spacing w:after="192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17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0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ONESKORENIE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—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Nie je mo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odpoveda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ť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 v stanovenej lehote pod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ľ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 xml:space="preserve">a 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l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nku 4 r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mcov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b/>
                <w:color w:val="000000"/>
                <w:spacing w:val="-1"/>
                <w:sz w:val="16"/>
                <w:szCs w:val="24"/>
                <w:lang w:val="sk-SK"/>
              </w:rPr>
              <w:t>ho rozhodnutia 2006/960/SVV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546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Inform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cie nie je mo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ne poskytn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úť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v 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mci danej lehoty z 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chto d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vodov:</w:t>
            </w:r>
          </w:p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Pravdepodobne sa poskytn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do:</w:t>
            </w:r>
          </w:p>
          <w:p w:rsidR="005933E8" w:rsidRPr="004B5FDE">
            <w:pPr>
              <w:shd w:val="clear" w:color="auto" w:fill="FFFFFF"/>
              <w:spacing w:line="182" w:lineRule="exact"/>
              <w:ind w:left="14" w:right="229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            1 d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a       □             2 dn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       □             3 dn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í 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□             ....t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ýž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d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 xml:space="preserve">ov 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            1 mesiaca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34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7" w:lineRule="exact"/>
              <w:ind w:left="14" w:right="278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        Po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iadalo sa o povolenie justi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ho org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nu.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O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ak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va sa,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e postup, ktor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povedie k udeleniu/zamietnutiu povolenia, potrv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... t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d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ov</w:t>
            </w:r>
          </w:p>
        </w:tc>
      </w:tr>
    </w:tbl>
    <w:p w:rsidR="005933E8" w:rsidRPr="004B5FDE">
      <w:pPr>
        <w:spacing w:after="173" w:line="1" w:lineRule="exact"/>
        <w:rPr>
          <w:rFonts w:ascii="Times New Roman" w:hAnsi="Times New Roman" w:cs="Times New Roman"/>
          <w:sz w:val="2"/>
          <w:szCs w:val="24"/>
          <w:lang w:val="sk-SK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17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06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5" w:right="4118"/>
              <w:rPr>
                <w:szCs w:val="24"/>
                <w:lang w:val="sk-SK"/>
              </w:rPr>
            </w:pPr>
            <w:r w:rsidRPr="004B5FDE">
              <w:rPr>
                <w:b/>
                <w:color w:val="000000"/>
                <w:sz w:val="16"/>
                <w:szCs w:val="24"/>
                <w:lang w:val="sk-SK"/>
              </w:rPr>
              <w:t xml:space="preserve">ZAMIETNUTIE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—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□ sa nemohli poskytn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a vy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iada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na vn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tro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tnej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rovni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U alebo ich nie je mo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poskytn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úť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z jedn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ho alebo viacer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chto d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vodov: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A - d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vod t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kaj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 sa kontroly justi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m org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nom, ktor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br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ni zaslaniu, alebo vy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aduje pou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itie vz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jomnej pr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vnej pomoci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485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□      pr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slu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justi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org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 nepovolil pr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stup k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m alebo spravodajsk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m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m a ich v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menu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24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7" w:lineRule="exact"/>
              <w:ind w:left="485" w:right="23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□      po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adovan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cie sa u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v minulosti z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skali prostredn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ctvom donucovac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ch opatren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a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vn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tro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tne pr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vne predpisy nepovo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uj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ich poskytovanie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4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485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     inform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cie nemaj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k dispoz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cii</w:t>
            </w:r>
          </w:p>
          <w:p w:rsidR="005933E8" w:rsidRPr="004B5FDE">
            <w:pPr>
              <w:shd w:val="clear" w:color="auto" w:fill="FFFFFF"/>
              <w:spacing w:line="182" w:lineRule="exact"/>
              <w:ind w:left="485" w:right="518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■      org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ny 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inn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v trestnom konan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alebo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■      org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ny verejnej moci alebo s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kromn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subjekty sp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sobom, ktor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by ich spr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stup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oval org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nom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inn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m v trestnom konan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bez pou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itia donucovac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ch opatren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06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14" w:right="96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□      B - Poskytnutie po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adovan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ch inform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alebo spravodajsk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ch inform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by po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kodilo z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sadn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 z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ujmy n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rodnej bezpe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1"/>
                <w:sz w:val="16"/>
                <w:szCs w:val="24"/>
                <w:lang w:val="sk-SK"/>
              </w:rPr>
              <w:t xml:space="preserve">nosti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alebo ohrozilo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spech prebiehaj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ceho vy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etrovania, spravodajskej oper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v trestn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ch veciach alebo bezpe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nos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os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b, alebo by bolo zjavne neprimeran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alebo nepodstatn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vzh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adom na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el, na ktor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boli vy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iadan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.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922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right="677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Ak sa uplat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uje pr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pad A alebo B, uve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ď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te, ak to poklad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te za potrebn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, dodato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n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cie alebo d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>ô</w:t>
            </w:r>
            <w:r w:rsidRPr="004B5FDE">
              <w:rPr>
                <w:color w:val="000000"/>
                <w:spacing w:val="-1"/>
                <w:sz w:val="16"/>
                <w:szCs w:val="24"/>
                <w:lang w:val="sk-SK"/>
              </w:rPr>
              <w:t xml:space="preserve">vody pre (...) zamietnutie 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(nepovinn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-2"/>
                <w:sz w:val="16"/>
                <w:szCs w:val="24"/>
                <w:lang w:val="sk-SK"/>
              </w:rPr>
              <w:t>):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219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tabs>
                <w:tab w:val="left" w:leader="dot" w:pos="8827"/>
              </w:tabs>
              <w:spacing w:line="182" w:lineRule="exact"/>
              <w:ind w:left="14" w:right="19"/>
              <w:rPr>
                <w:szCs w:val="24"/>
                <w:lang w:val="sk-SK"/>
              </w:rPr>
            </w:pP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□      D - Do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iadan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 xml:space="preserve"> org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n sa rozhodol vyu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i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 xml:space="preserve"> mo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nos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 xml:space="preserve"> zamietnu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 xml:space="preserve"> vybavenie 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iadosti, preto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 xml:space="preserve">e 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iados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 xml:space="preserve"> sa pod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ľ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a pr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va do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iadan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3"/>
                <w:sz w:val="16"/>
                <w:szCs w:val="24"/>
                <w:lang w:val="sk-SK"/>
              </w:rPr>
              <w:t>ho</w:t>
              <w:br/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lensk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ho 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tu vz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ť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ahuje na trestn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in (upresn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 sa povaha a pr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vna kvalifik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cia trestn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 xml:space="preserve">ho 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pacing w:val="4"/>
                <w:sz w:val="16"/>
                <w:szCs w:val="24"/>
                <w:lang w:val="sk-SK"/>
              </w:rPr>
              <w:t>inu)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ab/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, za ktor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pacing w:val="5"/>
                <w:sz w:val="16"/>
                <w:szCs w:val="24"/>
                <w:lang w:val="sk-SK"/>
              </w:rPr>
              <w:t xml:space="preserve"> sa</w:t>
              <w:br/>
            </w:r>
            <w:r w:rsidRPr="004B5FDE">
              <w:rPr>
                <w:color w:val="000000"/>
                <w:sz w:val="16"/>
                <w:szCs w:val="24"/>
                <w:lang w:val="sk-SK"/>
              </w:rPr>
              <w:t>uklad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trest od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ň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atia slobody v d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ĺž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ke najviac jedn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ho roka.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74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ind w:left="14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□      E - Po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adovan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nie s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dostupn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.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16"/>
        </w:trPr>
        <w:tc>
          <w:tcPr>
            <w:tcW w:w="9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5933E8" w:rsidRPr="004B5FDE">
            <w:pPr>
              <w:shd w:val="clear" w:color="auto" w:fill="FFFFFF"/>
              <w:spacing w:line="182" w:lineRule="exact"/>
              <w:ind w:left="14" w:right="346"/>
              <w:rPr>
                <w:szCs w:val="24"/>
                <w:lang w:val="sk-SK"/>
              </w:rPr>
            </w:pPr>
            <w:r w:rsidRPr="004B5FDE">
              <w:rPr>
                <w:color w:val="000000"/>
                <w:sz w:val="16"/>
                <w:szCs w:val="24"/>
                <w:lang w:val="sk-SK"/>
              </w:rPr>
              <w:t>□      F - Po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ž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adovan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alebo spravodajsk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cie sa z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skali od in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ho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lensk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é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ho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tu alebo tretej krajiny a podliehaj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ú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z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sade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peciality a dan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č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lensk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t alebo tretia krajina nedal s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ú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hlas na zaslanie t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chto inform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 a alebo spravodajsk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>ý</w:t>
            </w:r>
            <w:r w:rsidRPr="004B5FDE">
              <w:rPr>
                <w:color w:val="000000"/>
                <w:sz w:val="16"/>
                <w:szCs w:val="24"/>
                <w:lang w:val="sk-SK"/>
              </w:rPr>
              <w:t xml:space="preserve">ch 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inform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á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ci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í</w:t>
            </w:r>
            <w:r w:rsidRPr="004B5FDE">
              <w:rPr>
                <w:color w:val="000000"/>
                <w:spacing w:val="-3"/>
                <w:sz w:val="16"/>
                <w:szCs w:val="24"/>
                <w:lang w:val="sk-SK"/>
              </w:rPr>
              <w:t>.</w:t>
            </w:r>
          </w:p>
        </w:tc>
      </w:tr>
    </w:tbl>
    <w:p w:rsidR="005933E8" w:rsidRPr="004B5FDE">
      <w:pPr>
        <w:rPr>
          <w:szCs w:val="24"/>
          <w:lang w:val="sk-SK"/>
        </w:rPr>
        <w:sectPr>
          <w:pgSz w:w="11909" w:h="16834"/>
          <w:pgMar w:top="1440" w:right="859" w:bottom="360" w:left="845" w:header="708" w:footer="708" w:gutter="0"/>
          <w:lnNumType w:distance="0"/>
          <w:cols w:space="60"/>
        </w:sectPr>
      </w:pPr>
    </w:p>
    <w:p w:rsidR="005933E8" w:rsidRPr="004B5FDE" w:rsidP="00655664">
      <w:pPr>
        <w:shd w:val="clear" w:color="auto" w:fill="FFFFFF"/>
        <w:spacing w:before="552"/>
        <w:rPr>
          <w:szCs w:val="24"/>
          <w:lang w:val="sk-SK"/>
        </w:rPr>
      </w:pPr>
    </w:p>
    <w:sectPr w:rsidSect="00655664">
      <w:type w:val="continuous"/>
      <w:pgSz w:w="11909" w:h="16834"/>
      <w:pgMar w:top="1229" w:right="840" w:bottom="360" w:left="859" w:header="708" w:footer="708" w:gutter="0"/>
      <w:lnNumType w:distance="0"/>
      <w:cols w:space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933E8"/>
    <w:rsid w:val="001C40E3"/>
    <w:rsid w:val="00221680"/>
    <w:rsid w:val="0024621F"/>
    <w:rsid w:val="00352E8B"/>
    <w:rsid w:val="004339A9"/>
    <w:rsid w:val="004B5FDE"/>
    <w:rsid w:val="005933E8"/>
    <w:rsid w:val="00655664"/>
    <w:rsid w:val="00864657"/>
    <w:rsid w:val="00AC54EB"/>
    <w:rsid w:val="00B921BC"/>
    <w:rsid w:val="00BA28DE"/>
    <w:rsid w:val="00CC04DA"/>
    <w:rsid w:val="00EF39A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0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744</Words>
  <Characters>4244</Characters>
  <Application>Microsoft Office Word</Application>
  <DocSecurity>0</DocSecurity>
  <Lines>0</Lines>
  <Paragraphs>0</Paragraphs>
  <ScaleCrop>false</ScaleCrop>
  <Company>TMD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MT</dc:creator>
  <cp:lastModifiedBy>harustak</cp:lastModifiedBy>
  <cp:revision>2</cp:revision>
  <dcterms:created xsi:type="dcterms:W3CDTF">2008-05-15T10:59:00Z</dcterms:created>
  <dcterms:modified xsi:type="dcterms:W3CDTF">2008-05-15T10:59:00Z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198040304</vt:i4>
  </property>
  <property fmtid="{D5CDD505-2E9C-101B-9397-08002B2CF9AE}" pid="3" name="_AuthorEmail">
    <vt:lpwstr>sucharda@minv.sk</vt:lpwstr>
  </property>
  <property fmtid="{D5CDD505-2E9C-101B-9397-08002B2CF9AE}" pid="4" name="_AuthorEmailDisplayName">
    <vt:lpwstr>Sucharda Jozef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