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25AE3" w:rsidP="00125AE3">
      <w:pPr>
        <w:jc w:val="center"/>
        <w:rPr>
          <w:rFonts w:ascii="Times New Roman" w:hAnsi="Times New Roman" w:cs="Times New Roman"/>
          <w:b/>
        </w:rPr>
      </w:pPr>
      <w:r>
        <w:rPr>
          <w:rFonts w:ascii="Times New Roman" w:hAnsi="Times New Roman" w:cs="Times New Roman"/>
          <w:b/>
        </w:rPr>
        <w:t>Dôvodová správa</w:t>
      </w:r>
    </w:p>
    <w:p w:rsidR="00125AE3" w:rsidP="00125AE3">
      <w:pPr>
        <w:jc w:val="center"/>
        <w:rPr>
          <w:rFonts w:ascii="Times New Roman" w:hAnsi="Times New Roman" w:cs="Times New Roman"/>
          <w:b/>
        </w:rPr>
      </w:pPr>
    </w:p>
    <w:p w:rsidR="007B069D" w:rsidP="00125AE3">
      <w:pPr>
        <w:jc w:val="center"/>
        <w:rPr>
          <w:rFonts w:ascii="Times New Roman" w:hAnsi="Times New Roman" w:cs="Times New Roman"/>
          <w:b/>
        </w:rPr>
      </w:pPr>
    </w:p>
    <w:p w:rsidR="00125AE3" w:rsidRPr="00D67B78" w:rsidP="00125AE3">
      <w:pPr>
        <w:numPr>
          <w:ilvl w:val="0"/>
          <w:numId w:val="2"/>
        </w:numPr>
        <w:tabs>
          <w:tab w:val="left" w:pos="360"/>
        </w:tabs>
        <w:rPr>
          <w:rFonts w:ascii="Times New Roman" w:hAnsi="Times New Roman" w:cs="Times New Roman"/>
          <w:b/>
        </w:rPr>
      </w:pPr>
      <w:r w:rsidRPr="00D67B78">
        <w:rPr>
          <w:rFonts w:ascii="Times New Roman" w:hAnsi="Times New Roman" w:cs="Times New Roman"/>
          <w:b/>
        </w:rPr>
        <w:t xml:space="preserve">Všeobecná časť </w:t>
      </w:r>
    </w:p>
    <w:p w:rsidR="00125AE3" w:rsidRPr="00D67B78" w:rsidP="00125AE3">
      <w:pPr>
        <w:rPr>
          <w:rFonts w:ascii="Times New Roman" w:hAnsi="Times New Roman" w:cs="Times New Roman"/>
          <w:b/>
        </w:rPr>
      </w:pPr>
    </w:p>
    <w:p w:rsidR="00125AE3" w:rsidRPr="00D67B78" w:rsidP="00125AE3">
      <w:pPr>
        <w:rPr>
          <w:rFonts w:ascii="Times New Roman" w:hAnsi="Times New Roman" w:cs="Times New Roman"/>
          <w:b/>
        </w:rPr>
      </w:pPr>
    </w:p>
    <w:p w:rsidR="00125AE3" w:rsidP="00125AE3">
      <w:pPr>
        <w:spacing w:line="360" w:lineRule="auto"/>
        <w:ind w:firstLine="567"/>
        <w:jc w:val="both"/>
        <w:rPr>
          <w:rFonts w:ascii="Times New Roman" w:hAnsi="Times New Roman" w:cs="Times New Roman"/>
        </w:rPr>
      </w:pPr>
      <w:r w:rsidRPr="00D67B78">
        <w:rPr>
          <w:rFonts w:ascii="Times New Roman" w:hAnsi="Times New Roman" w:cs="Times New Roman"/>
        </w:rPr>
        <w:t xml:space="preserve">  Ministerstvo spravodlivosti Slovenskej republiky predkladá </w:t>
      </w:r>
      <w:r w:rsidR="008D1E2D">
        <w:rPr>
          <w:rFonts w:ascii="Times New Roman" w:hAnsi="Times New Roman" w:cs="Times New Roman"/>
        </w:rPr>
        <w:t xml:space="preserve">na rokovanie vlády Slovenskej republiky </w:t>
      </w:r>
      <w:r w:rsidRPr="00D67B78">
        <w:rPr>
          <w:rFonts w:ascii="Times New Roman" w:hAnsi="Times New Roman" w:cs="Times New Roman"/>
        </w:rPr>
        <w:t>návrh zákona</w:t>
      </w:r>
      <w:smartTag w:uri="urn:schemas-microsoft-com:office:smarttags" w:element="PersonName">
        <w:r w:rsidRPr="00D67B78">
          <w:rPr>
            <w:rFonts w:ascii="Times New Roman" w:hAnsi="Times New Roman" w:cs="Times New Roman"/>
          </w:rPr>
          <w:t>,</w:t>
        </w:r>
      </w:smartTag>
      <w:r w:rsidRPr="00D67B78">
        <w:rPr>
          <w:rFonts w:ascii="Times New Roman" w:hAnsi="Times New Roman" w:cs="Times New Roman"/>
        </w:rPr>
        <w:t xml:space="preserve"> ktorým sa mení a dopĺňa zákon č. </w:t>
      </w:r>
      <w:r>
        <w:rPr>
          <w:rFonts w:ascii="Times New Roman" w:hAnsi="Times New Roman" w:cs="Times New Roman"/>
        </w:rPr>
        <w:t>513/1991 Zb. Obchodný zákonník v znení neskorších predpisov</w:t>
      </w:r>
      <w:r w:rsidR="00E24E2A">
        <w:rPr>
          <w:rFonts w:ascii="Times New Roman" w:hAnsi="Times New Roman" w:cs="Times New Roman"/>
        </w:rPr>
        <w:t xml:space="preserve"> (nové znenie</w:t>
      </w:r>
      <w:r w:rsidR="00E24E2A">
        <w:rPr>
          <w:rFonts w:ascii="Times New Roman" w:hAnsi="Times New Roman" w:cs="Times New Roman"/>
        </w:rPr>
        <w:t>)</w:t>
      </w:r>
      <w:r>
        <w:rPr>
          <w:rFonts w:ascii="Times New Roman" w:hAnsi="Times New Roman" w:cs="Times New Roman"/>
        </w:rPr>
        <w:t xml:space="preserve">. </w:t>
      </w:r>
    </w:p>
    <w:p w:rsidR="00A338ED" w:rsidP="00125AE3">
      <w:pPr>
        <w:spacing w:line="360" w:lineRule="auto"/>
        <w:ind w:firstLine="567"/>
        <w:jc w:val="both"/>
        <w:rPr>
          <w:rFonts w:ascii="Times New Roman" w:hAnsi="Times New Roman" w:cs="Times New Roman"/>
        </w:rPr>
      </w:pPr>
      <w:r>
        <w:rPr>
          <w:rFonts w:ascii="Times New Roman" w:hAnsi="Times New Roman" w:cs="Times New Roman"/>
        </w:rPr>
        <w:t>Návrh zákona bol predložený do medzirezortného pripomienkového konania ako článok II v rámci návrhu tzv. veľkej novely Občianskeho súdneho poriadku a ďalších predpisov. Na základe pripomienok uplatnených na rokovaní Legislatívnej rady vlády Slovenskej republiky, ktoré sa konalo 22. apríla 2008, predkladateľ vypustil článok II z návrhu novely Občianskeho súdneho poriadku a ďalších predpisov. Návrh novely O</w:t>
      </w:r>
      <w:r w:rsidR="00D65A06">
        <w:rPr>
          <w:rFonts w:ascii="Times New Roman" w:hAnsi="Times New Roman" w:cs="Times New Roman"/>
        </w:rPr>
        <w:t xml:space="preserve">bchodného zákonníka bol 27. mája 2008 </w:t>
      </w:r>
      <w:r w:rsidR="005207B7">
        <w:rPr>
          <w:rFonts w:ascii="Times New Roman" w:hAnsi="Times New Roman" w:cs="Times New Roman"/>
        </w:rPr>
        <w:t xml:space="preserve">opätovne </w:t>
      </w:r>
      <w:r w:rsidR="00D65A06">
        <w:rPr>
          <w:rFonts w:ascii="Times New Roman" w:hAnsi="Times New Roman" w:cs="Times New Roman"/>
        </w:rPr>
        <w:t>predložený</w:t>
      </w:r>
      <w:r>
        <w:rPr>
          <w:rFonts w:ascii="Times New Roman" w:hAnsi="Times New Roman" w:cs="Times New Roman"/>
        </w:rPr>
        <w:t xml:space="preserve"> na rokovanie</w:t>
      </w:r>
      <w:r w:rsidR="00C650E1">
        <w:rPr>
          <w:rFonts w:ascii="Times New Roman" w:hAnsi="Times New Roman" w:cs="Times New Roman"/>
        </w:rPr>
        <w:t xml:space="preserve"> Legislatívnej rady</w:t>
      </w:r>
      <w:r>
        <w:rPr>
          <w:rFonts w:ascii="Times New Roman" w:hAnsi="Times New Roman" w:cs="Times New Roman"/>
        </w:rPr>
        <w:t xml:space="preserve"> vlády Slov</w:t>
      </w:r>
      <w:r>
        <w:rPr>
          <w:rFonts w:ascii="Times New Roman" w:hAnsi="Times New Roman" w:cs="Times New Roman"/>
        </w:rPr>
        <w:t xml:space="preserve">enskej republiky ako samostatný materiál. </w:t>
      </w:r>
      <w:r w:rsidR="008D1E2D">
        <w:rPr>
          <w:rFonts w:ascii="Times New Roman" w:hAnsi="Times New Roman" w:cs="Times New Roman"/>
        </w:rPr>
        <w:t xml:space="preserve">Legislatívna rada vlády Slovenskej republiky návrh zákona </w:t>
      </w:r>
      <w:r w:rsidR="00022275">
        <w:rPr>
          <w:rFonts w:ascii="Times New Roman" w:hAnsi="Times New Roman" w:cs="Times New Roman"/>
        </w:rPr>
        <w:t xml:space="preserve">schválila a </w:t>
      </w:r>
      <w:r w:rsidRPr="00D64690" w:rsidR="00022275">
        <w:rPr>
          <w:rFonts w:ascii="Times New Roman" w:hAnsi="Times New Roman" w:cs="Times New Roman"/>
        </w:rPr>
        <w:t>odporučil</w:t>
      </w:r>
      <w:r w:rsidR="00022275">
        <w:rPr>
          <w:rFonts w:ascii="Times New Roman" w:hAnsi="Times New Roman" w:cs="Times New Roman"/>
        </w:rPr>
        <w:t xml:space="preserve">a vláde Slovenskej republiky </w:t>
      </w:r>
      <w:r w:rsidRPr="00D64690" w:rsidR="00022275">
        <w:rPr>
          <w:rFonts w:ascii="Times New Roman" w:hAnsi="Times New Roman" w:cs="Times New Roman"/>
        </w:rPr>
        <w:t>schváliť</w:t>
      </w:r>
      <w:r w:rsidR="00022275">
        <w:rPr>
          <w:rFonts w:ascii="Times New Roman" w:hAnsi="Times New Roman" w:cs="Times New Roman"/>
        </w:rPr>
        <w:t xml:space="preserve"> nové znenie návrhu zákona upravené po zapracovaní vznesených pripomienok</w:t>
      </w:r>
      <w:r w:rsidR="006332F3">
        <w:rPr>
          <w:rFonts w:ascii="Times New Roman" w:hAnsi="Times New Roman" w:cs="Times New Roman"/>
        </w:rPr>
        <w:t>.</w:t>
      </w:r>
    </w:p>
    <w:p w:rsidR="00125AE3" w:rsidP="00A338ED">
      <w:pPr>
        <w:spacing w:line="360" w:lineRule="auto"/>
        <w:ind w:firstLine="567"/>
        <w:jc w:val="both"/>
        <w:rPr>
          <w:rFonts w:ascii="Times New Roman" w:hAnsi="Times New Roman" w:cs="Times New Roman"/>
        </w:rPr>
      </w:pPr>
      <w:r w:rsidR="00A338ED">
        <w:rPr>
          <w:rFonts w:ascii="Times New Roman" w:hAnsi="Times New Roman" w:cs="Times New Roman"/>
        </w:rPr>
        <w:t xml:space="preserve">Cieľom zmien je </w:t>
      </w:r>
      <w:r w:rsidRPr="00D67B78">
        <w:rPr>
          <w:rFonts w:ascii="Times New Roman" w:hAnsi="Times New Roman" w:cs="Times New Roman"/>
        </w:rPr>
        <w:t xml:space="preserve">zjednotenie právnej úpravy týkajúcej sa výšky úrokov z omeškania v občianskoprávnych vzťahoch a v obchodno-právnych vzťahoch s tým rozdielom, že v obchodno-právnych vzťahoch bude favorizovaná dohoda o výške úrokov. Ak by dlžníkom bol spotrebiteľ, ktorý dohodol obchodné právo (§ 262 ods. 1 Obchodného zákonníka), výška úrokov z omeškania bude čerpať svoj základ obligatórne v občianskoprávnej úprave.  V súvislosti s touto zmenou Ministerstvo spravodlivosti Slovenskej republiky pripravuje vykonať zmeny v nariadení vlády č. 87/1995 Z. z., ktorým sa vykonávajú niektoré ustanovenia Občianskeho zákonníka. </w:t>
      </w:r>
    </w:p>
    <w:p w:rsidR="00AF5A08" w:rsidRPr="004A5A42" w:rsidP="00AF5A08">
      <w:pPr>
        <w:pStyle w:val="BodyText2"/>
        <w:spacing w:after="0" w:line="360" w:lineRule="auto"/>
        <w:ind w:firstLine="708"/>
        <w:jc w:val="both"/>
        <w:rPr>
          <w:rFonts w:ascii="Times New Roman" w:hAnsi="Times New Roman" w:cs="Times New Roman"/>
        </w:rPr>
      </w:pPr>
      <w:r w:rsidRPr="004A5A42">
        <w:rPr>
          <w:rFonts w:ascii="Times New Roman" w:hAnsi="Times New Roman" w:cs="Times New Roman"/>
        </w:rPr>
        <w:t>Navrhovaná úprava nebude mať dopad na štátny rozpočet, rozpočty obcí alebo rozpočty vyšších územných celkov, nebude mať vplyv na zamestnanosť, ani na tvorbu pracovných m</w:t>
      </w:r>
      <w:r w:rsidRPr="004A5A42">
        <w:rPr>
          <w:rFonts w:ascii="Times New Roman" w:hAnsi="Times New Roman" w:cs="Times New Roman"/>
        </w:rPr>
        <w:t>iest.</w:t>
      </w:r>
    </w:p>
    <w:p w:rsidR="00AF5A08" w:rsidRPr="00E31CA1" w:rsidP="00AF5A08">
      <w:pPr>
        <w:spacing w:line="360" w:lineRule="auto"/>
        <w:jc w:val="both"/>
        <w:rPr>
          <w:rFonts w:ascii="Times New Roman" w:hAnsi="Times New Roman" w:cs="Times New Roman"/>
        </w:rPr>
      </w:pPr>
      <w:r w:rsidRPr="004A5A42">
        <w:rPr>
          <w:rFonts w:ascii="Times New Roman" w:hAnsi="Times New Roman" w:cs="Times New Roman"/>
        </w:rPr>
        <w:tab/>
        <w:t>Návrh zákona je v súlade s Ústavou Slovenskej republiky, s medzinárodnými zmluvami, ktorými je Slovenská republika</w:t>
      </w:r>
      <w:r w:rsidRPr="00E31CA1">
        <w:rPr>
          <w:rFonts w:ascii="Times New Roman" w:hAnsi="Times New Roman" w:cs="Times New Roman"/>
        </w:rPr>
        <w:t xml:space="preserve"> viazaná a s právom Európskych spoločenstiev</w:t>
      </w:r>
    </w:p>
    <w:p w:rsidR="00AF5A08" w:rsidRPr="00E31CA1" w:rsidP="00AF5A08">
      <w:pPr>
        <w:spacing w:line="360" w:lineRule="auto"/>
        <w:jc w:val="both"/>
        <w:rPr>
          <w:rFonts w:ascii="Times New Roman" w:hAnsi="Times New Roman" w:cs="Times New Roman"/>
        </w:rPr>
      </w:pPr>
    </w:p>
    <w:p w:rsidR="00AF5A08" w:rsidRPr="00E31CA1" w:rsidP="00AF5A08">
      <w:pPr>
        <w:spacing w:line="360" w:lineRule="auto"/>
        <w:jc w:val="both"/>
        <w:rPr>
          <w:rFonts w:ascii="Times New Roman" w:hAnsi="Times New Roman" w:cs="Times New Roman"/>
        </w:rPr>
      </w:pPr>
    </w:p>
    <w:p w:rsidR="00AF5A08" w:rsidP="00C8735C">
      <w:pPr>
        <w:spacing w:line="360" w:lineRule="auto"/>
        <w:jc w:val="both"/>
        <w:rPr>
          <w:rFonts w:ascii="Times New Roman" w:hAnsi="Times New Roman" w:cs="Times New Roman"/>
        </w:rPr>
      </w:pPr>
    </w:p>
    <w:p w:rsidR="00934ECD" w:rsidP="00C8735C">
      <w:pPr>
        <w:spacing w:line="360" w:lineRule="auto"/>
        <w:jc w:val="both"/>
        <w:rPr>
          <w:rFonts w:ascii="Times New Roman" w:hAnsi="Times New Roman" w:cs="Times New Roman"/>
        </w:rPr>
      </w:pPr>
    </w:p>
    <w:p w:rsidR="002610D5" w:rsidP="00C8735C">
      <w:pPr>
        <w:spacing w:line="360" w:lineRule="auto"/>
        <w:jc w:val="both"/>
        <w:rPr>
          <w:rFonts w:ascii="Times New Roman" w:hAnsi="Times New Roman" w:cs="Times New Roman"/>
        </w:rPr>
      </w:pPr>
    </w:p>
    <w:p w:rsidR="00AF5A08" w:rsidRPr="00D67B78" w:rsidP="00AF5A08">
      <w:pPr>
        <w:pStyle w:val="BodyTextIndent"/>
        <w:spacing w:line="360" w:lineRule="auto"/>
        <w:outlineLvl w:val="0"/>
        <w:rPr>
          <w:rFonts w:ascii="Times New Roman" w:hAnsi="Times New Roman" w:cs="Times New Roman"/>
          <w:b/>
          <w:bCs/>
        </w:rPr>
      </w:pPr>
      <w:r w:rsidRPr="00D67B78">
        <w:rPr>
          <w:rFonts w:ascii="Times New Roman" w:hAnsi="Times New Roman" w:cs="Times New Roman"/>
          <w:b/>
          <w:bCs/>
        </w:rPr>
        <w:t>DOLOŽKA  ZLUČITEĽNOSTI</w:t>
      </w:r>
    </w:p>
    <w:p w:rsidR="00AF5A08" w:rsidRPr="00D67B78" w:rsidP="00AF5A08">
      <w:pPr>
        <w:pStyle w:val="BodyTextIndent"/>
        <w:spacing w:line="360" w:lineRule="auto"/>
        <w:rPr>
          <w:rFonts w:ascii="Times New Roman" w:hAnsi="Times New Roman" w:cs="Times New Roman"/>
          <w:b/>
          <w:bCs/>
        </w:rPr>
      </w:pPr>
      <w:r w:rsidRPr="00D67B78">
        <w:rPr>
          <w:rFonts w:ascii="Times New Roman" w:hAnsi="Times New Roman" w:cs="Times New Roman"/>
          <w:b/>
          <w:bCs/>
        </w:rPr>
        <w:t>návrhu právneho predpisu</w:t>
      </w:r>
    </w:p>
    <w:p w:rsidR="00AF5A08" w:rsidRPr="00D67B78" w:rsidP="00AF5A08">
      <w:pPr>
        <w:pStyle w:val="BodyTextIndent"/>
        <w:spacing w:line="360" w:lineRule="auto"/>
        <w:rPr>
          <w:rFonts w:ascii="Times New Roman" w:hAnsi="Times New Roman" w:cs="Times New Roman"/>
          <w:b/>
          <w:bCs/>
        </w:rPr>
      </w:pPr>
      <w:r w:rsidRPr="00D67B78">
        <w:rPr>
          <w:rFonts w:ascii="Times New Roman" w:hAnsi="Times New Roman" w:cs="Times New Roman"/>
          <w:b/>
          <w:bCs/>
        </w:rPr>
        <w:t>s právom Európskych spoločenstiev a p</w:t>
      </w:r>
      <w:r w:rsidRPr="00D67B78">
        <w:rPr>
          <w:rFonts w:ascii="Times New Roman" w:hAnsi="Times New Roman" w:cs="Times New Roman"/>
          <w:b/>
          <w:bCs/>
        </w:rPr>
        <w:t>rávom Európskej únie</w:t>
      </w:r>
    </w:p>
    <w:p w:rsidR="00AF5A08" w:rsidRPr="00D67B78" w:rsidP="00AF5A08">
      <w:pPr>
        <w:pStyle w:val="BodyTextIndent"/>
        <w:spacing w:line="360" w:lineRule="auto"/>
        <w:jc w:val="both"/>
        <w:rPr>
          <w:rFonts w:ascii="Times New Roman" w:hAnsi="Times New Roman" w:cs="Times New Roman"/>
          <w:b/>
          <w:bCs/>
        </w:rPr>
      </w:pPr>
    </w:p>
    <w:p w:rsidR="00AF5A08" w:rsidRPr="00D67B78" w:rsidP="00AF5A08">
      <w:pPr>
        <w:pStyle w:val="BodyTextIndent"/>
        <w:spacing w:line="360" w:lineRule="auto"/>
        <w:jc w:val="both"/>
        <w:rPr>
          <w:rFonts w:ascii="Times New Roman" w:hAnsi="Times New Roman" w:cs="Times New Roman"/>
          <w:b/>
          <w:bCs/>
        </w:rPr>
      </w:pPr>
    </w:p>
    <w:p w:rsidR="00AF5A08" w:rsidRPr="00D67B78" w:rsidP="00AF5A08">
      <w:pPr>
        <w:pStyle w:val="BodyTextIndent"/>
        <w:tabs>
          <w:tab w:val="left" w:pos="780"/>
        </w:tabs>
        <w:spacing w:line="360" w:lineRule="auto"/>
        <w:jc w:val="both"/>
        <w:rPr>
          <w:rFonts w:ascii="Times New Roman" w:hAnsi="Times New Roman" w:cs="Times New Roman"/>
        </w:rPr>
      </w:pPr>
      <w:r w:rsidRPr="00D67B78">
        <w:rPr>
          <w:rFonts w:ascii="Times New Roman" w:hAnsi="Times New Roman" w:cs="Times New Roman"/>
          <w:b/>
          <w:bCs/>
        </w:rPr>
        <w:t xml:space="preserve">1.      Predkladateľ právneho predpisu: </w:t>
      </w:r>
      <w:r w:rsidRPr="00D67B78">
        <w:rPr>
          <w:rFonts w:ascii="Times New Roman" w:hAnsi="Times New Roman" w:cs="Times New Roman"/>
        </w:rPr>
        <w:t>vláda Slovenskej republiky</w:t>
      </w:r>
    </w:p>
    <w:p w:rsidR="00AF5A08" w:rsidRPr="00D67B78" w:rsidP="00AF5A08">
      <w:pPr>
        <w:spacing w:line="360" w:lineRule="auto"/>
        <w:jc w:val="both"/>
        <w:rPr>
          <w:rFonts w:ascii="Times New Roman" w:hAnsi="Times New Roman" w:cs="Times New Roman"/>
        </w:rPr>
      </w:pPr>
      <w:r w:rsidRPr="00D67B78">
        <w:rPr>
          <w:rFonts w:ascii="Times New Roman" w:hAnsi="Times New Roman" w:cs="Times New Roman"/>
          <w:b/>
          <w:bCs/>
        </w:rPr>
        <w:t xml:space="preserve">2.      Názov návrhu právneho predpisu:  </w:t>
      </w:r>
      <w:r w:rsidRPr="00D67B78">
        <w:rPr>
          <w:rFonts w:ascii="Times New Roman" w:hAnsi="Times New Roman" w:cs="Times New Roman"/>
        </w:rPr>
        <w:t xml:space="preserve">zákon, ktorým sa mení a dopĺňa zákon č. </w:t>
      </w:r>
      <w:r w:rsidR="00A61883">
        <w:rPr>
          <w:rFonts w:ascii="Times New Roman" w:hAnsi="Times New Roman" w:cs="Times New Roman"/>
        </w:rPr>
        <w:t xml:space="preserve">513/1991 Zb. Obchodný zákonník v znení neskorších predpisov. </w:t>
      </w:r>
    </w:p>
    <w:p w:rsidR="00AF5A08" w:rsidRPr="00D67B78" w:rsidP="00AF5A08">
      <w:pPr>
        <w:pStyle w:val="BodyTextIndent"/>
        <w:tabs>
          <w:tab w:val="left" w:pos="780"/>
        </w:tabs>
        <w:spacing w:line="360" w:lineRule="auto"/>
        <w:jc w:val="left"/>
        <w:rPr>
          <w:rFonts w:ascii="Times New Roman" w:hAnsi="Times New Roman" w:cs="Times New Roman"/>
          <w:b/>
          <w:bCs/>
        </w:rPr>
      </w:pPr>
      <w:r w:rsidRPr="00D67B78">
        <w:rPr>
          <w:rFonts w:ascii="Times New Roman" w:hAnsi="Times New Roman" w:cs="Times New Roman"/>
          <w:b/>
          <w:bCs/>
        </w:rPr>
        <w:t>3.      Problematika ná</w:t>
      </w:r>
      <w:r w:rsidRPr="00D67B78">
        <w:rPr>
          <w:rFonts w:ascii="Times New Roman" w:hAnsi="Times New Roman" w:cs="Times New Roman"/>
          <w:b/>
          <w:bCs/>
        </w:rPr>
        <w:t>vrhu právneho predpisu :</w:t>
      </w:r>
    </w:p>
    <w:p w:rsidR="00AF5A08" w:rsidP="00AF5A08">
      <w:pPr>
        <w:pStyle w:val="BodyTextIndent"/>
        <w:spacing w:line="360" w:lineRule="auto"/>
        <w:jc w:val="left"/>
        <w:rPr>
          <w:rFonts w:ascii="Times New Roman" w:hAnsi="Times New Roman" w:cs="Times New Roman"/>
        </w:rPr>
      </w:pPr>
      <w:r w:rsidRPr="00D67B78">
        <w:rPr>
          <w:rFonts w:ascii="Times New Roman" w:hAnsi="Times New Roman" w:cs="Times New Roman"/>
        </w:rPr>
        <w:t>a) je upravená v</w:t>
      </w:r>
      <w:r w:rsidR="0043504F">
        <w:rPr>
          <w:rFonts w:ascii="Times New Roman" w:hAnsi="Times New Roman" w:cs="Times New Roman"/>
        </w:rPr>
        <w:t> práve Európskych spoločenstiev:</w:t>
      </w:r>
    </w:p>
    <w:p w:rsidR="0043504F" w:rsidP="0043504F">
      <w:pPr>
        <w:pStyle w:val="BodyTextIndent"/>
        <w:spacing w:line="360" w:lineRule="auto"/>
        <w:jc w:val="left"/>
        <w:rPr>
          <w:rFonts w:ascii="Times New Roman" w:hAnsi="Times New Roman" w:cs="Times New Roman"/>
        </w:rPr>
      </w:pPr>
      <w:r>
        <w:rPr>
          <w:rFonts w:ascii="Times New Roman" w:hAnsi="Times New Roman" w:cs="Times New Roman"/>
        </w:rPr>
        <w:t>-sekundárnom:</w:t>
      </w:r>
    </w:p>
    <w:p w:rsidR="0043504F" w:rsidP="00AF5A08">
      <w:pPr>
        <w:pStyle w:val="BodyTextIndent"/>
        <w:spacing w:line="360" w:lineRule="auto"/>
        <w:jc w:val="left"/>
        <w:rPr>
          <w:rFonts w:ascii="Times New Roman" w:hAnsi="Times New Roman" w:cs="Times New Roman"/>
        </w:rPr>
      </w:pPr>
      <w:r>
        <w:rPr>
          <w:rFonts w:ascii="Times New Roman" w:hAnsi="Times New Roman" w:cs="Times New Roman"/>
        </w:rPr>
        <w:t>smernica</w:t>
      </w:r>
      <w:r w:rsidRPr="00D67B78">
        <w:rPr>
          <w:rFonts w:ascii="Times New Roman" w:hAnsi="Times New Roman" w:cs="Times New Roman"/>
        </w:rPr>
        <w:t xml:space="preserve"> Európskeho parlamentu a rady 2000/35/ES z 29. 6. 2000 o boji proti oneskoreným platbám v obchodných transakciách</w:t>
      </w:r>
      <w:r>
        <w:rPr>
          <w:rFonts w:ascii="Times New Roman" w:hAnsi="Times New Roman" w:cs="Times New Roman"/>
        </w:rPr>
        <w:t>.</w:t>
      </w:r>
    </w:p>
    <w:p w:rsidR="00D94C54" w:rsidP="00D94C54">
      <w:pPr>
        <w:pStyle w:val="BodyTextIndent"/>
        <w:spacing w:line="360" w:lineRule="auto"/>
        <w:jc w:val="left"/>
        <w:rPr>
          <w:rFonts w:ascii="Times New Roman" w:hAnsi="Times New Roman" w:cs="Times New Roman"/>
        </w:rPr>
      </w:pPr>
      <w:r>
        <w:rPr>
          <w:rFonts w:ascii="Times New Roman" w:hAnsi="Times New Roman" w:cs="Times New Roman"/>
        </w:rPr>
        <w:t>b)</w:t>
      </w:r>
      <w:r w:rsidR="0043504F">
        <w:rPr>
          <w:rFonts w:ascii="Times New Roman" w:hAnsi="Times New Roman" w:cs="Times New Roman"/>
        </w:rPr>
        <w:t xml:space="preserve"> nie</w:t>
      </w:r>
      <w:r>
        <w:rPr>
          <w:rFonts w:ascii="Times New Roman" w:hAnsi="Times New Roman" w:cs="Times New Roman"/>
        </w:rPr>
        <w:t xml:space="preserve"> </w:t>
      </w:r>
      <w:r w:rsidRPr="00D67B78">
        <w:rPr>
          <w:rFonts w:ascii="Times New Roman" w:hAnsi="Times New Roman" w:cs="Times New Roman"/>
        </w:rPr>
        <w:t>je upravená v práve Európskej únie</w:t>
      </w:r>
      <w:r w:rsidR="0043504F">
        <w:rPr>
          <w:rFonts w:ascii="Times New Roman" w:hAnsi="Times New Roman" w:cs="Times New Roman"/>
        </w:rPr>
        <w:t>,</w:t>
      </w:r>
    </w:p>
    <w:p w:rsidR="00D533A4" w:rsidP="00D533A4">
      <w:pPr>
        <w:pStyle w:val="BodyTextIndent"/>
        <w:spacing w:line="360" w:lineRule="auto"/>
        <w:ind w:hanging="120"/>
        <w:jc w:val="left"/>
        <w:rPr>
          <w:rFonts w:ascii="Times New Roman" w:hAnsi="Times New Roman" w:cs="Times New Roman"/>
        </w:rPr>
      </w:pPr>
      <w:r w:rsidRPr="00D67B78">
        <w:rPr>
          <w:rFonts w:ascii="Times New Roman" w:hAnsi="Times New Roman" w:cs="Times New Roman"/>
        </w:rPr>
        <w:t xml:space="preserve">  </w:t>
      </w:r>
      <w:r w:rsidRPr="00D67B78">
        <w:rPr>
          <w:rFonts w:ascii="Times New Roman" w:hAnsi="Times New Roman" w:cs="Times New Roman"/>
        </w:rPr>
        <w:t xml:space="preserve">c) </w:t>
      </w:r>
      <w:r>
        <w:rPr>
          <w:rFonts w:ascii="Times New Roman" w:hAnsi="Times New Roman" w:cs="Times New Roman"/>
        </w:rPr>
        <w:t xml:space="preserve">nie </w:t>
      </w:r>
      <w:r w:rsidRPr="00D67B78">
        <w:rPr>
          <w:rFonts w:ascii="Times New Roman" w:hAnsi="Times New Roman" w:cs="Times New Roman"/>
        </w:rPr>
        <w:t>je obsiahnutá v judikatúre Súdneho dvora Európskych spoločenstiev alebo Súdu prvého stupňa Európskych spoločenstiev</w:t>
      </w:r>
      <w:r>
        <w:rPr>
          <w:rFonts w:ascii="Times New Roman" w:hAnsi="Times New Roman" w:cs="Times New Roman"/>
        </w:rPr>
        <w:t>.</w:t>
      </w:r>
    </w:p>
    <w:p w:rsidR="00AF5A08" w:rsidRPr="00D67B78" w:rsidP="00AF5A08">
      <w:pPr>
        <w:pStyle w:val="BodyTextIndent"/>
        <w:tabs>
          <w:tab w:val="left" w:pos="360"/>
        </w:tabs>
        <w:spacing w:line="360" w:lineRule="auto"/>
        <w:ind w:hanging="60"/>
        <w:jc w:val="left"/>
        <w:rPr>
          <w:rFonts w:ascii="Times New Roman" w:hAnsi="Times New Roman" w:cs="Times New Roman"/>
          <w:b/>
          <w:bCs/>
        </w:rPr>
      </w:pPr>
      <w:r w:rsidRPr="00D67B78">
        <w:rPr>
          <w:rFonts w:ascii="Times New Roman" w:hAnsi="Times New Roman" w:cs="Times New Roman"/>
          <w:b/>
          <w:bCs/>
        </w:rPr>
        <w:t>4.      Záväzky Slovenskej republiky vo vzťahu k Európskym spoločenstvám a Európskej únii:</w:t>
      </w:r>
    </w:p>
    <w:p w:rsidR="00AF5A08" w:rsidRPr="00D67B78" w:rsidP="00AF5A08">
      <w:pPr>
        <w:spacing w:line="360" w:lineRule="auto"/>
        <w:jc w:val="both"/>
        <w:rPr>
          <w:rFonts w:ascii="Times New Roman" w:hAnsi="Times New Roman" w:cs="Times New Roman"/>
        </w:rPr>
      </w:pPr>
      <w:r w:rsidRPr="00D67B78">
        <w:rPr>
          <w:rFonts w:ascii="Times New Roman" w:hAnsi="Times New Roman" w:cs="Times New Roman"/>
        </w:rPr>
        <w:t>a) 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w:t>
      </w:r>
      <w:r w:rsidRPr="00D67B78">
        <w:rPr>
          <w:rFonts w:ascii="Times New Roman" w:hAnsi="Times New Roman" w:cs="Times New Roman"/>
        </w:rPr>
        <w:t>h vyplývajúca: bezpredmetné,</w:t>
      </w:r>
    </w:p>
    <w:p w:rsidR="00AF5A08" w:rsidRPr="00D67B78" w:rsidP="00AF5A08">
      <w:pPr>
        <w:spacing w:line="360" w:lineRule="auto"/>
        <w:jc w:val="both"/>
        <w:rPr>
          <w:rFonts w:ascii="Times New Roman" w:hAnsi="Times New Roman" w:cs="Times New Roman"/>
        </w:rPr>
      </w:pPr>
      <w:r w:rsidR="008C208A">
        <w:rPr>
          <w:rFonts w:ascii="Times New Roman" w:hAnsi="Times New Roman" w:cs="Times New Roman"/>
        </w:rPr>
        <w:t>b</w:t>
      </w:r>
      <w:r w:rsidRPr="00D67B78">
        <w:rPr>
          <w:rFonts w:ascii="Times New Roman" w:hAnsi="Times New Roman" w:cs="Times New Roman"/>
        </w:rPr>
        <w:t xml:space="preserve">) informácia o konaní začatom proti Slovenskej republike o porušení Zmluvy o založení Európskych spoločenstiev podľa čl. 226 až 228 Zmluvy o založení Európskych spoločenstiev v platnom znení: bezpredmetné,  </w:t>
      </w:r>
    </w:p>
    <w:p w:rsidR="00AF5A08" w:rsidRPr="00D67B78" w:rsidP="00AF5A08">
      <w:pPr>
        <w:pStyle w:val="BodyTextIndent"/>
        <w:spacing w:line="360" w:lineRule="auto"/>
        <w:jc w:val="both"/>
        <w:rPr>
          <w:rFonts w:ascii="Times New Roman" w:hAnsi="Times New Roman" w:cs="Times New Roman"/>
        </w:rPr>
      </w:pPr>
      <w:r w:rsidR="008C208A">
        <w:rPr>
          <w:rFonts w:ascii="Times New Roman" w:hAnsi="Times New Roman" w:cs="Times New Roman"/>
        </w:rPr>
        <w:t>c</w:t>
      </w:r>
      <w:r w:rsidRPr="00D67B78">
        <w:rPr>
          <w:rFonts w:ascii="Times New Roman" w:hAnsi="Times New Roman" w:cs="Times New Roman"/>
        </w:rPr>
        <w:t>) informácia o právnych predpisoch, v ktorých sú preberané smernice alebo rámcové rozhodnutia už prebraté spolu s uvedením rozsahu tohto prebratia: bezpredmetné.</w:t>
      </w:r>
    </w:p>
    <w:p w:rsidR="00AF5A08" w:rsidRPr="00D67B78" w:rsidP="00AF5A08">
      <w:pPr>
        <w:pStyle w:val="BodyTextIndent"/>
        <w:spacing w:line="360" w:lineRule="auto"/>
        <w:jc w:val="both"/>
        <w:rPr>
          <w:rFonts w:ascii="Times New Roman" w:hAnsi="Times New Roman" w:cs="Times New Roman"/>
        </w:rPr>
      </w:pPr>
      <w:r w:rsidRPr="00D67B78">
        <w:rPr>
          <w:rFonts w:ascii="Times New Roman" w:hAnsi="Times New Roman" w:cs="Times New Roman"/>
          <w:b/>
          <w:bCs/>
        </w:rPr>
        <w:t xml:space="preserve">5. Stupeň zlučiteľnosti návrhu právneho predpisu s právom Európskych spoločenstiev     a právom Európskej únie </w:t>
      </w:r>
      <w:r w:rsidRPr="00D67B78">
        <w:rPr>
          <w:rFonts w:ascii="Times New Roman" w:hAnsi="Times New Roman" w:cs="Times New Roman"/>
          <w:b/>
          <w:bCs/>
        </w:rPr>
        <w:t xml:space="preserve">: </w:t>
      </w:r>
      <w:r w:rsidRPr="00D67B78">
        <w:rPr>
          <w:rFonts w:ascii="Times New Roman" w:hAnsi="Times New Roman" w:cs="Times New Roman"/>
        </w:rPr>
        <w:t>bezpredmetné</w:t>
      </w:r>
    </w:p>
    <w:p w:rsidR="00AF5A08" w:rsidRPr="00D67B78" w:rsidP="00AF5A08">
      <w:pPr>
        <w:pStyle w:val="BodyTextIndent"/>
        <w:spacing w:line="360" w:lineRule="auto"/>
        <w:jc w:val="left"/>
        <w:rPr>
          <w:rFonts w:ascii="Times New Roman" w:hAnsi="Times New Roman" w:cs="Times New Roman"/>
          <w:b/>
          <w:bCs/>
        </w:rPr>
      </w:pPr>
      <w:r w:rsidRPr="00D67B78">
        <w:rPr>
          <w:rFonts w:ascii="Times New Roman" w:hAnsi="Times New Roman" w:cs="Times New Roman"/>
          <w:b/>
          <w:bCs/>
        </w:rPr>
        <w:t xml:space="preserve">6. Gestor  (spolupracujúce rezorty) : </w:t>
      </w:r>
      <w:r w:rsidRPr="00D67B78">
        <w:rPr>
          <w:rFonts w:ascii="Times New Roman" w:hAnsi="Times New Roman" w:cs="Times New Roman"/>
        </w:rPr>
        <w:t>bezpredmetné.</w:t>
      </w:r>
    </w:p>
    <w:p w:rsidR="00AF5A08" w:rsidRPr="00D67B78" w:rsidP="00AF5A08">
      <w:pPr>
        <w:pStyle w:val="BodyTextIndent"/>
        <w:spacing w:line="360" w:lineRule="auto"/>
        <w:outlineLvl w:val="0"/>
        <w:rPr>
          <w:rFonts w:ascii="Times New Roman" w:hAnsi="Times New Roman" w:cs="Times New Roman"/>
          <w:b/>
        </w:rPr>
      </w:pPr>
    </w:p>
    <w:p w:rsidR="00AF5A08" w:rsidP="00AF5A08">
      <w:pPr>
        <w:pStyle w:val="BodyTextIndent"/>
        <w:spacing w:line="360" w:lineRule="auto"/>
        <w:outlineLvl w:val="0"/>
        <w:rPr>
          <w:rFonts w:ascii="Times New Roman" w:hAnsi="Times New Roman" w:cs="Times New Roman"/>
          <w:b/>
        </w:rPr>
      </w:pPr>
    </w:p>
    <w:p w:rsidR="00D94C54" w:rsidP="00342C72">
      <w:pPr>
        <w:pStyle w:val="BodyTextIndent"/>
        <w:spacing w:line="360" w:lineRule="auto"/>
        <w:jc w:val="left"/>
        <w:outlineLvl w:val="0"/>
        <w:rPr>
          <w:rFonts w:ascii="Times New Roman" w:hAnsi="Times New Roman" w:cs="Times New Roman"/>
          <w:b/>
        </w:rPr>
      </w:pPr>
    </w:p>
    <w:p w:rsidR="00D94C54" w:rsidRPr="00D67B78" w:rsidP="00AF5A08">
      <w:pPr>
        <w:pStyle w:val="BodyTextIndent"/>
        <w:spacing w:line="360" w:lineRule="auto"/>
        <w:outlineLvl w:val="0"/>
        <w:rPr>
          <w:rFonts w:ascii="Times New Roman" w:hAnsi="Times New Roman" w:cs="Times New Roman"/>
          <w:b/>
        </w:rPr>
      </w:pPr>
    </w:p>
    <w:p w:rsidR="00AF5A08" w:rsidRPr="00D67B78" w:rsidP="00AF5A08">
      <w:pPr>
        <w:pStyle w:val="BodyTextIndent"/>
        <w:spacing w:line="360" w:lineRule="auto"/>
        <w:outlineLvl w:val="0"/>
        <w:rPr>
          <w:rFonts w:ascii="Times New Roman" w:hAnsi="Times New Roman" w:cs="Times New Roman"/>
          <w:b/>
        </w:rPr>
      </w:pPr>
      <w:r w:rsidRPr="00D67B78">
        <w:rPr>
          <w:rFonts w:ascii="Times New Roman" w:hAnsi="Times New Roman" w:cs="Times New Roman"/>
          <w:b/>
        </w:rPr>
        <w:t>Doložka finančných, ekonomických, environmentálnych vplyvov,</w:t>
      </w:r>
    </w:p>
    <w:p w:rsidR="00AF5A08" w:rsidRPr="00D67B78" w:rsidP="00AF5A08">
      <w:pPr>
        <w:pStyle w:val="BodyTextIndent"/>
        <w:spacing w:line="360" w:lineRule="auto"/>
        <w:rPr>
          <w:rFonts w:ascii="Times New Roman" w:hAnsi="Times New Roman" w:cs="Times New Roman"/>
          <w:b/>
        </w:rPr>
      </w:pPr>
      <w:r w:rsidRPr="00D67B78">
        <w:rPr>
          <w:rFonts w:ascii="Times New Roman" w:hAnsi="Times New Roman" w:cs="Times New Roman"/>
          <w:b/>
        </w:rPr>
        <w:t>vplyvov na zamestnanosť a podnikateľské prostredie</w:t>
      </w:r>
    </w:p>
    <w:p w:rsidR="00AF5A08" w:rsidRPr="00D67B78" w:rsidP="00AF5A08">
      <w:pPr>
        <w:pStyle w:val="BodyText"/>
        <w:spacing w:after="0" w:line="360" w:lineRule="auto"/>
        <w:jc w:val="center"/>
        <w:rPr>
          <w:rFonts w:ascii="Times New Roman" w:hAnsi="Times New Roman" w:cs="Times New Roman"/>
          <w:bCs/>
        </w:rPr>
      </w:pPr>
    </w:p>
    <w:p w:rsidR="00AF5A08" w:rsidRPr="00D67B78" w:rsidP="00AF5A08">
      <w:pPr>
        <w:pStyle w:val="BodyText3"/>
        <w:numPr>
          <w:ilvl w:val="0"/>
          <w:numId w:val="3"/>
        </w:numPr>
        <w:tabs>
          <w:tab w:val="left" w:pos="360"/>
        </w:tabs>
        <w:autoSpaceDE/>
        <w:autoSpaceDN/>
        <w:spacing w:after="0" w:line="360" w:lineRule="auto"/>
        <w:ind w:left="0" w:firstLine="0"/>
        <w:jc w:val="both"/>
        <w:rPr>
          <w:rFonts w:ascii="Times New Roman" w:hAnsi="Times New Roman" w:cs="Times New Roman"/>
          <w:sz w:val="24"/>
          <w:szCs w:val="24"/>
        </w:rPr>
      </w:pPr>
      <w:r w:rsidRPr="00D67B78">
        <w:rPr>
          <w:rFonts w:ascii="Times New Roman" w:hAnsi="Times New Roman" w:cs="Times New Roman"/>
          <w:sz w:val="24"/>
          <w:szCs w:val="24"/>
        </w:rPr>
        <w:t xml:space="preserve">Návrh zákona nezakladá nároky na verejné financie. </w:t>
      </w:r>
    </w:p>
    <w:p w:rsidR="00AF5A08" w:rsidRPr="00D67B78" w:rsidP="00AF5A08">
      <w:pPr>
        <w:pStyle w:val="BodyText3"/>
        <w:autoSpaceDE/>
        <w:autoSpaceDN/>
        <w:spacing w:after="0" w:line="360" w:lineRule="auto"/>
        <w:jc w:val="both"/>
        <w:rPr>
          <w:rFonts w:ascii="Times New Roman" w:hAnsi="Times New Roman" w:cs="Times New Roman"/>
          <w:sz w:val="24"/>
          <w:szCs w:val="24"/>
        </w:rPr>
      </w:pPr>
    </w:p>
    <w:p w:rsidR="00AF5A08" w:rsidRPr="00D67B78" w:rsidP="00AF5A08">
      <w:pPr>
        <w:pStyle w:val="BodyText3"/>
        <w:numPr>
          <w:ilvl w:val="0"/>
          <w:numId w:val="3"/>
        </w:numPr>
        <w:tabs>
          <w:tab w:val="left" w:pos="360"/>
        </w:tabs>
        <w:autoSpaceDE/>
        <w:autoSpaceDN/>
        <w:spacing w:after="0" w:line="360" w:lineRule="auto"/>
        <w:ind w:left="0" w:firstLine="0"/>
        <w:jc w:val="both"/>
        <w:rPr>
          <w:rFonts w:ascii="Times New Roman" w:hAnsi="Times New Roman" w:cs="Times New Roman"/>
          <w:sz w:val="24"/>
          <w:szCs w:val="24"/>
        </w:rPr>
      </w:pPr>
      <w:r w:rsidRPr="00D67B78">
        <w:rPr>
          <w:rFonts w:ascii="Times New Roman" w:hAnsi="Times New Roman" w:cs="Times New Roman"/>
          <w:sz w:val="24"/>
          <w:szCs w:val="24"/>
        </w:rPr>
        <w:t xml:space="preserve">Návrh zákona nebude mať ekonomický dopad na obyvateľov, hospodárenie                   podnikateľskej sféry a iných právnických osôb.  </w:t>
      </w:r>
    </w:p>
    <w:p w:rsidR="00AF5A08" w:rsidRPr="00D67B78" w:rsidP="00AF5A08">
      <w:pPr>
        <w:pStyle w:val="BodyText3"/>
        <w:autoSpaceDE/>
        <w:autoSpaceDN/>
        <w:spacing w:after="0" w:line="360" w:lineRule="auto"/>
        <w:jc w:val="both"/>
        <w:rPr>
          <w:rFonts w:ascii="Times New Roman" w:hAnsi="Times New Roman" w:cs="Times New Roman"/>
          <w:sz w:val="24"/>
          <w:szCs w:val="24"/>
        </w:rPr>
      </w:pPr>
    </w:p>
    <w:p w:rsidR="00AF5A08" w:rsidRPr="00D67B78" w:rsidP="00AF5A08">
      <w:pPr>
        <w:pStyle w:val="BodyText3"/>
        <w:numPr>
          <w:ilvl w:val="0"/>
          <w:numId w:val="3"/>
        </w:numPr>
        <w:tabs>
          <w:tab w:val="left" w:pos="360"/>
        </w:tabs>
        <w:autoSpaceDE/>
        <w:autoSpaceDN/>
        <w:spacing w:after="0" w:line="360" w:lineRule="auto"/>
        <w:ind w:left="0" w:firstLine="0"/>
        <w:jc w:val="both"/>
        <w:rPr>
          <w:rFonts w:ascii="Times New Roman" w:hAnsi="Times New Roman" w:cs="Times New Roman"/>
          <w:sz w:val="24"/>
          <w:szCs w:val="24"/>
        </w:rPr>
      </w:pPr>
      <w:r w:rsidRPr="00D67B78">
        <w:rPr>
          <w:rFonts w:ascii="Times New Roman" w:hAnsi="Times New Roman" w:cs="Times New Roman"/>
          <w:sz w:val="24"/>
          <w:szCs w:val="24"/>
        </w:rPr>
        <w:t>Návrh zákona nebude mať vplyv na životné prostredie.</w:t>
      </w:r>
    </w:p>
    <w:p w:rsidR="00AF5A08" w:rsidRPr="00D67B78" w:rsidP="00AF5A08">
      <w:pPr>
        <w:pStyle w:val="BodyText3"/>
        <w:autoSpaceDE/>
        <w:autoSpaceDN/>
        <w:spacing w:after="0" w:line="360" w:lineRule="auto"/>
        <w:jc w:val="both"/>
        <w:rPr>
          <w:rFonts w:ascii="Times New Roman" w:hAnsi="Times New Roman" w:cs="Times New Roman"/>
          <w:sz w:val="24"/>
          <w:szCs w:val="24"/>
        </w:rPr>
      </w:pPr>
    </w:p>
    <w:p w:rsidR="00AF5A08" w:rsidRPr="00D67B78" w:rsidP="00AF5A08">
      <w:pPr>
        <w:numPr>
          <w:ilvl w:val="0"/>
          <w:numId w:val="3"/>
        </w:numPr>
        <w:tabs>
          <w:tab w:val="left" w:pos="360"/>
        </w:tabs>
        <w:spacing w:line="360" w:lineRule="auto"/>
        <w:ind w:left="0" w:firstLine="0"/>
        <w:jc w:val="both"/>
        <w:rPr>
          <w:rFonts w:ascii="Times New Roman" w:hAnsi="Times New Roman" w:cs="Times New Roman"/>
        </w:rPr>
      </w:pPr>
      <w:r w:rsidRPr="00D67B78">
        <w:rPr>
          <w:rFonts w:ascii="Times New Roman" w:hAnsi="Times New Roman" w:cs="Times New Roman"/>
        </w:rPr>
        <w:t>Návrh zákona nebude mať vplyv na zamestnanosť a nevyžiada si zvýšenie počtu zamestna</w:t>
      </w:r>
      <w:r w:rsidRPr="00D67B78">
        <w:rPr>
          <w:rFonts w:ascii="Times New Roman" w:hAnsi="Times New Roman" w:cs="Times New Roman"/>
        </w:rPr>
        <w:t>ncov.</w:t>
      </w:r>
    </w:p>
    <w:p w:rsidR="00AF5A08" w:rsidRPr="00D67B78" w:rsidP="00AF5A08">
      <w:pPr>
        <w:spacing w:line="360" w:lineRule="auto"/>
        <w:jc w:val="both"/>
        <w:rPr>
          <w:rFonts w:ascii="Times New Roman" w:hAnsi="Times New Roman" w:cs="Times New Roman"/>
        </w:rPr>
      </w:pPr>
    </w:p>
    <w:p w:rsidR="00AF5A08" w:rsidRPr="00D67B78" w:rsidP="00AF5A08">
      <w:pPr>
        <w:numPr>
          <w:ilvl w:val="0"/>
          <w:numId w:val="3"/>
        </w:numPr>
        <w:tabs>
          <w:tab w:val="left" w:pos="360"/>
        </w:tabs>
        <w:spacing w:line="360" w:lineRule="auto"/>
        <w:ind w:left="0" w:firstLine="0"/>
        <w:jc w:val="both"/>
        <w:rPr>
          <w:rFonts w:ascii="Times New Roman" w:hAnsi="Times New Roman" w:cs="Times New Roman"/>
        </w:rPr>
      </w:pPr>
      <w:r w:rsidRPr="00D67B78">
        <w:rPr>
          <w:rFonts w:ascii="Times New Roman" w:hAnsi="Times New Roman" w:cs="Times New Roman"/>
        </w:rPr>
        <w:t>Návrh zákona nebude mať vplyv na podnikateľské prostredie.</w:t>
      </w:r>
    </w:p>
    <w:p w:rsidR="00AF5A08" w:rsidRPr="00D67B78" w:rsidP="00AF5A08">
      <w:pPr>
        <w:pStyle w:val="BodyTextIndent"/>
        <w:spacing w:line="360" w:lineRule="auto"/>
        <w:jc w:val="both"/>
        <w:rPr>
          <w:rFonts w:ascii="Times New Roman" w:hAnsi="Times New Roman" w:cs="Times New Roman"/>
        </w:rPr>
      </w:pPr>
    </w:p>
    <w:p w:rsidR="00AF5A08" w:rsidRPr="00D67B78" w:rsidP="00AF5A08">
      <w:pPr>
        <w:pStyle w:val="BodyTextIndent"/>
        <w:spacing w:line="360" w:lineRule="auto"/>
        <w:jc w:val="both"/>
        <w:rPr>
          <w:rFonts w:ascii="Times New Roman" w:hAnsi="Times New Roman" w:cs="Times New Roman"/>
        </w:rPr>
      </w:pPr>
    </w:p>
    <w:p w:rsidR="00AF5A08" w:rsidRPr="00D67B78" w:rsidP="00AF5A08">
      <w:pPr>
        <w:pStyle w:val="BodyTextIndent"/>
        <w:spacing w:line="360" w:lineRule="auto"/>
        <w:jc w:val="both"/>
        <w:rPr>
          <w:rFonts w:ascii="Times New Roman" w:hAnsi="Times New Roman" w:cs="Times New Roman"/>
        </w:rPr>
      </w:pPr>
    </w:p>
    <w:p w:rsidR="00AF5A08" w:rsidRPr="00D67B78" w:rsidP="00AF5A08">
      <w:pPr>
        <w:pStyle w:val="BodyTextIndent"/>
        <w:spacing w:line="360" w:lineRule="auto"/>
        <w:jc w:val="both"/>
        <w:rPr>
          <w:rFonts w:ascii="Times New Roman" w:hAnsi="Times New Roman" w:cs="Times New Roman"/>
        </w:rPr>
      </w:pPr>
    </w:p>
    <w:p w:rsidR="00AF5A08" w:rsidRPr="00D67B78" w:rsidP="00AF5A08">
      <w:pPr>
        <w:pStyle w:val="BodyTextIndent"/>
        <w:spacing w:line="360" w:lineRule="auto"/>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A338ED">
      <w:pPr>
        <w:spacing w:line="360" w:lineRule="auto"/>
        <w:ind w:firstLine="567"/>
        <w:jc w:val="both"/>
        <w:rPr>
          <w:rFonts w:ascii="Times New Roman" w:hAnsi="Times New Roman" w:cs="Times New Roman"/>
        </w:rPr>
      </w:pPr>
    </w:p>
    <w:p w:rsidR="00AF5A08" w:rsidP="007B069D">
      <w:pPr>
        <w:numPr>
          <w:ilvl w:val="0"/>
          <w:numId w:val="2"/>
        </w:numPr>
        <w:tabs>
          <w:tab w:val="left" w:pos="360"/>
        </w:tabs>
        <w:spacing w:line="360" w:lineRule="auto"/>
        <w:rPr>
          <w:rFonts w:ascii="Times New Roman" w:hAnsi="Times New Roman" w:cs="Times New Roman"/>
          <w:b/>
        </w:rPr>
      </w:pPr>
      <w:r w:rsidRPr="00AF5A08">
        <w:rPr>
          <w:rFonts w:ascii="Times New Roman" w:hAnsi="Times New Roman" w:cs="Times New Roman"/>
          <w:b/>
        </w:rPr>
        <w:t xml:space="preserve">Osobitná časť </w:t>
      </w:r>
    </w:p>
    <w:p w:rsidR="007B069D" w:rsidRPr="007B069D" w:rsidP="007B069D">
      <w:pPr>
        <w:spacing w:line="360" w:lineRule="auto"/>
        <w:rPr>
          <w:rFonts w:ascii="Times New Roman" w:hAnsi="Times New Roman" w:cs="Times New Roman"/>
          <w:b/>
        </w:rPr>
      </w:pPr>
    </w:p>
    <w:p w:rsidR="00125AE3" w:rsidRPr="00D67B78" w:rsidP="007B069D">
      <w:pPr>
        <w:pStyle w:val="BodyText"/>
        <w:spacing w:after="0" w:line="360" w:lineRule="auto"/>
        <w:outlineLvl w:val="0"/>
        <w:rPr>
          <w:rFonts w:ascii="Times New Roman" w:hAnsi="Times New Roman" w:cs="Times New Roman"/>
          <w:b/>
        </w:rPr>
      </w:pPr>
      <w:r w:rsidRPr="00D67B78">
        <w:rPr>
          <w:rFonts w:ascii="Times New Roman" w:hAnsi="Times New Roman" w:cs="Times New Roman"/>
          <w:b/>
        </w:rPr>
        <w:t>K bodu 1 (§ 369 ods. 1)</w:t>
      </w:r>
    </w:p>
    <w:p w:rsidR="00125AE3" w:rsidRPr="00D67B78" w:rsidP="007B069D">
      <w:pPr>
        <w:pStyle w:val="BodyText"/>
        <w:spacing w:after="0" w:line="360" w:lineRule="auto"/>
        <w:ind w:firstLine="708"/>
        <w:jc w:val="both"/>
        <w:rPr>
          <w:rFonts w:ascii="Times New Roman" w:hAnsi="Times New Roman" w:cs="Times New Roman"/>
        </w:rPr>
      </w:pPr>
      <w:r w:rsidRPr="00D67B78">
        <w:rPr>
          <w:rFonts w:ascii="Times New Roman" w:hAnsi="Times New Roman" w:cs="Times New Roman"/>
        </w:rPr>
        <w:t xml:space="preserve">Platná právna úprava úrokov z omeškania bola nevyhnutnosťou transpozície smernice Európskeho parlamentu a rady 2000/35/ES z 29. 6. 2000 o boji proti oneskoreným platbám v obchodných transakciách do slovenského právneho poriadku. Stalo sa tak zákonom             č. 530/2003 Z. z. o obchodnom registri a o zmene a doplnení niektorých zákonov s účinnosťou od 1. 2. 2004. Aplikačná prax potvrdzuje, že v súvislosti s prijatou právnou úpravou sú vyvolávané nezanedbateľné komplikácie  v súdnom konaní. Zvýšila sa prácnosť spracovania petitu žaloby vzhľadom na nutnosť zohľadnenia všetkých zmien výšky úrokov z omeškania za obdobie od vzniku omeškania. Pri dlhšie trvajúcom omeškaní dochádza aj k neprehľadnosti petitu spracovávaného na mnoho riadkov. Prácnosť narastá v prípade, keď ide o viacej žalovaných plnení s odlišnou dobou splatnosti alebo ak došlo už k čiastočnému plneniu, či plneniu v splátkach a tiež keď plnenie sa má započítať najprv na úrok z omeškania a až potom na istinu. Vyčíslovaním úroku  sa prácnosť len znásobuje. Ak súdne konanie trvá dlhšie než do konca kalendárneho polroka, v ktorom došlo k podaniu žaloby a medzitým dôjde k zmene úrokovej sadzby, je potrebné meniť aj petit. </w:t>
      </w:r>
    </w:p>
    <w:p w:rsidR="00125AE3" w:rsidRPr="00D67B78" w:rsidP="007B069D">
      <w:pPr>
        <w:spacing w:line="360" w:lineRule="auto"/>
        <w:jc w:val="both"/>
        <w:rPr>
          <w:rFonts w:ascii="Times New Roman" w:hAnsi="Times New Roman" w:cs="Times New Roman"/>
        </w:rPr>
      </w:pPr>
      <w:r w:rsidRPr="00D67B78">
        <w:rPr>
          <w:rFonts w:ascii="Times New Roman" w:hAnsi="Times New Roman" w:cs="Times New Roman"/>
        </w:rPr>
        <w:tab/>
        <w:t xml:space="preserve">Problém je možné demonštrovať na nasledovnom prípade a to pritom ide o zaplatenie len jedného plnenia (jednej faktúry): </w:t>
      </w:r>
    </w:p>
    <w:p w:rsidR="00125AE3" w:rsidRPr="00D67B78" w:rsidP="007B069D">
      <w:pPr>
        <w:spacing w:line="360" w:lineRule="auto"/>
        <w:jc w:val="both"/>
        <w:rPr>
          <w:rFonts w:ascii="Times New Roman" w:hAnsi="Times New Roman" w:cs="Times New Roman"/>
          <w:i/>
        </w:rPr>
      </w:pPr>
      <w:r w:rsidRPr="00D67B78">
        <w:rPr>
          <w:rFonts w:ascii="Times New Roman" w:hAnsi="Times New Roman" w:cs="Times New Roman"/>
          <w:i/>
        </w:rPr>
        <w:t xml:space="preserve">-navrhovaný výrok by  mohol pri uplatňovaní sumy 10.000,- Sk  na základe žaloby podanej 30. 9. 2006 so zákonným úrokom od 15. 2. 2004 do dňa rozhodnutia znieť: </w:t>
      </w:r>
      <w:r w:rsidRPr="00D67B78">
        <w:rPr>
          <w:rFonts w:ascii="Times New Roman" w:hAnsi="Times New Roman" w:cs="Times New Roman"/>
        </w:rPr>
        <w:t>„</w:t>
      </w:r>
      <w:r w:rsidRPr="00D67B78">
        <w:rPr>
          <w:rFonts w:ascii="Times New Roman" w:hAnsi="Times New Roman" w:cs="Times New Roman"/>
          <w:i/>
        </w:rPr>
        <w:t>Žalovaný je povinný zaplatiť žalobcovi do 3 dní od právoplatnosti rozsudku 10.000,- Sk s ročným úrokom z omeškania zo sumy 10.000,- Sk vo výške 16 % od 15. 2. 2004 do 30. 6. 2004 vo v</w:t>
      </w:r>
      <w:r w:rsidRPr="00D67B78">
        <w:rPr>
          <w:rFonts w:ascii="Times New Roman" w:hAnsi="Times New Roman" w:cs="Times New Roman"/>
          <w:i/>
        </w:rPr>
        <w:t>ýške 14,5 % za obdobie od 1. 7. 2004 do 31. 12. 2004, vo výške 14 % za obdobie od 1. 1. 2005 do 30. 6. 2005, vo výške 13 % za obdobie od 1. 7. 2005 do 30. 6. 2006 a vo výške 13,5 % za obdobie od 1. 7. 2006 do rozhodnutia súdu“.</w:t>
      </w:r>
    </w:p>
    <w:p w:rsidR="00125AE3" w:rsidRPr="00D67B78" w:rsidP="007B069D">
      <w:pPr>
        <w:spacing w:line="360" w:lineRule="auto"/>
        <w:ind w:firstLine="705"/>
        <w:jc w:val="both"/>
        <w:rPr>
          <w:rFonts w:ascii="Times New Roman" w:hAnsi="Times New Roman" w:cs="Times New Roman"/>
        </w:rPr>
      </w:pPr>
      <w:r w:rsidRPr="00D67B78">
        <w:rPr>
          <w:rFonts w:ascii="Times New Roman" w:hAnsi="Times New Roman" w:cs="Times New Roman"/>
        </w:rPr>
        <w:t xml:space="preserve">Právna  úprava a to vrátane </w:t>
      </w:r>
      <w:r w:rsidRPr="00D67B78">
        <w:rPr>
          <w:rFonts w:ascii="Times New Roman" w:hAnsi="Times New Roman" w:cs="Times New Roman"/>
        </w:rPr>
        <w:t>tej, ktorej cieľom je transponovať príslušnú smernicu EÚ, nesmie nadmerne komplikovať postup účastníkov konania a postup súdu, musí byť zrozumiteľná a jej aplikácia súdmi musí byť v záujme právnej istoty jednoznačná a stabilná.</w:t>
      </w:r>
    </w:p>
    <w:p w:rsidR="00125AE3" w:rsidRPr="00D67B78" w:rsidP="007B069D">
      <w:pPr>
        <w:spacing w:line="360" w:lineRule="auto"/>
        <w:ind w:firstLine="705"/>
        <w:jc w:val="both"/>
        <w:rPr>
          <w:rFonts w:ascii="Times New Roman" w:hAnsi="Times New Roman" w:cs="Times New Roman"/>
        </w:rPr>
      </w:pPr>
      <w:r w:rsidRPr="00D67B78">
        <w:rPr>
          <w:rFonts w:ascii="Times New Roman" w:hAnsi="Times New Roman" w:cs="Times New Roman"/>
        </w:rPr>
        <w:t xml:space="preserve">Z tohto dôvodu sa navrhuje zjednotenie právnej úpravy týkajúcej sa výšky úrokov        z omeškania v občianskoprávnych vzťahoch a v obchodno-právnych vzťahoch s tým rozdielom, že v obchodno-právnych vzťahoch bude favorizovaná dohoda o výške úrokov. Ak by dlžníkom bol spotrebiteľ, ktorý dohodol obchodné právo (§ 262 ods. 1 Obchodného zákonníka), výška úrokov z omeškania bude čerpať svoj základ obligatórne                             v občianskoprávnej úprave. </w:t>
      </w:r>
    </w:p>
    <w:p w:rsidR="00125AE3" w:rsidRPr="00D67B78" w:rsidP="007B069D">
      <w:pPr>
        <w:spacing w:line="360" w:lineRule="auto"/>
        <w:jc w:val="both"/>
        <w:rPr>
          <w:rFonts w:ascii="Times New Roman" w:hAnsi="Times New Roman" w:cs="Times New Roman"/>
        </w:rPr>
      </w:pPr>
      <w:r w:rsidRPr="00D67B78">
        <w:rPr>
          <w:rFonts w:ascii="Times New Roman" w:hAnsi="Times New Roman" w:cs="Times New Roman"/>
        </w:rPr>
        <w:t>Výhody navrhovanej právnej úpravy:</w:t>
      </w:r>
    </w:p>
    <w:p w:rsidR="00125AE3" w:rsidRPr="00D67B78" w:rsidP="007B069D">
      <w:pPr>
        <w:numPr>
          <w:ilvl w:val="0"/>
          <w:numId w:val="1"/>
        </w:numPr>
        <w:tabs>
          <w:tab w:val="left" w:pos="360"/>
        </w:tabs>
        <w:spacing w:line="360" w:lineRule="auto"/>
        <w:ind w:left="0" w:firstLine="0"/>
        <w:jc w:val="both"/>
        <w:rPr>
          <w:rFonts w:ascii="Times New Roman" w:hAnsi="Times New Roman" w:cs="Times New Roman"/>
        </w:rPr>
      </w:pPr>
      <w:r w:rsidRPr="00D67B78">
        <w:rPr>
          <w:rFonts w:ascii="Times New Roman" w:hAnsi="Times New Roman" w:cs="Times New Roman"/>
        </w:rPr>
        <w:t>zjednotenie právnej úpravy týkajúcej sa výšky úrokov z omeškania v občianskoprávnych a v obchodno-právnych vzťahoch,</w:t>
      </w:r>
    </w:p>
    <w:p w:rsidR="00125AE3" w:rsidRPr="00D67B78" w:rsidP="007B069D">
      <w:pPr>
        <w:numPr>
          <w:ilvl w:val="0"/>
          <w:numId w:val="1"/>
        </w:numPr>
        <w:tabs>
          <w:tab w:val="left" w:pos="360"/>
        </w:tabs>
        <w:spacing w:line="360" w:lineRule="auto"/>
        <w:ind w:left="0" w:firstLine="0"/>
        <w:jc w:val="both"/>
        <w:rPr>
          <w:rFonts w:ascii="Times New Roman" w:hAnsi="Times New Roman" w:cs="Times New Roman"/>
        </w:rPr>
      </w:pPr>
      <w:r w:rsidRPr="00D67B78">
        <w:rPr>
          <w:rFonts w:ascii="Times New Roman" w:hAnsi="Times New Roman" w:cs="Times New Roman"/>
        </w:rPr>
        <w:t>tak účastníci konania (spravidla veritelia žalobcovia) v žalobách, ako aj súdy vo výrokoch svojich rozhodnutí nebudú musieť „kúskovať“ obdobie omeškania presahujúce polrok podľa vývoja základnej úrokovej sadzby NBS. Tým, že sa využije pre veriteľov priaznivejšia právna úprava (10 + základná úroková sadzba oproti smernici 7 + základná úroková sadzba), bude spravidla umožnené využiť základnú úrokovú sadzbu platnú odo dňa omeškania na celé obdobie omeškania.</w:t>
      </w:r>
    </w:p>
    <w:p w:rsidR="00125AE3" w:rsidRPr="00D67B78" w:rsidP="007B069D">
      <w:pPr>
        <w:spacing w:line="360" w:lineRule="auto"/>
        <w:jc w:val="both"/>
        <w:rPr>
          <w:rFonts w:ascii="Times New Roman" w:hAnsi="Times New Roman" w:cs="Times New Roman"/>
        </w:rPr>
      </w:pPr>
      <w:r w:rsidRPr="00D67B78">
        <w:rPr>
          <w:rFonts w:ascii="Times New Roman" w:hAnsi="Times New Roman" w:cs="Times New Roman"/>
        </w:rPr>
        <w:t>Smernica predpisuje len výsledok, ktorý má byť dosiahnutý, zatiaľ čo metódy a formy dosiahnutia tohto cieľa zostávajú na vôli štátov.</w:t>
      </w:r>
    </w:p>
    <w:p w:rsidR="00125AE3" w:rsidRPr="00D67B78" w:rsidP="007B069D">
      <w:pPr>
        <w:numPr>
          <w:ilvl w:val="0"/>
          <w:numId w:val="1"/>
        </w:numPr>
        <w:tabs>
          <w:tab w:val="left" w:pos="360"/>
        </w:tabs>
        <w:spacing w:line="360" w:lineRule="auto"/>
        <w:ind w:left="0" w:firstLine="0"/>
        <w:jc w:val="both"/>
        <w:rPr>
          <w:rFonts w:ascii="Times New Roman" w:hAnsi="Times New Roman" w:cs="Times New Roman"/>
        </w:rPr>
      </w:pPr>
      <w:r w:rsidRPr="00D67B78">
        <w:rPr>
          <w:rFonts w:ascii="Times New Roman" w:hAnsi="Times New Roman" w:cs="Times New Roman"/>
        </w:rPr>
        <w:t>úprava výšky úrokov z omeškania vo vykonávacom predpise umožní flexibilným spôsobom zareagovať v budúcnosti zmenou právnej úpravy v menej náročnejšom legislatívnom procese.</w:t>
      </w:r>
    </w:p>
    <w:p w:rsidR="00125AE3" w:rsidRPr="00D67B78" w:rsidP="007B069D">
      <w:pPr>
        <w:spacing w:line="360" w:lineRule="auto"/>
        <w:ind w:firstLine="705"/>
        <w:jc w:val="both"/>
        <w:rPr>
          <w:rFonts w:ascii="Times New Roman" w:hAnsi="Times New Roman" w:cs="Times New Roman"/>
        </w:rPr>
      </w:pPr>
      <w:r w:rsidRPr="00D67B78">
        <w:rPr>
          <w:rFonts w:ascii="Times New Roman" w:hAnsi="Times New Roman" w:cs="Times New Roman"/>
        </w:rPr>
        <w:t>Článok 3 odsek 1 písmeno d) smernice 2000/35/ES z 29. 6. 2000 o boji proti oneskoreným platbám v obchodných transakciách: „výška úroku z omeškania (zákonná sadzba), ktorú je dlžník povinný zaplatiť, sa rovná hodnote úrokovej sadzby uplatňovanej Európskou centrálnou bankou na jej poslednú hlavnú refinancujúcu operáciu vykonanú pred 1. kalendárnym dňom príslušného polroka (referenčná sadzba) zvýšenej minimálne o 7 percentuálnych bodov (marža), pokiaľ nie je v zmluve určené inak. Pre členský štát, ktorý sa nezúčastňuje tretej etapy hospodárskej a menovej únie, je vyššie uvedená referenčná sadzba zhodná so sadzbou stanovenou jeho národnou centrálnou bankou. V oboch prípadoch sa referenčná sadzba platná v prvý kalendárny deň príslušného polroka použije počas nasledujúcich 6 mesiacov“.</w:t>
      </w:r>
    </w:p>
    <w:p w:rsidR="00125AE3" w:rsidRPr="00D67B78" w:rsidP="007B069D">
      <w:pPr>
        <w:spacing w:line="360" w:lineRule="auto"/>
        <w:ind w:firstLine="705"/>
        <w:jc w:val="both"/>
        <w:rPr>
          <w:rFonts w:ascii="Times New Roman" w:hAnsi="Times New Roman" w:cs="Times New Roman"/>
        </w:rPr>
      </w:pPr>
      <w:r w:rsidRPr="00D67B78">
        <w:rPr>
          <w:rFonts w:ascii="Times New Roman" w:hAnsi="Times New Roman" w:cs="Times New Roman"/>
        </w:rPr>
        <w:t>Smernica sa vzťahuje na všetky platby uskutočnené ako odplata za obchodné transakcie</w:t>
      </w:r>
    </w:p>
    <w:p w:rsidR="00125AE3" w:rsidRPr="00D67B78" w:rsidP="007B069D">
      <w:pPr>
        <w:spacing w:line="360" w:lineRule="auto"/>
        <w:ind w:firstLine="705"/>
        <w:jc w:val="both"/>
        <w:rPr>
          <w:rFonts w:ascii="Times New Roman" w:hAnsi="Times New Roman" w:cs="Times New Roman"/>
        </w:rPr>
      </w:pPr>
      <w:r w:rsidRPr="00D67B78">
        <w:rPr>
          <w:rFonts w:ascii="Times New Roman" w:hAnsi="Times New Roman" w:cs="Times New Roman"/>
        </w:rPr>
        <w:t xml:space="preserve">Obchodné transakcie smernica definuje ako transakcie medzi podnikmi alebo medzi podnikmi a orgánmi verejnej správy, ktoré vedú k dodávke tovaru alebo k poskytnutiu služieb za odplatu. </w:t>
      </w:r>
    </w:p>
    <w:p w:rsidR="00125AE3" w:rsidRPr="00D67B78" w:rsidP="007B069D">
      <w:pPr>
        <w:spacing w:line="360" w:lineRule="auto"/>
        <w:ind w:firstLine="708"/>
        <w:jc w:val="both"/>
        <w:rPr>
          <w:rFonts w:ascii="Times New Roman" w:hAnsi="Times New Roman" w:cs="Times New Roman"/>
        </w:rPr>
      </w:pPr>
      <w:r w:rsidRPr="00D67B78">
        <w:rPr>
          <w:rFonts w:ascii="Times New Roman" w:hAnsi="Times New Roman" w:cs="Times New Roman"/>
        </w:rPr>
        <w:t>Postavenie spotrebiteľa nemôže byť rozdielne s ohľadom na režim zákona, ktorý zvolí spravidla dodávateľ (podnikateľ) v typovej zmluve. Výška úrokov z omeškania je podľa predpisov občianskeho práva výškou kogentnou, pričom všeobecne sa uznáva, že najvyššiu výšku úrokov z omeškania nie je možné prekročiť. Z dôvodu zabezpečenia cieľa vysokej úrovne ochrany spotrebiteľov (porovnaj napr. čl. 153 zmluvy o založení ES) je vhodné ustanoviť maximálnu výšku úrokov z omeškania, a to odlišne práve pre prípady spotrebiteľských zmlúv zvažujúc aj ustanovenia smernice 93/13/ES o neprimeraných podmienkach v spotrebiteľských zmluvách, ale aj ustanovenia smernice 2000/35/ES                o omeškaných platbách v obchodných transakciách. Za spotrebiteľa je treba považovať aj podnikateľa za stavu, že do vzťahu s dodávateľom vstúpil nie za účelom vykonávania podnikateľskej činnosti. Nie je významné to, že osoba je držiteľom oprávnenia na podnikanie ale významný je obsah právneho vzťahu (do pozornosti rozhodnutie Ústavného súdu Českej republiky č. III. ÚS 140/99).</w:t>
      </w:r>
    </w:p>
    <w:p w:rsidR="00125AE3" w:rsidRPr="00D67B78" w:rsidP="007B069D">
      <w:pPr>
        <w:spacing w:line="360" w:lineRule="auto"/>
        <w:ind w:firstLine="708"/>
        <w:jc w:val="both"/>
        <w:rPr>
          <w:rFonts w:ascii="Times New Roman" w:hAnsi="Times New Roman" w:cs="Times New Roman"/>
          <w:b/>
          <w:i/>
        </w:rPr>
      </w:pPr>
      <w:r w:rsidRPr="00D67B78">
        <w:rPr>
          <w:rFonts w:ascii="Times New Roman" w:hAnsi="Times New Roman" w:cs="Times New Roman"/>
        </w:rPr>
        <w:t xml:space="preserve">V praxi boli zaznamenané dohodnuté úroky enormne vysoké aj vo vzťahu                    k spotrebiteľom napríklad 0,5 % na deň, čo predstavuje 182,5 % ročne. Tu je preto potrebné stanoviť rovnaký princíp ako pri úprave Občianskeho zákonníka. </w:t>
      </w:r>
    </w:p>
    <w:p w:rsidR="00125AE3" w:rsidRPr="00D67B78" w:rsidP="007B069D">
      <w:pPr>
        <w:spacing w:line="360" w:lineRule="auto"/>
        <w:ind w:firstLine="708"/>
        <w:jc w:val="both"/>
        <w:rPr>
          <w:rFonts w:ascii="Times New Roman" w:hAnsi="Times New Roman" w:cs="Times New Roman"/>
        </w:rPr>
      </w:pPr>
      <w:r w:rsidRPr="00D67B78">
        <w:rPr>
          <w:rFonts w:ascii="Times New Roman" w:hAnsi="Times New Roman" w:cs="Times New Roman"/>
        </w:rPr>
        <w:t xml:space="preserve">Navrhovaná zmena Nariadenia vlády SR č. 87/1995 Z. z. v praxi vyrieši najpálčivejší problém a tým je zisťovanie výšky úrokov pri obchodných sporoch. Doterajšia dikcia § 369 Obchodného zákonníka bola v tomto nejasná a spôsobovala obchodným sudcom problémy pri praktickom výpočte výšky úroku z omeškania. Pri zmene ustanovenia sa predkladateľ chcel vyporiadať aj s odlišným znením a počítaním sankcií z omeškania podľa Občianskeho             a Obchodného zákonníka. Preto sa tento inštitút zjednocuje pre spory vyplývajúce                   z obchodného aj civilného kódexu a nanovo bude upravený v nariadení vlády. Zmena sa vyporiadala aj s európskou legislatívou, ktorá upravuje omeškania v obchodných transakciách a to konkrétne Smernica 2000/35/ES.   </w:t>
      </w:r>
    </w:p>
    <w:p w:rsidR="00125AE3" w:rsidRPr="00D67B78" w:rsidP="007B069D">
      <w:pPr>
        <w:spacing w:line="360" w:lineRule="auto"/>
        <w:ind w:firstLine="708"/>
        <w:jc w:val="both"/>
        <w:rPr>
          <w:rFonts w:ascii="Times New Roman" w:hAnsi="Times New Roman" w:cs="Times New Roman"/>
          <w:i/>
        </w:rPr>
      </w:pPr>
      <w:r w:rsidRPr="00D67B78">
        <w:rPr>
          <w:rFonts w:ascii="Times New Roman" w:hAnsi="Times New Roman" w:cs="Times New Roman"/>
        </w:rPr>
        <w:t xml:space="preserve">Návrh je benevolentnejší a umožňuje dohodnúť si v rámci zmluvného vzťahu podnikateľ-podnikateľ i viac, ako to stanovuje smernica. Takáto úprave je však so spomenutou európskou legislatívou v súlade, nakoľko takýto postup </w:t>
      </w:r>
      <w:r w:rsidRPr="007B069D">
        <w:rPr>
          <w:rFonts w:ascii="Times New Roman" w:hAnsi="Times New Roman" w:cs="Times New Roman"/>
        </w:rPr>
        <w:t xml:space="preserve">predpokladá Čl. 6 Smernice: </w:t>
      </w:r>
      <w:r w:rsidRPr="007B069D">
        <w:rPr>
          <w:rFonts w:ascii="Times New Roman" w:hAnsi="Times New Roman" w:cs="Times New Roman"/>
          <w:i/>
        </w:rPr>
        <w:t>„Členské štáty môžu zachovať alebo uviesť do účinnosti ustanovenia, ktoré sú pre</w:t>
      </w:r>
      <w:r w:rsidRPr="00D67B78">
        <w:rPr>
          <w:rFonts w:ascii="Times New Roman" w:hAnsi="Times New Roman" w:cs="Times New Roman"/>
          <w:i/>
        </w:rPr>
        <w:t xml:space="preserve"> veriteľov výhodnejšie ako ustanovenia potrebné na dosiahnutie súladu s touto smernicou.“</w:t>
      </w:r>
    </w:p>
    <w:p w:rsidR="00125AE3" w:rsidRPr="00D67B78" w:rsidP="007B069D">
      <w:pPr>
        <w:spacing w:line="360" w:lineRule="auto"/>
        <w:jc w:val="both"/>
        <w:rPr>
          <w:rFonts w:ascii="Times New Roman" w:hAnsi="Times New Roman" w:cs="Times New Roman"/>
        </w:rPr>
      </w:pPr>
      <w:r w:rsidRPr="00D67B78">
        <w:rPr>
          <w:rFonts w:ascii="Times New Roman" w:hAnsi="Times New Roman" w:cs="Times New Roman"/>
        </w:rPr>
        <w:t>Ak sa dostane do zmluvného vzťahu s podnikateľským subjektom spotrebiteľ, bude limitácia úrokov z omeškania, pevná a jej výška určená predpismi občianskeho práva (Nariadenie vlády č. 87/1995 Z. z).</w:t>
      </w:r>
    </w:p>
    <w:p w:rsidR="007B069D" w:rsidRPr="00D67B78" w:rsidP="007B069D">
      <w:pPr>
        <w:spacing w:line="360" w:lineRule="auto"/>
        <w:ind w:firstLine="708"/>
        <w:jc w:val="both"/>
        <w:rPr>
          <w:rFonts w:ascii="Times New Roman" w:hAnsi="Times New Roman" w:cs="Times New Roman"/>
        </w:rPr>
      </w:pPr>
      <w:r w:rsidRPr="00D67B78" w:rsidR="00125AE3">
        <w:rPr>
          <w:rFonts w:ascii="Times New Roman" w:hAnsi="Times New Roman" w:cs="Times New Roman"/>
        </w:rPr>
        <w:t xml:space="preserve">Od navrhovanej zmeny si predkladateľ sľubuje hlavne zjednodušenie práce sudcov pri výpočtoch úrokov z omeškania, kde už nebudú musieť každý polrok aplikovať inú sadzu NBS, čo pri viacerých pohľadávkach s rôznou dobou splatnosti, spôsobuje predlžovanie súdneho konania na úkor účastníka. </w:t>
      </w:r>
    </w:p>
    <w:p w:rsidR="00125AE3" w:rsidRPr="00D67B78" w:rsidP="007B069D">
      <w:pPr>
        <w:pStyle w:val="BodyText"/>
        <w:spacing w:after="0" w:line="360" w:lineRule="auto"/>
        <w:outlineLvl w:val="0"/>
        <w:rPr>
          <w:rFonts w:ascii="Times New Roman" w:hAnsi="Times New Roman" w:cs="Times New Roman"/>
          <w:b/>
        </w:rPr>
      </w:pPr>
      <w:r w:rsidRPr="00D67B78">
        <w:rPr>
          <w:rFonts w:ascii="Times New Roman" w:hAnsi="Times New Roman" w:cs="Times New Roman"/>
          <w:b/>
        </w:rPr>
        <w:t>K bodu 2 (§ 735)</w:t>
      </w:r>
    </w:p>
    <w:p w:rsidR="00125AE3" w:rsidRPr="00D67B78" w:rsidP="007B069D">
      <w:pPr>
        <w:pStyle w:val="BodyText"/>
        <w:spacing w:after="0" w:line="360" w:lineRule="auto"/>
        <w:ind w:firstLine="708"/>
        <w:jc w:val="both"/>
        <w:outlineLvl w:val="0"/>
        <w:rPr>
          <w:rFonts w:ascii="Times New Roman" w:hAnsi="Times New Roman" w:cs="Times New Roman"/>
        </w:rPr>
      </w:pPr>
      <w:r w:rsidRPr="00D67B78">
        <w:rPr>
          <w:rFonts w:ascii="Times New Roman" w:hAnsi="Times New Roman" w:cs="Times New Roman"/>
        </w:rPr>
        <w:t>Vypustenie uvedeného ustanovenia sa navrhuje vzhľadom na novonavrhované znenie § 369 ako aj na skutočnosť</w:t>
      </w:r>
      <w:r>
        <w:rPr>
          <w:rFonts w:ascii="Times New Roman" w:hAnsi="Times New Roman" w:cs="Times New Roman"/>
        </w:rPr>
        <w:t>, že uvedenou zmenou sa sleduje</w:t>
      </w:r>
      <w:r w:rsidRPr="00D67B78">
        <w:rPr>
          <w:rFonts w:ascii="Times New Roman" w:hAnsi="Times New Roman" w:cs="Times New Roman"/>
        </w:rPr>
        <w:t xml:space="preserve"> zjednotenie občianskoprávnej     a obchodnoprávnej úpravy úrokov z omeškania. Naviac predkladateľ nevidí dôvod, prečo by bolo potrebné ponechanie osobitnej úpravy výpočtu úrokov z omeškania pre obchodné záväzkové vzťahy s medzinárodným prvkom.</w:t>
      </w:r>
    </w:p>
    <w:p w:rsidR="00125AE3" w:rsidP="007B069D">
      <w:pPr>
        <w:pStyle w:val="BodyText"/>
        <w:spacing w:after="0" w:line="360" w:lineRule="auto"/>
        <w:ind w:firstLine="708"/>
        <w:jc w:val="both"/>
        <w:outlineLvl w:val="0"/>
        <w:rPr>
          <w:rFonts w:ascii="Times New Roman" w:hAnsi="Times New Roman" w:cs="Times New Roman"/>
        </w:rPr>
      </w:pPr>
      <w:r w:rsidRPr="00D67B78">
        <w:rPr>
          <w:rFonts w:ascii="Times New Roman" w:hAnsi="Times New Roman" w:cs="Times New Roman"/>
        </w:rPr>
        <w:t>Na základe vykonanej zmeny sa na obchodno-záväzkové vzťahy s medzinárodným prvkom v prípade aplikácie slovenského práva (na použitie ktorého odkáže kolízna norma medzinárodného práva súkromného, resp. aplikáciu ktorého si ako rozhodné právo pre ich zmluvný vzťah strany dohodli) bude aplikovať § 369 odsek 1 Obchodného zákonníka, ktorý odkáže, s výnimkou prípadu existujúceho špeciálneho dojednania v zmluve, na použitie predpisov občianskeho práva. Týmto predpisom je Občiansky zákonník, konkrétne jeho ustanovenie § 517 odsek 2 text za bodkočiarkou, ktoré odkazuje určenie výpočtu výšky úrokov z omeškania a poplatku z omeškania na vykonávací predpis, ktorým je nariadenie vlády Slovenskej republiky č. 87/1995 Z. z., ktorým sa vykonávajú niektoré ustanovenia Občianskeho zákonníka.</w:t>
      </w:r>
    </w:p>
    <w:p w:rsidR="00C31185" w:rsidP="007B069D">
      <w:pPr>
        <w:pStyle w:val="BodyText"/>
        <w:spacing w:after="0" w:line="360" w:lineRule="auto"/>
        <w:ind w:firstLine="708"/>
        <w:jc w:val="both"/>
        <w:outlineLvl w:val="0"/>
        <w:rPr>
          <w:rFonts w:ascii="Times New Roman" w:hAnsi="Times New Roman" w:cs="Times New Roman"/>
        </w:rPr>
      </w:pPr>
      <w:r w:rsidR="000E4DC0">
        <w:rPr>
          <w:rFonts w:ascii="Times New Roman" w:hAnsi="Times New Roman" w:cs="Times New Roman"/>
        </w:rPr>
        <w:t xml:space="preserve">K otázke primeranosti úrokov z omeškania vo vzťahu k spotrebiteľovi predkladateľ zdôrazňuje, že ide o spotrebiteľa a pre porovnanie v „biznis“ vzťahoch, v prípade absencie dohody Európska únia odporúča ešte nižšie úroky z omeškania a to 7 % + základná úroková sadzba. </w:t>
      </w:r>
    </w:p>
    <w:p w:rsidR="007B069D" w:rsidRPr="002B2E60" w:rsidP="007B069D">
      <w:pPr>
        <w:pStyle w:val="BodyText"/>
        <w:spacing w:after="0" w:line="360" w:lineRule="auto"/>
        <w:ind w:firstLine="708"/>
        <w:jc w:val="both"/>
        <w:outlineLvl w:val="0"/>
        <w:rPr>
          <w:rFonts w:ascii="Times New Roman" w:hAnsi="Times New Roman" w:cs="Times New Roman"/>
        </w:rPr>
      </w:pPr>
    </w:p>
    <w:p w:rsidR="00125AE3" w:rsidRPr="00D67B78" w:rsidP="007B069D">
      <w:pPr>
        <w:pStyle w:val="BodyText"/>
        <w:spacing w:after="0" w:line="360" w:lineRule="auto"/>
        <w:outlineLvl w:val="0"/>
        <w:rPr>
          <w:rFonts w:ascii="Times New Roman" w:hAnsi="Times New Roman" w:cs="Times New Roman"/>
          <w:b/>
        </w:rPr>
      </w:pPr>
      <w:r w:rsidRPr="00D67B78">
        <w:rPr>
          <w:rFonts w:ascii="Times New Roman" w:hAnsi="Times New Roman" w:cs="Times New Roman"/>
          <w:b/>
        </w:rPr>
        <w:t xml:space="preserve">K bodu 3 (§ </w:t>
      </w:r>
      <w:smartTag w:uri="urn:schemas-microsoft-com:office:smarttags" w:element="metricconverter">
        <w:smartTagPr>
          <w:attr w:name="ProductID" w:val="768f"/>
        </w:smartTagPr>
        <w:r w:rsidRPr="00D67B78">
          <w:rPr>
            <w:rFonts w:ascii="Times New Roman" w:hAnsi="Times New Roman" w:cs="Times New Roman"/>
            <w:b/>
          </w:rPr>
          <w:t>768f</w:t>
        </w:r>
      </w:smartTag>
      <w:r w:rsidRPr="00D67B78">
        <w:rPr>
          <w:rFonts w:ascii="Times New Roman" w:hAnsi="Times New Roman" w:cs="Times New Roman"/>
          <w:b/>
        </w:rPr>
        <w:t>)</w:t>
      </w:r>
    </w:p>
    <w:p w:rsidR="00DF5415" w:rsidP="007B069D">
      <w:pPr>
        <w:pStyle w:val="BodyText"/>
        <w:spacing w:after="0" w:line="360" w:lineRule="auto"/>
        <w:ind w:firstLine="708"/>
        <w:jc w:val="both"/>
        <w:outlineLvl w:val="0"/>
        <w:rPr>
          <w:rFonts w:ascii="Times New Roman" w:hAnsi="Times New Roman" w:cs="Times New Roman"/>
        </w:rPr>
      </w:pPr>
      <w:r w:rsidRPr="00D67B78" w:rsidR="00125AE3">
        <w:rPr>
          <w:rFonts w:ascii="Times New Roman" w:hAnsi="Times New Roman" w:cs="Times New Roman"/>
        </w:rPr>
        <w:t xml:space="preserve">Intertemporálne ustanovenie má za cieľ vyporiadať vzťah starej a novej právnej úpravy. Nová právna úprava úrokov z omeškania bude dopadať len na právne vzťahy, z ktorých vzniklo omeškanie a ktoré nastali po nadobudnutí účinnosti </w:t>
      </w:r>
      <w:r w:rsidR="00934ECD">
        <w:rPr>
          <w:rFonts w:ascii="Times New Roman" w:hAnsi="Times New Roman" w:cs="Times New Roman"/>
        </w:rPr>
        <w:t xml:space="preserve">návrhu zákona. </w:t>
      </w:r>
      <w:r w:rsidRPr="00D67B78" w:rsidR="00125AE3">
        <w:rPr>
          <w:rFonts w:ascii="Times New Roman" w:hAnsi="Times New Roman" w:cs="Times New Roman"/>
        </w:rPr>
        <w:t>Pokiaľ ide o och</w:t>
      </w:r>
      <w:r w:rsidR="00125AE3">
        <w:rPr>
          <w:rFonts w:ascii="Times New Roman" w:hAnsi="Times New Roman" w:cs="Times New Roman"/>
        </w:rPr>
        <w:t>ranu spotrebiteľa v súvislosti s omeškaním</w:t>
      </w:r>
      <w:r w:rsidRPr="00D67B78" w:rsidR="00125AE3">
        <w:rPr>
          <w:rFonts w:ascii="Times New Roman" w:hAnsi="Times New Roman" w:cs="Times New Roman"/>
        </w:rPr>
        <w:t xml:space="preserve"> zo vzťahov pred nadobudnutím účinnosti</w:t>
      </w:r>
      <w:r w:rsidR="00934ECD">
        <w:rPr>
          <w:rFonts w:ascii="Times New Roman" w:hAnsi="Times New Roman" w:cs="Times New Roman"/>
        </w:rPr>
        <w:t xml:space="preserve"> návrhu zákona</w:t>
      </w:r>
      <w:r w:rsidRPr="00D67B78" w:rsidR="00125AE3">
        <w:rPr>
          <w:rFonts w:ascii="Times New Roman" w:hAnsi="Times New Roman" w:cs="Times New Roman"/>
        </w:rPr>
        <w:t>, predkladateľ dáva do pozornosti neprimerané sankcie, ako neprimeranú zmluvnú podmienku v spotrebiteľských zmluvách v § 53 Občianskeho zákonníka a inštitút dobrých mravov, na ktoré prihliada sudca a s ktorými súvisí absolútna neplatnosť (§ 39 Občianskeho zákonníka).</w:t>
      </w:r>
    </w:p>
    <w:p w:rsidR="007B069D" w:rsidP="007B069D">
      <w:pPr>
        <w:pStyle w:val="BodyText"/>
        <w:spacing w:after="0" w:line="360" w:lineRule="auto"/>
        <w:ind w:firstLine="708"/>
        <w:jc w:val="both"/>
        <w:outlineLvl w:val="0"/>
        <w:rPr>
          <w:rFonts w:ascii="Times New Roman" w:hAnsi="Times New Roman" w:cs="Times New Roman"/>
        </w:rPr>
      </w:pPr>
    </w:p>
    <w:p w:rsidR="007B069D" w:rsidP="007B069D">
      <w:pPr>
        <w:pStyle w:val="BodyText"/>
        <w:spacing w:after="0" w:line="360" w:lineRule="auto"/>
        <w:ind w:firstLine="708"/>
        <w:jc w:val="both"/>
        <w:outlineLvl w:val="0"/>
        <w:rPr>
          <w:rFonts w:ascii="Times New Roman" w:hAnsi="Times New Roman" w:cs="Times New Roman"/>
        </w:rPr>
      </w:pPr>
    </w:p>
    <w:p w:rsidR="007B069D" w:rsidP="007B069D">
      <w:pPr>
        <w:pStyle w:val="BodyText"/>
        <w:spacing w:after="0" w:line="360" w:lineRule="auto"/>
        <w:ind w:firstLine="708"/>
        <w:jc w:val="both"/>
        <w:outlineLvl w:val="0"/>
        <w:rPr>
          <w:rFonts w:ascii="Times New Roman" w:hAnsi="Times New Roman" w:cs="Times New Roman"/>
        </w:rPr>
      </w:pPr>
    </w:p>
    <w:p w:rsidR="007B069D" w:rsidP="007B069D">
      <w:pPr>
        <w:pStyle w:val="BodyText"/>
        <w:spacing w:after="0" w:line="360" w:lineRule="auto"/>
        <w:ind w:firstLine="708"/>
        <w:jc w:val="both"/>
        <w:outlineLvl w:val="0"/>
        <w:rPr>
          <w:rFonts w:ascii="Times New Roman" w:hAnsi="Times New Roman" w:cs="Times New Roman"/>
        </w:rPr>
      </w:pPr>
    </w:p>
    <w:p w:rsidR="009111E6" w:rsidP="007B069D">
      <w:pPr>
        <w:pStyle w:val="BodyText"/>
        <w:spacing w:after="0" w:line="360" w:lineRule="auto"/>
        <w:jc w:val="both"/>
        <w:outlineLvl w:val="0"/>
        <w:rPr>
          <w:rFonts w:ascii="Times New Roman" w:hAnsi="Times New Roman" w:cs="Times New Roman"/>
          <w:b/>
        </w:rPr>
      </w:pPr>
      <w:r w:rsidRPr="009111E6">
        <w:rPr>
          <w:rFonts w:ascii="Times New Roman" w:hAnsi="Times New Roman" w:cs="Times New Roman"/>
          <w:b/>
        </w:rPr>
        <w:t>K článku II (účinnosť)</w:t>
      </w:r>
    </w:p>
    <w:p w:rsidR="009111E6" w:rsidRPr="00CA5818" w:rsidP="007B069D">
      <w:pPr>
        <w:pStyle w:val="BodyText"/>
        <w:spacing w:after="0" w:line="360" w:lineRule="auto"/>
        <w:jc w:val="both"/>
        <w:outlineLvl w:val="0"/>
        <w:rPr>
          <w:rFonts w:ascii="Times New Roman" w:hAnsi="Times New Roman" w:cs="Times New Roman"/>
        </w:rPr>
      </w:pPr>
      <w:r w:rsidR="00DE628E">
        <w:rPr>
          <w:rFonts w:ascii="Times New Roman" w:hAnsi="Times New Roman" w:cs="Times New Roman"/>
          <w:b/>
        </w:rPr>
        <w:tab/>
      </w:r>
      <w:r w:rsidRPr="00CA5818" w:rsidR="00DE628E">
        <w:rPr>
          <w:rFonts w:ascii="Times New Roman" w:hAnsi="Times New Roman" w:cs="Times New Roman"/>
        </w:rPr>
        <w:t>Účinnosť sa navrhuje na 15. januára 2009, nakoľko 1. január</w:t>
      </w:r>
      <w:r w:rsidR="00934ECD">
        <w:rPr>
          <w:rFonts w:ascii="Times New Roman" w:hAnsi="Times New Roman" w:cs="Times New Roman"/>
        </w:rPr>
        <w:t>a 2009</w:t>
      </w:r>
      <w:r w:rsidR="00DF5415">
        <w:rPr>
          <w:rFonts w:ascii="Times New Roman" w:hAnsi="Times New Roman" w:cs="Times New Roman"/>
        </w:rPr>
        <w:t xml:space="preserve"> (dňom zavedenia eura v Slovenskej republiky</w:t>
      </w:r>
      <w:r w:rsidRPr="00CA5818" w:rsidR="00DE628E">
        <w:rPr>
          <w:rFonts w:ascii="Times New Roman" w:hAnsi="Times New Roman" w:cs="Times New Roman"/>
        </w:rPr>
        <w:t>)  nadobúda účinnosť zákon č. 659/2007 Z. z., ktorým sa novelizuje aj</w:t>
      </w:r>
      <w:r w:rsidR="00DF5415">
        <w:rPr>
          <w:rFonts w:ascii="Times New Roman" w:hAnsi="Times New Roman" w:cs="Times New Roman"/>
        </w:rPr>
        <w:t xml:space="preserve"> § 735 </w:t>
      </w:r>
      <w:r w:rsidRPr="00CA5818" w:rsidR="00DE628E">
        <w:rPr>
          <w:rFonts w:ascii="Times New Roman" w:hAnsi="Times New Roman" w:cs="Times New Roman"/>
        </w:rPr>
        <w:t xml:space="preserve"> Obchodn</w:t>
      </w:r>
      <w:r w:rsidR="00DF5415">
        <w:rPr>
          <w:rFonts w:ascii="Times New Roman" w:hAnsi="Times New Roman" w:cs="Times New Roman"/>
        </w:rPr>
        <w:t xml:space="preserve">ého zákonníka. </w:t>
      </w:r>
      <w:r w:rsidRPr="00CA5818" w:rsidR="00DE628E">
        <w:rPr>
          <w:rFonts w:ascii="Times New Roman" w:hAnsi="Times New Roman" w:cs="Times New Roman"/>
        </w:rPr>
        <w:t xml:space="preserve"> </w:t>
      </w:r>
    </w:p>
    <w:p w:rsidR="009111E6" w:rsidRPr="0078758C" w:rsidP="00125AE3">
      <w:pPr>
        <w:pStyle w:val="BodyText"/>
        <w:spacing w:line="360" w:lineRule="auto"/>
        <w:ind w:firstLine="708"/>
        <w:jc w:val="both"/>
        <w:outlineLvl w:val="0"/>
        <w:rPr>
          <w:rFonts w:ascii="Times New Roman" w:hAnsi="Times New Roman" w:cs="Times New Roman"/>
        </w:rPr>
      </w:pPr>
    </w:p>
    <w:p w:rsidR="00B94977" w:rsidRPr="005C6B16" w:rsidP="00B94977">
      <w:pPr>
        <w:rPr>
          <w:rFonts w:ascii="Arial" w:hAnsi="Arial" w:cs="Arial"/>
        </w:rPr>
      </w:pPr>
      <w:r w:rsidRPr="005C6B16">
        <w:rPr>
          <w:rFonts w:ascii="Times New Roman" w:hAnsi="Times New Roman" w:cs="Times New Roman"/>
        </w:rPr>
        <w:t>Bratislava</w:t>
      </w:r>
      <w:smartTag w:uri="urn:schemas-microsoft-com:office:smarttags" w:element="PersonName">
        <w:r w:rsidRPr="005C6B16">
          <w:rPr>
            <w:rFonts w:ascii="Times New Roman" w:hAnsi="Times New Roman" w:cs="Times New Roman"/>
          </w:rPr>
          <w:t>,</w:t>
        </w:r>
      </w:smartTag>
      <w:r>
        <w:rPr>
          <w:rFonts w:ascii="Times New Roman" w:hAnsi="Times New Roman" w:cs="Times New Roman"/>
        </w:rPr>
        <w:t xml:space="preserve"> 18. jún 2008</w:t>
      </w:r>
    </w:p>
    <w:p w:rsidR="00B94977" w:rsidRPr="005C6B16" w:rsidP="00B94977">
      <w:pPr>
        <w:rPr>
          <w:rFonts w:ascii="Arial" w:hAnsi="Arial" w:cs="Arial"/>
        </w:rPr>
      </w:pPr>
    </w:p>
    <w:p w:rsidR="00B94977" w:rsidRPr="005C6B16" w:rsidP="00B94977">
      <w:pPr>
        <w:rPr>
          <w:rFonts w:ascii="Times New Roman" w:hAnsi="Times New Roman" w:cs="Times New Roman"/>
        </w:rPr>
      </w:pPr>
    </w:p>
    <w:p w:rsidR="00B94977" w:rsidRPr="005C6B16" w:rsidP="00B94977">
      <w:pPr>
        <w:jc w:val="center"/>
        <w:rPr>
          <w:rFonts w:ascii="Times New Roman" w:hAnsi="Times New Roman" w:cs="Times New Roman"/>
          <w:b/>
        </w:rPr>
      </w:pPr>
      <w:r w:rsidRPr="005C6B16">
        <w:rPr>
          <w:rFonts w:ascii="Times New Roman" w:hAnsi="Times New Roman" w:cs="Times New Roman"/>
          <w:b/>
        </w:rPr>
        <w:t>Robert Fico</w:t>
      </w:r>
      <w:r w:rsidR="00B721A4">
        <w:rPr>
          <w:rFonts w:ascii="Times New Roman" w:hAnsi="Times New Roman" w:cs="Times New Roman"/>
          <w:b/>
        </w:rPr>
        <w:t xml:space="preserve"> v. r. </w:t>
      </w:r>
    </w:p>
    <w:p w:rsidR="00B94977" w:rsidRPr="005C6B16" w:rsidP="00B94977">
      <w:pPr>
        <w:jc w:val="center"/>
        <w:rPr>
          <w:rFonts w:ascii="Times New Roman" w:hAnsi="Times New Roman" w:cs="Times New Roman"/>
        </w:rPr>
      </w:pPr>
      <w:r w:rsidRPr="005C6B16">
        <w:rPr>
          <w:rFonts w:ascii="Times New Roman" w:hAnsi="Times New Roman" w:cs="Times New Roman"/>
        </w:rPr>
        <w:t>predseda vlády</w:t>
      </w:r>
    </w:p>
    <w:p w:rsidR="00B94977" w:rsidRPr="005C6B16" w:rsidP="00B94977">
      <w:pPr>
        <w:jc w:val="center"/>
        <w:rPr>
          <w:rFonts w:ascii="Times New Roman" w:hAnsi="Times New Roman" w:cs="Times New Roman"/>
        </w:rPr>
      </w:pPr>
      <w:r w:rsidRPr="005C6B16">
        <w:rPr>
          <w:rFonts w:ascii="Times New Roman" w:hAnsi="Times New Roman" w:cs="Times New Roman"/>
        </w:rPr>
        <w:t>Slovenskej republiky</w:t>
      </w:r>
    </w:p>
    <w:p w:rsidR="00B94977" w:rsidRPr="005C6B16" w:rsidP="00B94977">
      <w:pPr>
        <w:jc w:val="center"/>
        <w:rPr>
          <w:rFonts w:ascii="Times New Roman" w:hAnsi="Times New Roman" w:cs="Times New Roman"/>
        </w:rPr>
      </w:pPr>
    </w:p>
    <w:p w:rsidR="00B94977" w:rsidRPr="005C6B16" w:rsidP="00B94977">
      <w:pPr>
        <w:jc w:val="center"/>
        <w:rPr>
          <w:rFonts w:ascii="Times New Roman" w:hAnsi="Times New Roman" w:cs="Times New Roman"/>
        </w:rPr>
      </w:pPr>
    </w:p>
    <w:p w:rsidR="00B94977" w:rsidRPr="005C6B16" w:rsidP="00B94977">
      <w:pPr>
        <w:rPr>
          <w:rFonts w:ascii="Times New Roman" w:hAnsi="Times New Roman" w:cs="Times New Roman"/>
        </w:rPr>
      </w:pPr>
    </w:p>
    <w:p w:rsidR="00B94977" w:rsidRPr="005C6B16" w:rsidP="00B94977">
      <w:pPr>
        <w:jc w:val="center"/>
        <w:rPr>
          <w:rFonts w:ascii="Times New Roman" w:hAnsi="Times New Roman" w:cs="Times New Roman"/>
          <w:b/>
        </w:rPr>
      </w:pPr>
      <w:r w:rsidRPr="005C6B16">
        <w:rPr>
          <w:rFonts w:ascii="Times New Roman" w:hAnsi="Times New Roman" w:cs="Times New Roman"/>
          <w:b/>
        </w:rPr>
        <w:t>Štefan Harabin</w:t>
      </w:r>
      <w:r w:rsidR="00B721A4">
        <w:rPr>
          <w:rFonts w:ascii="Times New Roman" w:hAnsi="Times New Roman" w:cs="Times New Roman"/>
          <w:b/>
        </w:rPr>
        <w:t xml:space="preserve"> v. r. </w:t>
      </w:r>
    </w:p>
    <w:p w:rsidR="00B94977" w:rsidRPr="005C6B16" w:rsidP="00B94977">
      <w:pPr>
        <w:jc w:val="center"/>
        <w:rPr>
          <w:rFonts w:ascii="Times New Roman" w:hAnsi="Times New Roman" w:cs="Times New Roman"/>
        </w:rPr>
      </w:pPr>
      <w:r w:rsidRPr="005C6B16">
        <w:rPr>
          <w:rFonts w:ascii="Times New Roman" w:hAnsi="Times New Roman" w:cs="Times New Roman"/>
        </w:rPr>
        <w:t>podpredseda vlády</w:t>
      </w:r>
    </w:p>
    <w:p w:rsidR="00B94977" w:rsidRPr="005C6B16" w:rsidP="00B94977">
      <w:pPr>
        <w:jc w:val="center"/>
        <w:rPr>
          <w:rFonts w:ascii="Times New Roman" w:hAnsi="Times New Roman" w:cs="Times New Roman"/>
        </w:rPr>
      </w:pPr>
      <w:r w:rsidRPr="005C6B16">
        <w:rPr>
          <w:rFonts w:ascii="Times New Roman" w:hAnsi="Times New Roman" w:cs="Times New Roman"/>
        </w:rPr>
        <w:t>a minister spravodlivosti</w:t>
      </w:r>
    </w:p>
    <w:p w:rsidR="00B94977" w:rsidRPr="005C6B16" w:rsidP="00B94977">
      <w:pPr>
        <w:jc w:val="center"/>
        <w:rPr>
          <w:rFonts w:ascii="Times New Roman" w:hAnsi="Times New Roman" w:cs="Times New Roman"/>
        </w:rPr>
      </w:pPr>
      <w:r w:rsidRPr="005C6B16">
        <w:rPr>
          <w:rFonts w:ascii="Times New Roman" w:hAnsi="Times New Roman" w:cs="Times New Roman"/>
        </w:rPr>
        <w:t>Slovenskej republiky</w:t>
      </w:r>
    </w:p>
    <w:p w:rsidR="00A65207">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Wingdings">
    <w:altName w:val="Symbol"/>
    <w:panose1 w:val="05000000000000000000"/>
    <w:charset w:val="00"/>
    <w:family w:val="auto"/>
    <w:pitch w:val="variable"/>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EDF"/>
    <w:multiLevelType w:val="hybridMultilevel"/>
    <w:tmpl w:val="68420A3A"/>
    <w:lvl w:ilvl="0">
      <w:start w:val="1"/>
      <w:numFmt w:val="bullet"/>
      <w:lvlText w:val=""/>
      <w:lvlJc w:val="left"/>
      <w:pPr>
        <w:tabs>
          <w:tab w:val="num" w:pos="360"/>
        </w:tabs>
        <w:ind w:left="360" w:hanging="360"/>
      </w:pPr>
      <w:rPr>
        <w:rFonts w:ascii="Wingdings" w:hAnsi="Wingdings"/>
        <w:rtl w:val="0"/>
      </w:rPr>
    </w:lvl>
    <w:lvl w:ilvl="1">
      <w:start w:val="1"/>
      <w:numFmt w:val="bullet"/>
      <w:lvlText w:val="o"/>
      <w:lvlJc w:val="left"/>
      <w:pPr>
        <w:tabs>
          <w:tab w:val="num" w:pos="360"/>
        </w:tabs>
        <w:ind w:left="360" w:hanging="360"/>
      </w:pPr>
      <w:rPr>
        <w:rFonts w:ascii="Courier New" w:hAnsi="Courier New"/>
        <w:rtl w:val="0"/>
      </w:rPr>
    </w:lvl>
    <w:lvl w:ilvl="2">
      <w:start w:val="1"/>
      <w:numFmt w:val="bullet"/>
      <w:lvlText w:val=""/>
      <w:lvlJc w:val="left"/>
      <w:pPr>
        <w:tabs>
          <w:tab w:val="num" w:pos="1080"/>
        </w:tabs>
        <w:ind w:left="1080" w:hanging="360"/>
      </w:pPr>
      <w:rPr>
        <w:rFonts w:ascii="Wingdings" w:hAnsi="Wingdings"/>
        <w:rtl w:val="0"/>
      </w:rPr>
    </w:lvl>
    <w:lvl w:ilvl="3">
      <w:start w:val="1"/>
      <w:numFmt w:val="bullet"/>
      <w:lvlText w:val=""/>
      <w:lvlJc w:val="left"/>
      <w:pPr>
        <w:tabs>
          <w:tab w:val="num" w:pos="1800"/>
        </w:tabs>
        <w:ind w:left="1800" w:hanging="360"/>
      </w:pPr>
      <w:rPr>
        <w:rFonts w:ascii="Symbol" w:hAnsi="Symbol"/>
        <w:rtl w:val="0"/>
      </w:rPr>
    </w:lvl>
    <w:lvl w:ilvl="4">
      <w:start w:val="1"/>
      <w:numFmt w:val="bullet"/>
      <w:lvlText w:val="o"/>
      <w:lvlJc w:val="left"/>
      <w:pPr>
        <w:tabs>
          <w:tab w:val="num" w:pos="2520"/>
        </w:tabs>
        <w:ind w:left="2520" w:hanging="360"/>
      </w:pPr>
      <w:rPr>
        <w:rFonts w:ascii="Courier New" w:hAnsi="Courier New"/>
        <w:rtl w:val="0"/>
      </w:rPr>
    </w:lvl>
    <w:lvl w:ilvl="5">
      <w:start w:val="1"/>
      <w:numFmt w:val="bullet"/>
      <w:lvlText w:val=""/>
      <w:lvlJc w:val="left"/>
      <w:pPr>
        <w:tabs>
          <w:tab w:val="num" w:pos="3240"/>
        </w:tabs>
        <w:ind w:left="3240" w:hanging="360"/>
      </w:pPr>
      <w:rPr>
        <w:rFonts w:ascii="Wingdings" w:hAnsi="Wingdings"/>
        <w:rtl w:val="0"/>
      </w:rPr>
    </w:lvl>
    <w:lvl w:ilvl="6">
      <w:start w:val="1"/>
      <w:numFmt w:val="bullet"/>
      <w:lvlText w:val=""/>
      <w:lvlJc w:val="left"/>
      <w:pPr>
        <w:tabs>
          <w:tab w:val="num" w:pos="3960"/>
        </w:tabs>
        <w:ind w:left="3960" w:hanging="360"/>
      </w:pPr>
      <w:rPr>
        <w:rFonts w:ascii="Symbol" w:hAnsi="Symbol"/>
        <w:rtl w:val="0"/>
      </w:rPr>
    </w:lvl>
    <w:lvl w:ilvl="7">
      <w:start w:val="1"/>
      <w:numFmt w:val="bullet"/>
      <w:lvlText w:val="o"/>
      <w:lvlJc w:val="left"/>
      <w:pPr>
        <w:tabs>
          <w:tab w:val="num" w:pos="4680"/>
        </w:tabs>
        <w:ind w:left="4680" w:hanging="360"/>
      </w:pPr>
      <w:rPr>
        <w:rFonts w:ascii="Courier New" w:hAnsi="Courier New"/>
        <w:rtl w:val="0"/>
      </w:rPr>
    </w:lvl>
    <w:lvl w:ilvl="8">
      <w:start w:val="1"/>
      <w:numFmt w:val="bullet"/>
      <w:lvlText w:val=""/>
      <w:lvlJc w:val="left"/>
      <w:pPr>
        <w:tabs>
          <w:tab w:val="num" w:pos="5400"/>
        </w:tabs>
        <w:ind w:left="5400" w:hanging="360"/>
      </w:pPr>
      <w:rPr>
        <w:rFonts w:ascii="Wingdings" w:hAnsi="Wingdings"/>
        <w:rtl w:val="0"/>
      </w:rPr>
    </w:lvl>
  </w:abstractNum>
  <w:abstractNum w:abstractNumId="1">
    <w:nsid w:val="472811E5"/>
    <w:multiLevelType w:val="hybridMultilevel"/>
    <w:tmpl w:val="508A3898"/>
    <w:lvl w:ilvl="0">
      <w:start w:val="1"/>
      <w:numFmt w:val="decimal"/>
      <w:lvlText w:val="%1."/>
      <w:lvlJc w:val="left"/>
      <w:pPr>
        <w:tabs>
          <w:tab w:val="num" w:pos="360"/>
        </w:tabs>
        <w:ind w:left="360" w:hanging="360"/>
      </w:pPr>
      <w:rPr>
        <w:rFonts w:cs="Times New Roman"/>
        <w:rtl w:val="0"/>
      </w:rPr>
    </w:lvl>
    <w:lvl w:ilvl="1">
      <w:start w:val="1"/>
      <w:numFmt w:val="lowerLetter"/>
      <w:lvlText w:val="%2."/>
      <w:lvlJc w:val="left"/>
      <w:pPr>
        <w:tabs>
          <w:tab w:val="num" w:pos="612"/>
        </w:tabs>
        <w:ind w:left="612" w:hanging="360"/>
      </w:pPr>
      <w:rPr>
        <w:rFonts w:cs="Times New Roman"/>
        <w:rtl w:val="0"/>
      </w:rPr>
    </w:lvl>
    <w:lvl w:ilvl="2">
      <w:start w:val="1"/>
      <w:numFmt w:val="lowerRoman"/>
      <w:lvlText w:val="%3."/>
      <w:lvlJc w:val="right"/>
      <w:pPr>
        <w:tabs>
          <w:tab w:val="num" w:pos="1332"/>
        </w:tabs>
        <w:ind w:left="1332" w:hanging="180"/>
      </w:pPr>
      <w:rPr>
        <w:rFonts w:cs="Times New Roman"/>
        <w:rtl w:val="0"/>
      </w:rPr>
    </w:lvl>
    <w:lvl w:ilvl="3">
      <w:start w:val="1"/>
      <w:numFmt w:val="decimal"/>
      <w:lvlText w:val="%4."/>
      <w:lvlJc w:val="left"/>
      <w:pPr>
        <w:tabs>
          <w:tab w:val="num" w:pos="2052"/>
        </w:tabs>
        <w:ind w:left="2052" w:hanging="360"/>
      </w:pPr>
      <w:rPr>
        <w:rFonts w:cs="Times New Roman"/>
        <w:rtl w:val="0"/>
      </w:rPr>
    </w:lvl>
    <w:lvl w:ilvl="4">
      <w:start w:val="1"/>
      <w:numFmt w:val="lowerLetter"/>
      <w:lvlText w:val="%5."/>
      <w:lvlJc w:val="left"/>
      <w:pPr>
        <w:tabs>
          <w:tab w:val="num" w:pos="2772"/>
        </w:tabs>
        <w:ind w:left="2772" w:hanging="360"/>
      </w:pPr>
      <w:rPr>
        <w:rFonts w:cs="Times New Roman"/>
        <w:rtl w:val="0"/>
      </w:rPr>
    </w:lvl>
    <w:lvl w:ilvl="5">
      <w:start w:val="1"/>
      <w:numFmt w:val="lowerRoman"/>
      <w:lvlText w:val="%6."/>
      <w:lvlJc w:val="right"/>
      <w:pPr>
        <w:tabs>
          <w:tab w:val="num" w:pos="3492"/>
        </w:tabs>
        <w:ind w:left="3492" w:hanging="180"/>
      </w:pPr>
      <w:rPr>
        <w:rFonts w:cs="Times New Roman"/>
        <w:rtl w:val="0"/>
      </w:rPr>
    </w:lvl>
    <w:lvl w:ilvl="6">
      <w:start w:val="1"/>
      <w:numFmt w:val="decimal"/>
      <w:lvlText w:val="%7."/>
      <w:lvlJc w:val="left"/>
      <w:pPr>
        <w:tabs>
          <w:tab w:val="num" w:pos="4212"/>
        </w:tabs>
        <w:ind w:left="4212" w:hanging="360"/>
      </w:pPr>
      <w:rPr>
        <w:rFonts w:cs="Times New Roman"/>
        <w:rtl w:val="0"/>
      </w:rPr>
    </w:lvl>
    <w:lvl w:ilvl="7">
      <w:start w:val="1"/>
      <w:numFmt w:val="lowerLetter"/>
      <w:lvlText w:val="%8."/>
      <w:lvlJc w:val="left"/>
      <w:pPr>
        <w:tabs>
          <w:tab w:val="num" w:pos="4932"/>
        </w:tabs>
        <w:ind w:left="4932" w:hanging="360"/>
      </w:pPr>
      <w:rPr>
        <w:rFonts w:cs="Times New Roman"/>
        <w:rtl w:val="0"/>
      </w:rPr>
    </w:lvl>
    <w:lvl w:ilvl="8">
      <w:start w:val="1"/>
      <w:numFmt w:val="lowerRoman"/>
      <w:lvlText w:val="%9."/>
      <w:lvlJc w:val="right"/>
      <w:pPr>
        <w:tabs>
          <w:tab w:val="num" w:pos="5652"/>
        </w:tabs>
        <w:ind w:left="5652" w:hanging="180"/>
      </w:pPr>
      <w:rPr>
        <w:rFonts w:cs="Times New Roman"/>
        <w:rtl w:val="0"/>
      </w:rPr>
    </w:lvl>
  </w:abstractNum>
  <w:abstractNum w:abstractNumId="2">
    <w:nsid w:val="76737E5D"/>
    <w:multiLevelType w:val="hybridMultilevel"/>
    <w:tmpl w:val="8EB06F94"/>
    <w:lvl w:ilvl="0">
      <w:start w:val="1"/>
      <w:numFmt w:val="upperLetter"/>
      <w:lvlText w:val="%1."/>
      <w:lvlJc w:val="left"/>
      <w:pPr>
        <w:tabs>
          <w:tab w:val="num" w:pos="360"/>
        </w:tabs>
        <w:ind w:left="360" w:hanging="360"/>
      </w:pPr>
      <w:rPr>
        <w:rFonts w:cs="Times New Roman"/>
        <w:rtl w:val="0"/>
      </w:rPr>
    </w:lvl>
    <w:lvl w:ilvl="1">
      <w:start w:val="1"/>
      <w:numFmt w:val="lowerLetter"/>
      <w:lvlText w:val="%2."/>
      <w:lvlJc w:val="left"/>
      <w:pPr>
        <w:tabs>
          <w:tab w:val="num" w:pos="1080"/>
        </w:tabs>
        <w:ind w:left="1080" w:hanging="360"/>
      </w:pPr>
      <w:rPr>
        <w:rFonts w:cs="Times New Roman"/>
        <w:rtl w:val="0"/>
      </w:rPr>
    </w:lvl>
    <w:lvl w:ilvl="2">
      <w:start w:val="1"/>
      <w:numFmt w:val="lowerRoman"/>
      <w:lvlText w:val="%3."/>
      <w:lvlJc w:val="right"/>
      <w:pPr>
        <w:tabs>
          <w:tab w:val="num" w:pos="1800"/>
        </w:tabs>
        <w:ind w:left="1800" w:hanging="180"/>
      </w:pPr>
      <w:rPr>
        <w:rFonts w:cs="Times New Roman"/>
        <w:rtl w:val="0"/>
      </w:rPr>
    </w:lvl>
    <w:lvl w:ilvl="3">
      <w:start w:val="1"/>
      <w:numFmt w:val="decimal"/>
      <w:lvlText w:val="%4."/>
      <w:lvlJc w:val="left"/>
      <w:pPr>
        <w:tabs>
          <w:tab w:val="num" w:pos="2520"/>
        </w:tabs>
        <w:ind w:left="2520" w:hanging="360"/>
      </w:pPr>
      <w:rPr>
        <w:rFonts w:cs="Times New Roman"/>
        <w:rtl w:val="0"/>
      </w:rPr>
    </w:lvl>
    <w:lvl w:ilvl="4">
      <w:start w:val="1"/>
      <w:numFmt w:val="lowerLetter"/>
      <w:lvlText w:val="%5."/>
      <w:lvlJc w:val="left"/>
      <w:pPr>
        <w:tabs>
          <w:tab w:val="num" w:pos="3240"/>
        </w:tabs>
        <w:ind w:left="3240" w:hanging="360"/>
      </w:pPr>
      <w:rPr>
        <w:rFonts w:cs="Times New Roman"/>
        <w:rtl w:val="0"/>
      </w:rPr>
    </w:lvl>
    <w:lvl w:ilvl="5">
      <w:start w:val="1"/>
      <w:numFmt w:val="lowerRoman"/>
      <w:lvlText w:val="%6."/>
      <w:lvlJc w:val="right"/>
      <w:pPr>
        <w:tabs>
          <w:tab w:val="num" w:pos="3960"/>
        </w:tabs>
        <w:ind w:left="3960" w:hanging="180"/>
      </w:pPr>
      <w:rPr>
        <w:rFonts w:cs="Times New Roman"/>
        <w:rtl w:val="0"/>
      </w:rPr>
    </w:lvl>
    <w:lvl w:ilvl="6">
      <w:start w:val="1"/>
      <w:numFmt w:val="decimal"/>
      <w:lvlText w:val="%7."/>
      <w:lvlJc w:val="left"/>
      <w:pPr>
        <w:tabs>
          <w:tab w:val="num" w:pos="4680"/>
        </w:tabs>
        <w:ind w:left="4680" w:hanging="360"/>
      </w:pPr>
      <w:rPr>
        <w:rFonts w:cs="Times New Roman"/>
        <w:rtl w:val="0"/>
      </w:rPr>
    </w:lvl>
    <w:lvl w:ilvl="7">
      <w:start w:val="1"/>
      <w:numFmt w:val="lowerLetter"/>
      <w:lvlText w:val="%8."/>
      <w:lvlJc w:val="left"/>
      <w:pPr>
        <w:tabs>
          <w:tab w:val="num" w:pos="5400"/>
        </w:tabs>
        <w:ind w:left="5400" w:hanging="360"/>
      </w:pPr>
      <w:rPr>
        <w:rFonts w:cs="Times New Roman"/>
        <w:rtl w:val="0"/>
      </w:rPr>
    </w:lvl>
    <w:lvl w:ilvl="8">
      <w:start w:val="1"/>
      <w:numFmt w:val="lowerRoman"/>
      <w:lvlText w:val="%9."/>
      <w:lvlJc w:val="right"/>
      <w:pPr>
        <w:tabs>
          <w:tab w:val="num" w:pos="6120"/>
        </w:tabs>
        <w:ind w:left="6120" w:hanging="180"/>
      </w:pPr>
      <w:rPr>
        <w:rFonts w:cs="Times New Roman"/>
        <w:rtl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22275"/>
    <w:rsid w:val="000E4DC0"/>
    <w:rsid w:val="00125AE3"/>
    <w:rsid w:val="002610D5"/>
    <w:rsid w:val="002B2E60"/>
    <w:rsid w:val="00342C72"/>
    <w:rsid w:val="0043504F"/>
    <w:rsid w:val="004A5A42"/>
    <w:rsid w:val="005207B7"/>
    <w:rsid w:val="005C6B16"/>
    <w:rsid w:val="006332F3"/>
    <w:rsid w:val="0078758C"/>
    <w:rsid w:val="007B069D"/>
    <w:rsid w:val="008C208A"/>
    <w:rsid w:val="008D1E2D"/>
    <w:rsid w:val="009111E6"/>
    <w:rsid w:val="00934ECD"/>
    <w:rsid w:val="00A338ED"/>
    <w:rsid w:val="00A61883"/>
    <w:rsid w:val="00A65207"/>
    <w:rsid w:val="00AF5A08"/>
    <w:rsid w:val="00B721A4"/>
    <w:rsid w:val="00B94977"/>
    <w:rsid w:val="00C31185"/>
    <w:rsid w:val="00C650E1"/>
    <w:rsid w:val="00C8735C"/>
    <w:rsid w:val="00CA5818"/>
    <w:rsid w:val="00D533A4"/>
    <w:rsid w:val="00D64690"/>
    <w:rsid w:val="00D65A06"/>
    <w:rsid w:val="00D67B78"/>
    <w:rsid w:val="00D94C54"/>
    <w:rsid w:val="00DE628E"/>
    <w:rsid w:val="00DF5415"/>
    <w:rsid w:val="00E24E2A"/>
    <w:rsid w:val="00E31CA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AE3"/>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125AE3"/>
    <w:pPr>
      <w:spacing w:after="120"/>
      <w:jc w:val="left"/>
    </w:pPr>
  </w:style>
  <w:style w:type="paragraph" w:styleId="BodyText2">
    <w:name w:val="Body Text 2"/>
    <w:basedOn w:val="Normal"/>
    <w:rsid w:val="00AF5A08"/>
    <w:pPr>
      <w:spacing w:after="120" w:line="480" w:lineRule="auto"/>
      <w:jc w:val="left"/>
    </w:pPr>
  </w:style>
  <w:style w:type="paragraph" w:styleId="BodyTextIndent">
    <w:name w:val="Body Text Indent"/>
    <w:basedOn w:val="Normal"/>
    <w:rsid w:val="00AF5A08"/>
    <w:pPr>
      <w:jc w:val="center"/>
    </w:pPr>
    <w:rPr>
      <w:lang w:eastAsia="zh-CN"/>
    </w:rPr>
  </w:style>
  <w:style w:type="paragraph" w:styleId="BodyText3">
    <w:name w:val="Body Text 3"/>
    <w:basedOn w:val="Normal"/>
    <w:rsid w:val="00AF5A08"/>
    <w:pPr>
      <w:spacing w:after="120"/>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2070</Words>
  <Characters>12213</Characters>
  <Application>Microsoft Office Word</Application>
  <DocSecurity>0</DocSecurity>
  <Lines>0</Lines>
  <Paragraphs>0</Paragraphs>
  <ScaleCrop>false</ScaleCrop>
  <Company>MSSR</Company>
  <LinksUpToDate>false</LinksUpToDate>
  <CharactersWithSpaces>14255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viera.bencatova</dc:creator>
  <cp:lastModifiedBy>lucia.pjescakova</cp:lastModifiedBy>
  <cp:revision>2</cp:revision>
  <cp:lastPrinted>2008-07-28T08:47:00Z</cp:lastPrinted>
  <dcterms:created xsi:type="dcterms:W3CDTF">2008-07-29T11:52:00Z</dcterms:created>
  <dcterms:modified xsi:type="dcterms:W3CDTF">2008-07-29T11:52:00Z</dcterms:modified>
</cp:coreProperties>
</file>