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pStyle w:val="Title"/>
        <w:rPr>
          <w:rFonts w:ascii="Arial" w:hAnsi="Arial" w:cs="Arial"/>
        </w:rPr>
      </w:pPr>
      <w:r w:rsidRPr="002E4BB7">
        <w:rPr>
          <w:rFonts w:ascii="Arial" w:hAnsi="Arial" w:cs="Arial"/>
          <w:bCs w:val="0"/>
        </w:rPr>
        <w:t>NÁRODNÁ  RADA  SLOVENSKEJ  REPUBLIKY</w:t>
      </w:r>
    </w:p>
    <w:p w:rsidR="00FD77B9" w:rsidRPr="002E4BB7" w:rsidP="00FD77B9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2E4BB7">
        <w:rPr>
          <w:rFonts w:ascii="Arial" w:hAnsi="Arial" w:cs="Arial"/>
          <w:b/>
          <w:bCs/>
        </w:rPr>
        <w:t>IV. volebné obdobie</w:t>
      </w: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  <w:r w:rsidRPr="002E4BB7">
        <w:rPr>
          <w:rFonts w:ascii="Arial" w:hAnsi="Arial" w:cs="Arial"/>
          <w:b/>
          <w:bCs/>
        </w:rPr>
        <w:t>N á v r h</w:t>
      </w: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  <w:r w:rsidRPr="002E4BB7">
        <w:rPr>
          <w:rFonts w:ascii="Arial" w:hAnsi="Arial" w:cs="Arial"/>
          <w:b/>
          <w:bCs/>
        </w:rPr>
        <w:t>Z á k o n</w:t>
      </w: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  <w:r w:rsidRPr="002E4BB7">
        <w:rPr>
          <w:rFonts w:ascii="Arial" w:hAnsi="Arial" w:cs="Arial"/>
          <w:b/>
          <w:bCs/>
        </w:rPr>
        <w:t>z ..................... 2008,</w:t>
      </w: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055A62" w:rsidP="00FD77B9">
      <w:pPr>
        <w:pStyle w:val="BodyText"/>
        <w:rPr>
          <w:rFonts w:ascii="Arial" w:hAnsi="Arial" w:cs="Arial"/>
          <w:bCs w:val="0"/>
        </w:rPr>
      </w:pPr>
      <w:r w:rsidRPr="002E4BB7" w:rsidR="00FD77B9">
        <w:rPr>
          <w:rFonts w:ascii="Arial" w:hAnsi="Arial" w:cs="Arial"/>
          <w:bCs w:val="0"/>
        </w:rPr>
        <w:t xml:space="preserve">ktorým sa mení a dopĺňa zákon Národnej rady Slovenskej republiky </w:t>
      </w:r>
    </w:p>
    <w:p w:rsidR="00FD77B9" w:rsidRPr="002E4BB7" w:rsidP="00FD77B9">
      <w:pPr>
        <w:pStyle w:val="BodyText"/>
        <w:rPr>
          <w:rFonts w:ascii="Arial" w:hAnsi="Arial" w:cs="Arial"/>
        </w:rPr>
      </w:pPr>
      <w:r w:rsidRPr="002E4BB7">
        <w:rPr>
          <w:rFonts w:ascii="Arial" w:hAnsi="Arial" w:cs="Arial"/>
          <w:bCs w:val="0"/>
        </w:rPr>
        <w:t>č. 350/1996 Z. z. o rokovacom poriadku Národnej rady Slovenskej republiky v z</w:t>
      </w:r>
      <w:r w:rsidRPr="002E4BB7">
        <w:rPr>
          <w:rFonts w:ascii="Arial" w:hAnsi="Arial" w:cs="Arial"/>
          <w:bCs w:val="0"/>
        </w:rPr>
        <w:t xml:space="preserve">není neskorších predpisov </w:t>
      </w: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jc w:val="center"/>
        <w:rPr>
          <w:rFonts w:ascii="Arial" w:hAnsi="Arial" w:cs="Arial"/>
          <w:b/>
          <w:bCs/>
        </w:rPr>
      </w:pPr>
    </w:p>
    <w:p w:rsidR="00FD77B9" w:rsidRPr="002E4BB7" w:rsidP="00FD77B9">
      <w:pPr>
        <w:pStyle w:val="BodyTex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jc w:val="lef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jc w:val="both"/>
        <w:rPr>
          <w:rFonts w:ascii="Arial" w:hAnsi="Arial" w:cs="Arial"/>
          <w:b w:val="0"/>
          <w:bCs w:val="0"/>
        </w:rPr>
      </w:pPr>
      <w:r w:rsidRPr="002E4BB7">
        <w:rPr>
          <w:rFonts w:ascii="Arial" w:hAnsi="Arial" w:cs="Arial"/>
          <w:b w:val="0"/>
          <w:bCs w:val="0"/>
        </w:rPr>
        <w:tab/>
        <w:t>Národná rada Slovenskej republiky sa uzniesla na tomto zákone:</w:t>
      </w:r>
    </w:p>
    <w:p w:rsidR="00FD77B9" w:rsidRPr="002E4BB7" w:rsidP="00FD77B9">
      <w:pPr>
        <w:pStyle w:val="BodyText"/>
        <w:jc w:val="both"/>
        <w:rPr>
          <w:rFonts w:ascii="Arial" w:hAnsi="Arial" w:cs="Arial"/>
          <w:b w:val="0"/>
          <w:bCs w:val="0"/>
        </w:rPr>
      </w:pPr>
    </w:p>
    <w:p w:rsidR="00FD77B9" w:rsidRPr="002E4BB7" w:rsidP="00FD77B9">
      <w:pPr>
        <w:pStyle w:val="BodyTex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rPr>
          <w:rFonts w:ascii="Arial" w:hAnsi="Arial" w:cs="Arial"/>
        </w:rPr>
      </w:pPr>
      <w:r w:rsidRPr="002E4BB7">
        <w:rPr>
          <w:rFonts w:ascii="Arial" w:hAnsi="Arial" w:cs="Arial"/>
          <w:bCs w:val="0"/>
        </w:rPr>
        <w:t>Čl. I</w:t>
      </w:r>
    </w:p>
    <w:p w:rsidR="00FD77B9" w:rsidRPr="002E4BB7" w:rsidP="00FD77B9">
      <w:pPr>
        <w:pStyle w:val="BodyTex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rPr>
          <w:rFonts w:ascii="Arial" w:hAnsi="Arial" w:cs="Arial"/>
          <w:bCs w:val="0"/>
        </w:rPr>
      </w:pPr>
    </w:p>
    <w:p w:rsidR="00FD77B9" w:rsidRPr="002E4BB7" w:rsidP="00FD77B9">
      <w:pPr>
        <w:pStyle w:val="BodyText"/>
        <w:spacing w:line="360" w:lineRule="auto"/>
        <w:ind w:firstLine="708"/>
        <w:jc w:val="both"/>
        <w:rPr>
          <w:rFonts w:ascii="Arial" w:hAnsi="Arial" w:cs="Arial"/>
          <w:b w:val="0"/>
          <w:bCs w:val="0"/>
        </w:rPr>
      </w:pPr>
      <w:r w:rsidRPr="002E4BB7">
        <w:rPr>
          <w:rFonts w:ascii="Arial" w:hAnsi="Arial" w:cs="Arial"/>
          <w:b w:val="0"/>
          <w:bCs w:val="0"/>
        </w:rPr>
        <w:t xml:space="preserve">Zákon  </w:t>
      </w:r>
      <w:r w:rsidR="00055A62">
        <w:rPr>
          <w:rFonts w:ascii="Arial" w:hAnsi="Arial" w:cs="Arial"/>
          <w:b w:val="0"/>
          <w:bCs w:val="0"/>
        </w:rPr>
        <w:t xml:space="preserve">   </w:t>
      </w:r>
      <w:r w:rsidRPr="002E4BB7">
        <w:rPr>
          <w:rFonts w:ascii="Arial" w:hAnsi="Arial" w:cs="Arial"/>
          <w:b w:val="0"/>
          <w:bCs w:val="0"/>
        </w:rPr>
        <w:t xml:space="preserve">Národnej </w:t>
      </w:r>
      <w:r w:rsidR="00055A62">
        <w:rPr>
          <w:rFonts w:ascii="Arial" w:hAnsi="Arial" w:cs="Arial"/>
          <w:b w:val="0"/>
          <w:bCs w:val="0"/>
        </w:rPr>
        <w:t xml:space="preserve">    </w:t>
      </w:r>
      <w:r w:rsidRPr="002E4BB7">
        <w:rPr>
          <w:rFonts w:ascii="Arial" w:hAnsi="Arial" w:cs="Arial"/>
          <w:b w:val="0"/>
          <w:bCs w:val="0"/>
        </w:rPr>
        <w:t xml:space="preserve">rady 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 xml:space="preserve">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 xml:space="preserve">Slovenskej </w:t>
      </w:r>
      <w:r w:rsidR="00055A62">
        <w:rPr>
          <w:rFonts w:ascii="Arial" w:hAnsi="Arial" w:cs="Arial"/>
          <w:b w:val="0"/>
          <w:bCs w:val="0"/>
        </w:rPr>
        <w:t xml:space="preserve">   </w:t>
      </w:r>
      <w:r w:rsidRPr="002E4BB7">
        <w:rPr>
          <w:rFonts w:ascii="Arial" w:hAnsi="Arial" w:cs="Arial"/>
          <w:b w:val="0"/>
          <w:bCs w:val="0"/>
        </w:rPr>
        <w:t xml:space="preserve">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>republiky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 xml:space="preserve"> 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 xml:space="preserve"> č. 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>350/1996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 xml:space="preserve"> Z. z. 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>o rokovacom  poriadku Národnej  rady Slovenskej  republiky v zn</w:t>
      </w:r>
      <w:r w:rsidRPr="002E4BB7">
        <w:rPr>
          <w:rFonts w:ascii="Arial" w:hAnsi="Arial" w:cs="Arial"/>
          <w:b w:val="0"/>
          <w:bCs w:val="0"/>
        </w:rPr>
        <w:t xml:space="preserve">ení nálezu  Ústavného   súdu  Slovenskej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 xml:space="preserve"> republiky</w:t>
      </w:r>
      <w:r w:rsidR="00055A62">
        <w:rPr>
          <w:rFonts w:ascii="Arial" w:hAnsi="Arial" w:cs="Arial"/>
          <w:b w:val="0"/>
          <w:bCs w:val="0"/>
        </w:rPr>
        <w:t xml:space="preserve">  č. 77/199</w:t>
      </w:r>
      <w:r w:rsidR="00365B32">
        <w:rPr>
          <w:rFonts w:ascii="Arial" w:hAnsi="Arial" w:cs="Arial"/>
          <w:b w:val="0"/>
          <w:bCs w:val="0"/>
        </w:rPr>
        <w:t>8</w:t>
      </w:r>
      <w:r w:rsidRPr="002E4BB7">
        <w:rPr>
          <w:rFonts w:ascii="Arial" w:hAnsi="Arial" w:cs="Arial"/>
          <w:b w:val="0"/>
          <w:bCs w:val="0"/>
        </w:rPr>
        <w:t xml:space="preserve"> 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 xml:space="preserve">Z. z.,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>zákona č. 86/2000 Z. z., 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>zákona č. 138/2002 Z. z., 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>zákona č. 100/2003 Z. z., </w:t>
      </w:r>
      <w:r w:rsidR="00055A62">
        <w:rPr>
          <w:rFonts w:ascii="Arial" w:hAnsi="Arial" w:cs="Arial"/>
          <w:b w:val="0"/>
          <w:bCs w:val="0"/>
        </w:rPr>
        <w:t xml:space="preserve">  </w:t>
      </w:r>
      <w:r w:rsidRPr="002E4BB7">
        <w:rPr>
          <w:rFonts w:ascii="Arial" w:hAnsi="Arial" w:cs="Arial"/>
          <w:b w:val="0"/>
          <w:bCs w:val="0"/>
        </w:rPr>
        <w:t xml:space="preserve">zákona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>č. 551/2003 Z.</w:t>
      </w:r>
      <w:r w:rsidR="005D3887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 xml:space="preserve">z.,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 xml:space="preserve">zákona č. 215/2004 </w:t>
      </w:r>
      <w:r w:rsidR="00055A62">
        <w:rPr>
          <w:rFonts w:ascii="Arial" w:hAnsi="Arial" w:cs="Arial"/>
          <w:b w:val="0"/>
          <w:bCs w:val="0"/>
        </w:rPr>
        <w:t xml:space="preserve"> </w:t>
      </w:r>
      <w:r w:rsidRPr="002E4BB7">
        <w:rPr>
          <w:rFonts w:ascii="Arial" w:hAnsi="Arial" w:cs="Arial"/>
          <w:b w:val="0"/>
          <w:bCs w:val="0"/>
        </w:rPr>
        <w:t>Z. z., zákona č. 360/2004 Z. z., zákona č. 253/2005 Z. z., nálezu Ústavného súdu Slovenskej republiky č. 320/2005 Z. z., zákona č. 261/2006 Z. z. a zákona č. 199/2007 Z. z. sa mení a dopĺňa takto:</w:t>
      </w:r>
    </w:p>
    <w:p w:rsidR="00FD77B9" w:rsidRPr="002E4BB7" w:rsidP="00FD77B9">
      <w:pPr>
        <w:pStyle w:val="BodyText"/>
        <w:spacing w:line="360" w:lineRule="auto"/>
        <w:jc w:val="both"/>
        <w:rPr>
          <w:rFonts w:ascii="Arial" w:hAnsi="Arial" w:cs="Arial"/>
          <w:b w:val="0"/>
          <w:bCs w:val="0"/>
        </w:rPr>
      </w:pPr>
    </w:p>
    <w:p w:rsidR="00FD77B9" w:rsidRPr="002E4BB7" w:rsidP="00FD77B9">
      <w:pPr>
        <w:keepNext/>
        <w:numPr>
          <w:ilvl w:val="0"/>
          <w:numId w:val="1"/>
        </w:numPr>
        <w:tabs>
          <w:tab w:val="clear" w:pos="340"/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E4BB7">
        <w:rPr>
          <w:rFonts w:ascii="Arial" w:hAnsi="Arial" w:cs="Arial"/>
        </w:rPr>
        <w:t>V  § 26  ods. 2 sa za slovo „písomne“ vkladajú slová „a v elektronickej forme“ a na konci odseku sa pripájajú</w:t>
      </w:r>
      <w:r w:rsidRPr="002E4BB7">
        <w:rPr>
          <w:rFonts w:ascii="Arial" w:hAnsi="Arial" w:cs="Arial"/>
        </w:rPr>
        <w:t xml:space="preserve"> tieto vety: „Požiadavky na elektronickú formu podávania a doručovania návrhov určí národná rada uznesením. Elektronická forma sa nevyžaduje pri návrhoch obsahujúcich utajované skutočnosti podľa osobitného zákona.</w:t>
      </w:r>
      <w:r w:rsidRPr="002E4BB7">
        <w:rPr>
          <w:rFonts w:ascii="Arial" w:hAnsi="Arial" w:cs="Arial"/>
          <w:vertAlign w:val="superscript"/>
        </w:rPr>
        <w:t>33a)</w:t>
      </w:r>
      <w:r w:rsidRPr="002E4BB7">
        <w:rPr>
          <w:rFonts w:ascii="Arial" w:hAnsi="Arial" w:cs="Arial"/>
        </w:rPr>
        <w:t xml:space="preserve"> “.</w:t>
      </w:r>
    </w:p>
    <w:p w:rsidR="00FD77B9" w:rsidRPr="002E4BB7" w:rsidP="00FD77B9">
      <w:pPr>
        <w:keepNext/>
        <w:tabs>
          <w:tab w:val="left" w:pos="360"/>
        </w:tabs>
        <w:ind w:left="360" w:hanging="360"/>
        <w:jc w:val="both"/>
        <w:rPr>
          <w:rFonts w:ascii="Arial" w:hAnsi="Arial" w:cs="Arial"/>
          <w:vertAlign w:val="superscript"/>
        </w:rPr>
      </w:pPr>
    </w:p>
    <w:p w:rsidR="00FD77B9" w:rsidRPr="002E4BB7" w:rsidP="00FD77B9">
      <w:pPr>
        <w:keepNext/>
        <w:tabs>
          <w:tab w:val="left" w:pos="360"/>
        </w:tabs>
        <w:ind w:left="360"/>
        <w:jc w:val="both"/>
        <w:rPr>
          <w:rFonts w:ascii="Arial" w:hAnsi="Arial" w:cs="Arial"/>
        </w:rPr>
      </w:pPr>
      <w:r w:rsidRPr="002E4BB7">
        <w:rPr>
          <w:rFonts w:ascii="Arial" w:hAnsi="Arial" w:cs="Arial"/>
        </w:rPr>
        <w:t>Poznámka pod čiarou k odkazu 33a znie:</w:t>
      </w:r>
    </w:p>
    <w:p w:rsidR="00FD77B9" w:rsidRPr="002E4BB7" w:rsidP="00FD77B9">
      <w:pPr>
        <w:ind w:left="360"/>
        <w:jc w:val="both"/>
        <w:rPr>
          <w:rFonts w:ascii="Arial" w:hAnsi="Arial" w:cs="Arial"/>
        </w:rPr>
      </w:pPr>
      <w:r w:rsidRPr="002E4BB7">
        <w:rPr>
          <w:rFonts w:ascii="Arial" w:hAnsi="Arial" w:cs="Arial"/>
        </w:rPr>
        <w:t>„33a) Zákon č. 215/2004 Z. z. v znení neskorších predpisov.</w:t>
      </w:r>
    </w:p>
    <w:p w:rsidR="00FD77B9" w:rsidRPr="002E4BB7" w:rsidP="00FD77B9">
      <w:pPr>
        <w:jc w:val="both"/>
        <w:rPr>
          <w:rFonts w:ascii="Arial" w:hAnsi="Arial" w:cs="Arial"/>
        </w:rPr>
      </w:pPr>
    </w:p>
    <w:p w:rsidR="00FD77B9" w:rsidP="0073639A">
      <w:pPr>
        <w:numPr>
          <w:ilvl w:val="0"/>
          <w:numId w:val="1"/>
        </w:numPr>
        <w:tabs>
          <w:tab w:val="left" w:pos="340"/>
        </w:tabs>
        <w:spacing w:line="360" w:lineRule="auto"/>
        <w:jc w:val="both"/>
        <w:rPr>
          <w:rFonts w:ascii="Arial" w:hAnsi="Arial" w:cs="Arial"/>
        </w:rPr>
      </w:pPr>
      <w:r w:rsidRPr="002E4BB7">
        <w:rPr>
          <w:rFonts w:ascii="Arial" w:hAnsi="Arial" w:cs="Arial"/>
        </w:rPr>
        <w:t>V § 63 ods. 2 sa na konci pripája</w:t>
      </w:r>
      <w:r w:rsidR="00ED59AD">
        <w:rPr>
          <w:rFonts w:ascii="Arial" w:hAnsi="Arial" w:cs="Arial"/>
        </w:rPr>
        <w:t>jú</w:t>
      </w:r>
      <w:r w:rsidRPr="002E4BB7">
        <w:rPr>
          <w:rFonts w:ascii="Arial" w:hAnsi="Arial" w:cs="Arial"/>
        </w:rPr>
        <w:t xml:space="preserve"> t</w:t>
      </w:r>
      <w:r w:rsidR="00ED59AD">
        <w:rPr>
          <w:rFonts w:ascii="Arial" w:hAnsi="Arial" w:cs="Arial"/>
        </w:rPr>
        <w:t>ieto</w:t>
      </w:r>
      <w:r w:rsidRPr="002E4BB7">
        <w:rPr>
          <w:rFonts w:ascii="Arial" w:hAnsi="Arial" w:cs="Arial"/>
        </w:rPr>
        <w:t xml:space="preserve"> vet</w:t>
      </w:r>
      <w:r w:rsidR="00ED59AD">
        <w:rPr>
          <w:rFonts w:ascii="Arial" w:hAnsi="Arial" w:cs="Arial"/>
        </w:rPr>
        <w:t>y</w:t>
      </w:r>
      <w:r w:rsidRPr="002E4BB7">
        <w:rPr>
          <w:rFonts w:ascii="Arial" w:hAnsi="Arial" w:cs="Arial"/>
        </w:rPr>
        <w:t>: „</w:t>
      </w:r>
      <w:r w:rsidR="00ED59AD">
        <w:rPr>
          <w:rFonts w:ascii="Arial" w:hAnsi="Arial" w:cs="Arial"/>
        </w:rPr>
        <w:t xml:space="preserve">Pri zápise </w:t>
      </w:r>
      <w:r w:rsidR="001377E1">
        <w:rPr>
          <w:rFonts w:ascii="Arial" w:hAnsi="Arial" w:cs="Arial"/>
        </w:rPr>
        <w:t xml:space="preserve">poslanca </w:t>
      </w:r>
      <w:r w:rsidR="00ED59AD">
        <w:rPr>
          <w:rFonts w:ascii="Arial" w:hAnsi="Arial" w:cs="Arial"/>
        </w:rPr>
        <w:t>do prezenčnej listiny je zastúpenie iným poslancom alebo inou osobou vylúčené</w:t>
      </w:r>
      <w:r w:rsidRPr="002E4BB7">
        <w:rPr>
          <w:rFonts w:ascii="Arial" w:hAnsi="Arial" w:cs="Arial"/>
        </w:rPr>
        <w:t>.</w:t>
      </w:r>
      <w:r w:rsidR="00ED59AD">
        <w:rPr>
          <w:rFonts w:ascii="Arial" w:hAnsi="Arial" w:cs="Arial"/>
        </w:rPr>
        <w:t xml:space="preserve"> Prezenčnú listinu po skončení každého rokovacieho dňa podpisujú overovatelia národnej rady. Účasť poslanca na hlasovaní sa považuje za jeho účasť na rokovacom dni.</w:t>
      </w:r>
      <w:r w:rsidRPr="002E4BB7">
        <w:rPr>
          <w:rFonts w:ascii="Arial" w:hAnsi="Arial" w:cs="Arial"/>
        </w:rPr>
        <w:t>“.</w:t>
      </w:r>
    </w:p>
    <w:p w:rsidR="00FD77B9" w:rsidP="0073639A">
      <w:pPr>
        <w:spacing w:line="360" w:lineRule="auto"/>
        <w:jc w:val="both"/>
        <w:rPr>
          <w:rFonts w:ascii="Arial" w:hAnsi="Arial" w:cs="Arial"/>
        </w:rPr>
      </w:pPr>
    </w:p>
    <w:p w:rsidR="00FD77B9" w:rsidP="0073639A">
      <w:pPr>
        <w:numPr>
          <w:ilvl w:val="0"/>
          <w:numId w:val="1"/>
        </w:numPr>
        <w:tabs>
          <w:tab w:val="left" w:pos="3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§ 135 písm. b) sa za slovami „(§ 39 ods. 6)“ vypúšťa čiarka a dopĺňajú sa slová „a za porušenie zákazu zastúpenia</w:t>
      </w:r>
      <w:r w:rsidR="00ED59AD">
        <w:rPr>
          <w:rFonts w:ascii="Arial" w:hAnsi="Arial" w:cs="Arial"/>
        </w:rPr>
        <w:t xml:space="preserve"> pri zápise do p</w:t>
      </w:r>
      <w:r w:rsidR="00ED59AD">
        <w:rPr>
          <w:rFonts w:ascii="Arial" w:hAnsi="Arial" w:cs="Arial"/>
        </w:rPr>
        <w:t>rezenčnej listiny</w:t>
      </w:r>
      <w:r>
        <w:rPr>
          <w:rFonts w:ascii="Arial" w:hAnsi="Arial" w:cs="Arial"/>
        </w:rPr>
        <w:t xml:space="preserve"> (§ 63 ods. 2),“.</w:t>
      </w:r>
    </w:p>
    <w:p w:rsidR="00FD77B9" w:rsidP="0073639A">
      <w:pPr>
        <w:spacing w:line="360" w:lineRule="auto"/>
        <w:jc w:val="both"/>
        <w:rPr>
          <w:rFonts w:ascii="Arial" w:hAnsi="Arial" w:cs="Arial"/>
        </w:rPr>
      </w:pPr>
    </w:p>
    <w:p w:rsidR="00FD77B9" w:rsidP="0073639A">
      <w:pPr>
        <w:numPr>
          <w:ilvl w:val="0"/>
          <w:numId w:val="1"/>
        </w:numPr>
        <w:tabs>
          <w:tab w:val="left" w:pos="3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139 ods. 2 sa za slová „za iného poslanca“ vkladajú slová „alebo </w:t>
      </w:r>
      <w:r w:rsidR="00ED59AD">
        <w:rPr>
          <w:rFonts w:ascii="Arial" w:hAnsi="Arial" w:cs="Arial"/>
        </w:rPr>
        <w:t>podpísal iného poslanca do prezenčnej listiny</w:t>
      </w:r>
      <w:r>
        <w:rPr>
          <w:rFonts w:ascii="Arial" w:hAnsi="Arial" w:cs="Arial"/>
        </w:rPr>
        <w:t>“.</w:t>
      </w:r>
    </w:p>
    <w:p w:rsidR="00FD77B9" w:rsidP="0073639A">
      <w:pPr>
        <w:spacing w:line="360" w:lineRule="auto"/>
        <w:jc w:val="both"/>
        <w:rPr>
          <w:rFonts w:ascii="Arial" w:hAnsi="Arial" w:cs="Arial"/>
        </w:rPr>
      </w:pPr>
    </w:p>
    <w:p w:rsidR="00FD77B9" w:rsidP="0073639A">
      <w:pPr>
        <w:numPr>
          <w:ilvl w:val="0"/>
          <w:numId w:val="1"/>
        </w:numPr>
        <w:tabs>
          <w:tab w:val="left" w:pos="34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139 ods. 3 sa za slová „za iného poslanca“ vkladajú slová „alebo </w:t>
      </w:r>
      <w:r w:rsidR="00ED59AD">
        <w:rPr>
          <w:rFonts w:ascii="Arial" w:hAnsi="Arial" w:cs="Arial"/>
        </w:rPr>
        <w:t>zákaz podpísania iného poslanca d</w:t>
      </w:r>
      <w:r w:rsidR="00ED59AD">
        <w:rPr>
          <w:rFonts w:ascii="Arial" w:hAnsi="Arial" w:cs="Arial"/>
        </w:rPr>
        <w:t>o prezenčnej listiny</w:t>
      </w:r>
      <w:r>
        <w:rPr>
          <w:rFonts w:ascii="Arial" w:hAnsi="Arial" w:cs="Arial"/>
        </w:rPr>
        <w:t>“.</w:t>
      </w:r>
    </w:p>
    <w:p w:rsidR="00FD77B9" w:rsidRPr="002E4BB7" w:rsidP="0073639A">
      <w:pPr>
        <w:spacing w:line="360" w:lineRule="auto"/>
        <w:jc w:val="both"/>
        <w:rPr>
          <w:rFonts w:ascii="Arial" w:hAnsi="Arial" w:cs="Arial"/>
        </w:rPr>
      </w:pPr>
    </w:p>
    <w:p w:rsidR="00FD77B9" w:rsidRPr="002E4BB7" w:rsidP="0073639A">
      <w:pPr>
        <w:spacing w:line="360" w:lineRule="auto"/>
        <w:jc w:val="both"/>
        <w:rPr>
          <w:rFonts w:ascii="Arial" w:hAnsi="Arial" w:cs="Arial"/>
        </w:rPr>
      </w:pPr>
    </w:p>
    <w:p w:rsidR="00FD77B9" w:rsidRPr="002E4BB7" w:rsidP="0073639A">
      <w:pPr>
        <w:spacing w:line="360" w:lineRule="auto"/>
        <w:ind w:left="360"/>
        <w:rPr>
          <w:rFonts w:ascii="Arial" w:hAnsi="Arial" w:cs="Arial"/>
        </w:rPr>
      </w:pPr>
    </w:p>
    <w:p w:rsidR="00FD77B9" w:rsidRPr="002E4BB7" w:rsidP="0073639A">
      <w:pPr>
        <w:spacing w:line="360" w:lineRule="auto"/>
        <w:ind w:left="360"/>
        <w:jc w:val="center"/>
        <w:rPr>
          <w:rFonts w:ascii="Arial" w:hAnsi="Arial" w:cs="Arial"/>
          <w:bCs/>
        </w:rPr>
      </w:pPr>
      <w:r w:rsidRPr="002E4BB7">
        <w:rPr>
          <w:rFonts w:ascii="Arial" w:hAnsi="Arial" w:cs="Arial"/>
          <w:bCs/>
        </w:rPr>
        <w:t>Čl. II</w:t>
      </w:r>
    </w:p>
    <w:p w:rsidR="00FD77B9" w:rsidRPr="002E4BB7" w:rsidP="0073639A">
      <w:pPr>
        <w:pStyle w:val="BodyTextIndent"/>
        <w:spacing w:line="360" w:lineRule="auto"/>
        <w:ind w:left="720"/>
        <w:jc w:val="center"/>
        <w:rPr>
          <w:rFonts w:ascii="Arial" w:hAnsi="Arial" w:cs="Arial"/>
          <w:bCs/>
          <w:iCs/>
        </w:rPr>
      </w:pPr>
    </w:p>
    <w:p w:rsidR="00FD77B9" w:rsidRPr="002E4BB7" w:rsidP="0073639A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  <w:r w:rsidRPr="002E4BB7">
        <w:rPr>
          <w:rFonts w:ascii="Arial" w:hAnsi="Arial" w:cs="Arial"/>
          <w:iCs/>
        </w:rPr>
        <w:tab/>
        <w:tab/>
        <w:t>Tento zákon nadobúda účinnosť  1</w:t>
      </w:r>
      <w:r>
        <w:rPr>
          <w:rFonts w:ascii="Arial" w:hAnsi="Arial" w:cs="Arial"/>
          <w:iCs/>
        </w:rPr>
        <w:t>5</w:t>
      </w:r>
      <w:r w:rsidRPr="002E4BB7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októbra</w:t>
      </w:r>
      <w:r w:rsidRPr="002E4BB7">
        <w:rPr>
          <w:rFonts w:ascii="Arial" w:hAnsi="Arial" w:cs="Arial"/>
          <w:iCs/>
        </w:rPr>
        <w:t xml:space="preserve">  2008.</w:t>
      </w:r>
    </w:p>
    <w:p w:rsidR="00FD77B9" w:rsidRPr="002E4BB7" w:rsidP="0073639A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RPr="002E4BB7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RPr="002E4BB7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RPr="002E4BB7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RPr="002E4BB7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pStyle w:val="BodyTextIndent"/>
        <w:spacing w:line="360" w:lineRule="auto"/>
        <w:ind w:left="720"/>
        <w:rPr>
          <w:rFonts w:ascii="Arial" w:hAnsi="Arial" w:cs="Arial"/>
          <w:iCs/>
        </w:rPr>
      </w:pPr>
    </w:p>
    <w:p w:rsidR="00FD77B9" w:rsidP="00FD77B9">
      <w:pPr>
        <w:tabs>
          <w:tab w:val="left" w:pos="-540"/>
        </w:tabs>
        <w:ind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Dôvodová správa</w:t>
      </w:r>
    </w:p>
    <w:p w:rsidR="00FD77B9" w:rsidP="00FD77B9">
      <w:pPr>
        <w:tabs>
          <w:tab w:val="left" w:pos="-540"/>
        </w:tabs>
        <w:ind w:hanging="540"/>
        <w:jc w:val="center"/>
        <w:rPr>
          <w:rFonts w:ascii="Arial" w:hAnsi="Arial" w:cs="Arial"/>
          <w:b/>
        </w:rPr>
      </w:pPr>
    </w:p>
    <w:p w:rsidR="00FD77B9" w:rsidP="00FD77B9">
      <w:pPr>
        <w:tabs>
          <w:tab w:val="left" w:pos="0"/>
        </w:tabs>
        <w:ind w:left="540" w:hanging="54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Všeobecná časť:</w:t>
      </w:r>
    </w:p>
    <w:p w:rsidR="00FD77B9" w:rsidP="00FD77B9">
      <w:pPr>
        <w:tabs>
          <w:tab w:val="left" w:pos="-540"/>
          <w:tab w:val="left" w:pos="0"/>
        </w:tabs>
        <w:ind w:hanging="540"/>
        <w:jc w:val="both"/>
        <w:rPr>
          <w:rFonts w:ascii="Arial" w:hAnsi="Arial" w:cs="Arial"/>
          <w:u w:val="single"/>
        </w:rPr>
      </w:pPr>
    </w:p>
    <w:p w:rsidR="00FD77B9" w:rsidP="00FD77B9">
      <w:pPr>
        <w:tabs>
          <w:tab w:val="left" w:pos="-540"/>
          <w:tab w:val="left" w:pos="0"/>
        </w:tabs>
        <w:ind w:hanging="540"/>
        <w:jc w:val="both"/>
        <w:rPr>
          <w:rFonts w:ascii="Arial" w:hAnsi="Arial" w:cs="Arial"/>
          <w:u w:val="single"/>
        </w:rPr>
      </w:pP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 w:rsidRPr="00515A38">
        <w:rPr>
          <w:rFonts w:ascii="Arial" w:hAnsi="Arial" w:cs="Arial"/>
        </w:rPr>
        <w:t>Cieľom n</w:t>
      </w:r>
      <w:r>
        <w:rPr>
          <w:rFonts w:ascii="Arial" w:hAnsi="Arial" w:cs="Arial"/>
        </w:rPr>
        <w:t xml:space="preserve">ávrhu novely zákona o rokovacom poriadku je zefektívniť prácu Národnej rady Slovenskej republiky </w:t>
      </w:r>
      <w:r w:rsidR="00055A62">
        <w:rPr>
          <w:rFonts w:ascii="Arial" w:hAnsi="Arial" w:cs="Arial"/>
        </w:rPr>
        <w:t xml:space="preserve">(ďalej len „národná rada“) </w:t>
      </w:r>
      <w:r>
        <w:rPr>
          <w:rFonts w:ascii="Arial" w:hAnsi="Arial" w:cs="Arial"/>
        </w:rPr>
        <w:t xml:space="preserve">formou podávania a doručovania materiálov v elektronickej podobe. </w:t>
      </w:r>
    </w:p>
    <w:p w:rsidR="00FD77B9" w:rsidP="00FD77B9">
      <w:pPr>
        <w:tabs>
          <w:tab w:val="left" w:pos="-540"/>
          <w:tab w:val="left" w:pos="0"/>
        </w:tabs>
        <w:ind w:left="-540" w:firstLine="540"/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Doterajší spôsob doručovania materiálov poslancom národnej rady nebol dostatočne efektívny nielen z časového hľadiska, ale aj</w:t>
      </w:r>
      <w:r w:rsidR="00055A62">
        <w:rPr>
          <w:rFonts w:ascii="Arial" w:hAnsi="Arial" w:cs="Arial"/>
        </w:rPr>
        <w:t xml:space="preserve"> z hľadiska </w:t>
      </w:r>
      <w:r>
        <w:rPr>
          <w:rFonts w:ascii="Arial" w:hAnsi="Arial" w:cs="Arial"/>
        </w:rPr>
        <w:t>finančnej náročnosti, vzhľadom na to, že všetky materiály na rokovanie schôdze národnej rady boli poslancom doručované v písomnej forme.</w:t>
      </w: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</w:p>
    <w:p w:rsidR="00FD77B9" w:rsidRPr="005B4096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Predložená novela zákona splnomocňuje národnú radu prijať uznesenie, ktorým sa upraví elektronická forma podávania a doručovania materiálov </w:t>
      </w:r>
      <w:r w:rsidR="004B6526">
        <w:rPr>
          <w:rFonts w:ascii="Arial" w:hAnsi="Arial" w:cs="Arial"/>
        </w:rPr>
        <w:t>n</w:t>
      </w:r>
      <w:r>
        <w:rPr>
          <w:rFonts w:ascii="Arial" w:hAnsi="Arial" w:cs="Arial"/>
        </w:rPr>
        <w:t>árodnej rade.</w:t>
      </w:r>
      <w:r w:rsidR="00ED59AD">
        <w:rPr>
          <w:rFonts w:ascii="Arial" w:hAnsi="Arial" w:cs="Arial"/>
        </w:rPr>
        <w:t xml:space="preserve"> </w:t>
      </w:r>
      <w:r w:rsidRPr="005B4096" w:rsidR="00ED59AD">
        <w:rPr>
          <w:rFonts w:ascii="Arial" w:hAnsi="Arial" w:cs="Arial"/>
        </w:rPr>
        <w:t>Ná</w:t>
      </w:r>
      <w:r w:rsidRPr="005B4096" w:rsidR="00ED59AD">
        <w:rPr>
          <w:rFonts w:ascii="Arial" w:hAnsi="Arial" w:cs="Arial"/>
        </w:rPr>
        <w:t xml:space="preserve">vrh uznesenia </w:t>
      </w:r>
      <w:r w:rsidR="00055A62">
        <w:rPr>
          <w:rFonts w:ascii="Arial" w:hAnsi="Arial" w:cs="Arial"/>
        </w:rPr>
        <w:t>N</w:t>
      </w:r>
      <w:r w:rsidRPr="005B4096" w:rsidR="00ED59AD">
        <w:rPr>
          <w:rFonts w:ascii="Arial" w:hAnsi="Arial" w:cs="Arial"/>
        </w:rPr>
        <w:t>árodnej rady</w:t>
      </w:r>
      <w:r w:rsidR="00055A62">
        <w:rPr>
          <w:rFonts w:ascii="Arial" w:hAnsi="Arial" w:cs="Arial"/>
        </w:rPr>
        <w:t xml:space="preserve"> Slovenskej republiky</w:t>
      </w:r>
      <w:r w:rsidRPr="005B4096" w:rsidR="00ED59AD">
        <w:rPr>
          <w:rFonts w:ascii="Arial" w:hAnsi="Arial" w:cs="Arial"/>
        </w:rPr>
        <w:t xml:space="preserve"> k</w:t>
      </w:r>
      <w:r w:rsidR="001377E1">
        <w:rPr>
          <w:rFonts w:ascii="Arial" w:hAnsi="Arial" w:cs="Arial"/>
        </w:rPr>
        <w:t xml:space="preserve"> elektronickej forme </w:t>
      </w:r>
      <w:r w:rsidRPr="005B4096" w:rsidR="00ED59AD">
        <w:rPr>
          <w:rFonts w:ascii="Arial" w:hAnsi="Arial" w:cs="Arial"/>
        </w:rPr>
        <w:t>podávania</w:t>
      </w:r>
      <w:r w:rsidR="001377E1">
        <w:rPr>
          <w:rFonts w:ascii="Arial" w:hAnsi="Arial" w:cs="Arial"/>
        </w:rPr>
        <w:t xml:space="preserve"> a doručovania</w:t>
      </w:r>
      <w:r w:rsidRPr="005B4096" w:rsidR="00ED59AD">
        <w:rPr>
          <w:rFonts w:ascii="Arial" w:hAnsi="Arial" w:cs="Arial"/>
        </w:rPr>
        <w:t xml:space="preserve"> </w:t>
      </w:r>
      <w:r w:rsidR="001377E1">
        <w:rPr>
          <w:rFonts w:ascii="Arial" w:hAnsi="Arial" w:cs="Arial"/>
        </w:rPr>
        <w:t>materiálov</w:t>
      </w:r>
      <w:r w:rsidRPr="005B4096" w:rsidR="00A3181A">
        <w:rPr>
          <w:rFonts w:ascii="Arial" w:hAnsi="Arial" w:cs="Arial"/>
        </w:rPr>
        <w:t xml:space="preserve"> Národnej rade Slovenskej republiky a</w:t>
      </w:r>
      <w:r w:rsidR="001377E1">
        <w:rPr>
          <w:rFonts w:ascii="Arial" w:hAnsi="Arial" w:cs="Arial"/>
        </w:rPr>
        <w:t xml:space="preserve"> k zmene </w:t>
      </w:r>
      <w:r w:rsidRPr="005B4096" w:rsidR="00A3181A">
        <w:rPr>
          <w:rFonts w:ascii="Arial" w:hAnsi="Arial" w:cs="Arial"/>
        </w:rPr>
        <w:t>Legislatívnych pravidiel tvorby zákonov je pripojený.</w:t>
      </w:r>
    </w:p>
    <w:p w:rsidR="00FD77B9" w:rsidP="00FD77B9">
      <w:pPr>
        <w:tabs>
          <w:tab w:val="left" w:pos="-540"/>
          <w:tab w:val="left" w:pos="0"/>
        </w:tabs>
        <w:ind w:left="-540" w:firstLine="540"/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Ďalej sa navrhuje, aby rokovací poriadok obsahoval u</w:t>
      </w:r>
      <w:smartTag w:uri="urn:schemas-microsoft-com:office:smarttags" w:element="PersonName">
        <w:r>
          <w:rPr>
            <w:rFonts w:ascii="Arial" w:hAnsi="Arial" w:cs="Arial"/>
          </w:rPr>
          <w:t>stano</w:t>
        </w:r>
      </w:smartTag>
      <w:r>
        <w:rPr>
          <w:rFonts w:ascii="Arial" w:hAnsi="Arial" w:cs="Arial"/>
        </w:rPr>
        <w:t xml:space="preserve">venie, na základe ktorého </w:t>
      </w:r>
      <w:r w:rsidR="001377E1">
        <w:rPr>
          <w:rFonts w:ascii="Arial" w:hAnsi="Arial" w:cs="Arial"/>
        </w:rPr>
        <w:t xml:space="preserve">je zastúpenie poslanca iným poslancom alebo inou osobou </w:t>
      </w:r>
      <w:r>
        <w:rPr>
          <w:rFonts w:ascii="Arial" w:hAnsi="Arial" w:cs="Arial"/>
        </w:rPr>
        <w:t xml:space="preserve">pri </w:t>
      </w:r>
      <w:r w:rsidR="001377E1">
        <w:rPr>
          <w:rFonts w:ascii="Arial" w:hAnsi="Arial" w:cs="Arial"/>
        </w:rPr>
        <w:t xml:space="preserve">zápise do prezenčnej listiny </w:t>
      </w:r>
      <w:r>
        <w:rPr>
          <w:rFonts w:ascii="Arial" w:hAnsi="Arial" w:cs="Arial"/>
        </w:rPr>
        <w:t xml:space="preserve">vylúčené. Porušenie tohto zákazu podlieha disciplinárnej právomoci </w:t>
      </w:r>
      <w:r w:rsidR="00055A62">
        <w:rPr>
          <w:rFonts w:ascii="Arial" w:hAnsi="Arial" w:cs="Arial"/>
        </w:rPr>
        <w:t>národnej rady</w:t>
      </w:r>
      <w:r>
        <w:rPr>
          <w:rFonts w:ascii="Arial" w:hAnsi="Arial" w:cs="Arial"/>
        </w:rPr>
        <w:t>.</w:t>
      </w: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je v súlade s Ústavou Slovenskej repub</w:t>
      </w:r>
      <w:r>
        <w:rPr>
          <w:rFonts w:ascii="Arial" w:hAnsi="Arial" w:cs="Arial"/>
        </w:rPr>
        <w:t>liky a s platnými medzinárodnými záväzkami Slovenskej republiky.</w:t>
      </w: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si nevyžiada zvýšené nároky na pracovné sily, štátny rozpočet a ani na rozpočet obcí.</w:t>
      </w: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4B6526" w:rsidP="00FD77B9">
      <w:pPr>
        <w:ind w:left="540"/>
        <w:jc w:val="center"/>
        <w:rPr>
          <w:rFonts w:ascii="Arial" w:hAnsi="Arial" w:cs="Arial"/>
          <w:b/>
        </w:rPr>
      </w:pPr>
    </w:p>
    <w:p w:rsidR="004B6526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DOLOŽKA ZLUČITEĽNOSTI</w:t>
      </w:r>
    </w:p>
    <w:p w:rsidR="00FD77B9" w:rsidP="00FD77B9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návrhu právneho predpisu</w:t>
      </w:r>
    </w:p>
    <w:p w:rsidR="00FD77B9" w:rsidP="00FD77B9">
      <w:pPr>
        <w:ind w:left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právom Európskych spoločenstiev a s právom Európskej únie</w:t>
      </w: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P="00FD77B9">
      <w:pPr>
        <w:ind w:left="540"/>
        <w:jc w:val="center"/>
        <w:rPr>
          <w:rFonts w:ascii="Arial" w:hAnsi="Arial" w:cs="Arial"/>
          <w:b/>
        </w:rPr>
      </w:pPr>
    </w:p>
    <w:p w:rsidR="00FD77B9" w:rsidRPr="00DC4FA6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Predkladateľ návrhu zákona:   </w:t>
      </w:r>
      <w:r>
        <w:rPr>
          <w:rFonts w:ascii="Arial" w:hAnsi="Arial" w:cs="Arial"/>
        </w:rPr>
        <w:t>poslanc</w:t>
      </w:r>
      <w:r w:rsidR="00055A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Národnej rady Slovenskej republiky </w:t>
      </w:r>
    </w:p>
    <w:p w:rsidR="00FD77B9" w:rsidP="00FD77B9">
      <w:pPr>
        <w:jc w:val="both"/>
        <w:rPr>
          <w:rFonts w:ascii="Arial" w:hAnsi="Arial" w:cs="Arial"/>
        </w:rPr>
      </w:pPr>
    </w:p>
    <w:p w:rsidR="00FD77B9" w:rsidRPr="00DC4FA6" w:rsidP="00FD77B9">
      <w:pPr>
        <w:keepNext/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Názov právneho predpisu:   </w:t>
      </w:r>
      <w:r>
        <w:rPr>
          <w:rFonts w:ascii="Arial" w:hAnsi="Arial" w:cs="Arial"/>
        </w:rPr>
        <w:t>Návrh zákona</w:t>
      </w:r>
      <w:r w:rsidRPr="00DC4FA6">
        <w:rPr>
          <w:rFonts w:ascii="Arial" w:hAnsi="Arial" w:cs="Arial"/>
        </w:rPr>
        <w:t>, ktorým sa mení a</w:t>
      </w:r>
      <w:r>
        <w:rPr>
          <w:rFonts w:ascii="Arial" w:hAnsi="Arial" w:cs="Arial"/>
        </w:rPr>
        <w:t xml:space="preserve"> </w:t>
      </w:r>
      <w:r w:rsidRPr="00DC4FA6">
        <w:rPr>
          <w:rFonts w:ascii="Arial" w:hAnsi="Arial" w:cs="Arial"/>
        </w:rPr>
        <w:t>dopĺňa zákon Národnej rady Slovenskej republiky č.</w:t>
      </w:r>
      <w:r>
        <w:rPr>
          <w:rFonts w:ascii="Arial" w:hAnsi="Arial" w:cs="Arial"/>
        </w:rPr>
        <w:t xml:space="preserve"> </w:t>
      </w:r>
      <w:r w:rsidRPr="00DC4FA6">
        <w:rPr>
          <w:rFonts w:ascii="Arial" w:hAnsi="Arial" w:cs="Arial"/>
        </w:rPr>
        <w:t>350/1996 Z.</w:t>
      </w:r>
      <w:r>
        <w:rPr>
          <w:rFonts w:ascii="Arial" w:hAnsi="Arial" w:cs="Arial"/>
        </w:rPr>
        <w:t xml:space="preserve"> </w:t>
      </w:r>
      <w:r w:rsidRPr="00DC4FA6">
        <w:rPr>
          <w:rFonts w:ascii="Arial" w:hAnsi="Arial" w:cs="Arial"/>
        </w:rPr>
        <w:t>z. o</w:t>
      </w:r>
      <w:r>
        <w:rPr>
          <w:rFonts w:ascii="Arial" w:hAnsi="Arial" w:cs="Arial"/>
        </w:rPr>
        <w:t xml:space="preserve"> </w:t>
      </w:r>
      <w:r w:rsidRPr="00DC4FA6">
        <w:rPr>
          <w:rFonts w:ascii="Arial" w:hAnsi="Arial" w:cs="Arial"/>
        </w:rPr>
        <w:t>rokovacom poriadku Národnej rady Slovenskej republiky v</w:t>
      </w:r>
      <w:r>
        <w:rPr>
          <w:rFonts w:ascii="Arial" w:hAnsi="Arial" w:cs="Arial"/>
        </w:rPr>
        <w:t xml:space="preserve"> </w:t>
      </w:r>
      <w:r w:rsidRPr="00DC4FA6">
        <w:rPr>
          <w:rFonts w:ascii="Arial" w:hAnsi="Arial" w:cs="Arial"/>
        </w:rPr>
        <w:t>znení neskorších predpisov</w:t>
      </w:r>
    </w:p>
    <w:p w:rsidR="00FD77B9" w:rsidRPr="008271B8" w:rsidP="00FD77B9">
      <w:pPr>
        <w:keepNext/>
        <w:jc w:val="both"/>
        <w:rPr>
          <w:rFonts w:ascii="Arial" w:hAnsi="Arial" w:cs="Arial"/>
          <w:b/>
        </w:rPr>
      </w:pPr>
    </w:p>
    <w:p w:rsidR="00FD77B9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Problematika návrhu zákona:</w:t>
      </w:r>
    </w:p>
    <w:p w:rsidR="00FD77B9" w:rsidP="00FD77B9">
      <w:pPr>
        <w:jc w:val="both"/>
        <w:rPr>
          <w:rFonts w:ascii="Arial" w:hAnsi="Arial" w:cs="Arial"/>
          <w:b/>
        </w:rPr>
      </w:pPr>
    </w:p>
    <w:p w:rsidR="00FD77B9" w:rsidP="00FD77B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  nie je explicitne upravená v práve Európskych spoločenstiev;</w:t>
      </w:r>
    </w:p>
    <w:p w:rsidR="00FD77B9" w:rsidP="00FD77B9">
      <w:pPr>
        <w:ind w:left="360"/>
        <w:jc w:val="both"/>
        <w:rPr>
          <w:rFonts w:ascii="Arial" w:hAnsi="Arial" w:cs="Arial"/>
        </w:rPr>
      </w:pPr>
    </w:p>
    <w:p w:rsidR="00FD77B9" w:rsidP="00FD77B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  nie je explicitne upravená v práve Európskej únie;</w:t>
      </w:r>
    </w:p>
    <w:p w:rsidR="00FD77B9" w:rsidP="00FD77B9">
      <w:pPr>
        <w:ind w:left="360"/>
        <w:jc w:val="both"/>
        <w:rPr>
          <w:rFonts w:ascii="Arial" w:hAnsi="Arial" w:cs="Arial"/>
        </w:rPr>
      </w:pPr>
    </w:p>
    <w:p w:rsidR="00FD77B9" w:rsidP="00FD77B9">
      <w:pPr>
        <w:tabs>
          <w:tab w:val="left" w:pos="720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c) nie je explicitne obsiahnutá v judikatúre Súdneho dvora Európskych spoločenstiev alebo Súdu prvého stupňa Európskych spoločenstiev.</w:t>
      </w:r>
    </w:p>
    <w:p w:rsidR="00FD77B9" w:rsidP="00FD77B9">
      <w:pPr>
        <w:ind w:left="720" w:hanging="360"/>
        <w:jc w:val="both"/>
        <w:rPr>
          <w:rFonts w:ascii="Arial" w:hAnsi="Arial" w:cs="Arial"/>
        </w:rPr>
      </w:pPr>
    </w:p>
    <w:p w:rsidR="00FD77B9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zákona svojou problematikou nepatrí medzi prioritné oblasti aproximácie práva.</w:t>
      </w:r>
    </w:p>
    <w:p w:rsidR="00FD77B9" w:rsidP="00FD77B9">
      <w:pPr>
        <w:jc w:val="both"/>
        <w:rPr>
          <w:rFonts w:ascii="Arial" w:hAnsi="Arial" w:cs="Arial"/>
          <w:b/>
        </w:rPr>
      </w:pPr>
    </w:p>
    <w:p w:rsidR="00FD77B9" w:rsidRPr="00DC4FA6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Záväzky Slovenskej republiky vo vzťahu k Európskym spoločenstvám a Európskej únii:</w:t>
      </w: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ind w:left="360"/>
        <w:jc w:val="both"/>
        <w:rPr>
          <w:rFonts w:ascii="Arial" w:hAnsi="Arial" w:cs="Arial"/>
        </w:rPr>
      </w:pPr>
      <w:r w:rsidR="00055A62">
        <w:rPr>
          <w:rFonts w:ascii="Arial" w:hAnsi="Arial" w:cs="Arial"/>
        </w:rPr>
        <w:t>bezpredmetné</w:t>
      </w:r>
    </w:p>
    <w:p w:rsidR="00FD77B9" w:rsidP="00FD77B9">
      <w:pPr>
        <w:ind w:left="360"/>
        <w:jc w:val="both"/>
        <w:rPr>
          <w:rFonts w:ascii="Arial" w:hAnsi="Arial" w:cs="Arial"/>
        </w:rPr>
      </w:pPr>
    </w:p>
    <w:p w:rsidR="00FD77B9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Stupeň zlučiteľnosti návrhu právneho predpisu s právom Európskych spoločenstiev alebo právom Európskej únie:</w:t>
      </w:r>
    </w:p>
    <w:p w:rsidR="00FD77B9" w:rsidP="00FD77B9">
      <w:pPr>
        <w:jc w:val="both"/>
        <w:rPr>
          <w:rFonts w:ascii="Arial" w:hAnsi="Arial" w:cs="Arial"/>
          <w:b/>
        </w:rPr>
      </w:pPr>
    </w:p>
    <w:p w:rsidR="009666EE" w:rsidP="009666E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bezpredmetné</w:t>
      </w:r>
    </w:p>
    <w:p w:rsidR="00FD77B9" w:rsidP="00FD77B9">
      <w:pPr>
        <w:ind w:left="360"/>
        <w:jc w:val="both"/>
        <w:rPr>
          <w:rFonts w:ascii="Arial" w:hAnsi="Arial" w:cs="Arial"/>
          <w:b/>
        </w:rPr>
      </w:pPr>
    </w:p>
    <w:p w:rsidR="00FD77B9" w:rsidP="00FD77B9">
      <w:pPr>
        <w:numPr>
          <w:ilvl w:val="0"/>
          <w:numId w:val="2"/>
        </w:numPr>
        <w:tabs>
          <w:tab w:val="left" w:pos="360"/>
          <w:tab w:val="clear" w:pos="12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 a spolupracujúce rezorty:</w:t>
      </w:r>
    </w:p>
    <w:p w:rsidR="00FD77B9" w:rsidP="00FD77B9">
      <w:pPr>
        <w:jc w:val="both"/>
        <w:rPr>
          <w:rFonts w:ascii="Arial" w:hAnsi="Arial" w:cs="Arial"/>
          <w:b/>
        </w:rPr>
      </w:pPr>
    </w:p>
    <w:p w:rsidR="009666EE" w:rsidP="009666E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bezpredmetné</w:t>
      </w:r>
    </w:p>
    <w:p w:rsidR="00FD77B9" w:rsidP="00FD77B9">
      <w:pPr>
        <w:ind w:left="360"/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titlePg/>
          <w:bidi w:val="0"/>
          <w:docGrid w:linePitch="360"/>
        </w:sectPr>
      </w:pPr>
    </w:p>
    <w:p w:rsidR="00FD77B9" w:rsidP="00FD77B9">
      <w:pPr>
        <w:tabs>
          <w:tab w:val="left" w:pos="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Osobitná časť:</w:t>
      </w:r>
    </w:p>
    <w:p w:rsidR="00FD77B9" w:rsidP="00FD77B9">
      <w:pPr>
        <w:tabs>
          <w:tab w:val="left" w:pos="0"/>
        </w:tabs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jc w:val="both"/>
        <w:rPr>
          <w:rFonts w:ascii="Arial" w:hAnsi="Arial" w:cs="Arial"/>
          <w:b/>
        </w:rPr>
      </w:pPr>
      <w:r w:rsidRPr="00444EEA">
        <w:rPr>
          <w:rFonts w:ascii="Arial" w:hAnsi="Arial" w:cs="Arial"/>
          <w:b/>
        </w:rPr>
        <w:t>Čl. I</w:t>
      </w:r>
    </w:p>
    <w:p w:rsidR="00FD77B9" w:rsidRPr="00444EEA" w:rsidP="00FD77B9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FD77B9" w:rsidRPr="00444EEA" w:rsidP="00FD77B9">
      <w:pPr>
        <w:tabs>
          <w:tab w:val="left" w:pos="0"/>
        </w:tabs>
        <w:jc w:val="both"/>
        <w:rPr>
          <w:rFonts w:ascii="Arial" w:hAnsi="Arial" w:cs="Arial"/>
          <w:b/>
        </w:rPr>
      </w:pPr>
      <w:r w:rsidRPr="00444EE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444EEA">
        <w:rPr>
          <w:rFonts w:ascii="Arial" w:hAnsi="Arial" w:cs="Arial"/>
          <w:b/>
        </w:rPr>
        <w:t>bodu 1.</w:t>
      </w:r>
    </w:p>
    <w:p w:rsidR="00FD77B9" w:rsidP="00FD77B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Doplnenie u</w:t>
      </w:r>
      <w:smartTag w:uri="urn:schemas-microsoft-com:office:smarttags" w:element="PersonName">
        <w:r>
          <w:rPr>
            <w:rFonts w:ascii="Arial" w:hAnsi="Arial" w:cs="Arial"/>
          </w:rPr>
          <w:t>stano</w:t>
        </w:r>
      </w:smartTag>
      <w:r>
        <w:rPr>
          <w:rFonts w:ascii="Arial" w:hAnsi="Arial" w:cs="Arial"/>
        </w:rPr>
        <w:t>venia o povinnosť predkladať všetky návrhy podané národnej rade aj v elektronickej forme sa navrhuje z dôvodu zabezpečenia rýchlejšej dostupnosti predkladaných návrhov pre poslancov, čím sa predĺži čas na oboznámenie sa s návrhmi pred ich zaradením do návrhu programu schôdze národnej rady. Taktiež sa zvýši efektivita a hospodárnosť práce pri príprave rokovaní národnej rady a jej orgánov v kancelárii národnej rady.</w:t>
      </w:r>
    </w:p>
    <w:p w:rsidR="00FD77B9" w:rsidP="00FD77B9">
      <w:pPr>
        <w:tabs>
          <w:tab w:val="left" w:pos="-540"/>
        </w:tabs>
        <w:ind w:left="-540"/>
        <w:jc w:val="both"/>
        <w:rPr>
          <w:rFonts w:ascii="Arial" w:hAnsi="Arial" w:cs="Arial"/>
        </w:rPr>
      </w:pPr>
    </w:p>
    <w:p w:rsidR="00FD77B9" w:rsidP="00FD77B9">
      <w:pPr>
        <w:tabs>
          <w:tab w:val="left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bodu 2. </w:t>
      </w:r>
    </w:p>
    <w:p w:rsidR="00FD77B9" w:rsidP="00FD7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Doplnením u</w:t>
      </w:r>
      <w:smartTag w:uri="urn:schemas-microsoft-com:office:smarttags" w:element="PersonName">
        <w:r>
          <w:rPr>
            <w:rFonts w:ascii="Arial" w:hAnsi="Arial" w:cs="Arial"/>
          </w:rPr>
          <w:t>stano</w:t>
        </w:r>
      </w:smartTag>
      <w:r>
        <w:rPr>
          <w:rFonts w:ascii="Arial" w:hAnsi="Arial" w:cs="Arial"/>
        </w:rPr>
        <w:t xml:space="preserve">venia sa výslovne </w:t>
      </w:r>
      <w:r w:rsidR="004B6526">
        <w:rPr>
          <w:rFonts w:ascii="Arial" w:hAnsi="Arial" w:cs="Arial"/>
        </w:rPr>
        <w:t>zakazuje</w:t>
      </w:r>
      <w:r>
        <w:rPr>
          <w:rFonts w:ascii="Arial" w:hAnsi="Arial" w:cs="Arial"/>
        </w:rPr>
        <w:t xml:space="preserve"> zastúpenie poslanca na prezentácii, obdobne ako je to už v platnom znení v § 39 ods. 6 rokovacieho poriadku pri hlasovaní.</w:t>
      </w:r>
      <w:r w:rsidR="00A3181A">
        <w:rPr>
          <w:rFonts w:ascii="Arial" w:hAnsi="Arial" w:cs="Arial"/>
        </w:rPr>
        <w:t xml:space="preserve"> Súčasne sa u</w:t>
      </w:r>
      <w:smartTag w:uri="urn:schemas-microsoft-com:office:smarttags" w:element="PersonName">
        <w:r w:rsidR="00A3181A">
          <w:rPr>
            <w:rFonts w:ascii="Arial" w:hAnsi="Arial" w:cs="Arial"/>
          </w:rPr>
          <w:t>stano</w:t>
        </w:r>
      </w:smartTag>
      <w:r w:rsidR="00A3181A">
        <w:rPr>
          <w:rFonts w:ascii="Arial" w:hAnsi="Arial" w:cs="Arial"/>
        </w:rPr>
        <w:t>vuje, aby prezenčnú listinu z každého rokovacieho dňa</w:t>
      </w:r>
      <w:r w:rsidR="00E42499">
        <w:rPr>
          <w:rFonts w:ascii="Arial" w:hAnsi="Arial" w:cs="Arial"/>
        </w:rPr>
        <w:t xml:space="preserve"> </w:t>
      </w:r>
      <w:r w:rsidRPr="005B4096" w:rsidR="00E42499">
        <w:rPr>
          <w:rFonts w:ascii="Arial" w:hAnsi="Arial" w:cs="Arial"/>
        </w:rPr>
        <w:t>národnej rady a rokovania výboru národnej rady</w:t>
      </w:r>
      <w:r w:rsidR="00E42499">
        <w:rPr>
          <w:rFonts w:ascii="Arial" w:hAnsi="Arial" w:cs="Arial"/>
          <w:b/>
        </w:rPr>
        <w:t xml:space="preserve"> </w:t>
      </w:r>
      <w:r w:rsidR="00A3181A">
        <w:rPr>
          <w:rFonts w:ascii="Arial" w:hAnsi="Arial" w:cs="Arial"/>
        </w:rPr>
        <w:t>podpísali overovatelia národnej rady</w:t>
      </w:r>
      <w:r w:rsidR="009666EE">
        <w:rPr>
          <w:rFonts w:ascii="Arial" w:hAnsi="Arial" w:cs="Arial"/>
        </w:rPr>
        <w:t xml:space="preserve"> a výboru národnej rady</w:t>
      </w:r>
      <w:r w:rsidR="00A3181A">
        <w:rPr>
          <w:rFonts w:ascii="Arial" w:hAnsi="Arial" w:cs="Arial"/>
        </w:rPr>
        <w:t xml:space="preserve">. Na schôdzach národnej rady, ako aj výborov národnej rady sa overovatelia určujú tak, aby boli zastúpená koalícia aj opozícia, čím sa zabezpečí dostatočná miera kontroly. V prípadoch, keď </w:t>
      </w:r>
      <w:r w:rsidR="009666EE">
        <w:rPr>
          <w:rFonts w:ascii="Arial" w:hAnsi="Arial" w:cs="Arial"/>
        </w:rPr>
        <w:t xml:space="preserve">sa </w:t>
      </w:r>
      <w:r w:rsidR="00A3181A">
        <w:rPr>
          <w:rFonts w:ascii="Arial" w:hAnsi="Arial" w:cs="Arial"/>
        </w:rPr>
        <w:t xml:space="preserve">poslanec nezapíše do prezenčnej listiny, návrh novely zavádza náhradný spôsob potvrdenia účasti na rokovaní </w:t>
      </w:r>
      <w:r w:rsidR="00E42499">
        <w:rPr>
          <w:rFonts w:ascii="Arial" w:hAnsi="Arial" w:cs="Arial"/>
        </w:rPr>
        <w:t>národnej rady, a to účasťou na hlasovaní počas rokovacieho dňa.</w:t>
      </w:r>
    </w:p>
    <w:p w:rsidR="00FD77B9" w:rsidP="00FD77B9">
      <w:pPr>
        <w:ind w:left="540"/>
        <w:rPr>
          <w:rFonts w:ascii="Arial" w:hAnsi="Arial" w:cs="Arial"/>
        </w:rPr>
      </w:pPr>
    </w:p>
    <w:p w:rsidR="00FD77B9" w:rsidRPr="00444EEA" w:rsidP="00FD77B9">
      <w:pPr>
        <w:tabs>
          <w:tab w:val="left" w:pos="0"/>
        </w:tabs>
        <w:jc w:val="both"/>
        <w:rPr>
          <w:rFonts w:ascii="Arial" w:hAnsi="Arial" w:cs="Arial"/>
          <w:b/>
        </w:rPr>
      </w:pPr>
      <w:r w:rsidRPr="00444EE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444EEA">
        <w:rPr>
          <w:rFonts w:ascii="Arial" w:hAnsi="Arial" w:cs="Arial"/>
          <w:b/>
        </w:rPr>
        <w:t>bod</w:t>
      </w:r>
      <w:r>
        <w:rPr>
          <w:rFonts w:ascii="Arial" w:hAnsi="Arial" w:cs="Arial"/>
          <w:b/>
        </w:rPr>
        <w:t>om 3, 4 a 5</w:t>
      </w:r>
      <w:r w:rsidRPr="00444EEA">
        <w:rPr>
          <w:rFonts w:ascii="Arial" w:hAnsi="Arial" w:cs="Arial"/>
          <w:b/>
        </w:rPr>
        <w:t>.</w:t>
      </w:r>
    </w:p>
    <w:p w:rsidR="00FD77B9" w:rsidP="00FD77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Poslanec, ktorý poruší zákaz zastúpenia </w:t>
      </w:r>
      <w:r w:rsidR="004B6526">
        <w:rPr>
          <w:rFonts w:ascii="Arial" w:hAnsi="Arial" w:cs="Arial"/>
        </w:rPr>
        <w:t xml:space="preserve">pri </w:t>
      </w:r>
      <w:r>
        <w:rPr>
          <w:rFonts w:ascii="Arial" w:hAnsi="Arial" w:cs="Arial"/>
        </w:rPr>
        <w:t xml:space="preserve">prezentácii, bude podliehať disciplinárnej právomoci </w:t>
      </w:r>
      <w:r w:rsidR="009666E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árodnej rady. </w:t>
      </w:r>
      <w:r w:rsidR="004B6526">
        <w:rPr>
          <w:rFonts w:ascii="Arial" w:hAnsi="Arial" w:cs="Arial"/>
        </w:rPr>
        <w:t>S</w:t>
      </w:r>
      <w:r>
        <w:rPr>
          <w:rFonts w:ascii="Arial" w:hAnsi="Arial" w:cs="Arial"/>
        </w:rPr>
        <w:t>tanovuje obdobný postih ako pri hlasovaní za iného poslanca. Voľba druhu sankcie podľa ods. 2 alebo 3 závisí od miery zavinenia poslanca (napr. opakované konanie).</w:t>
      </w: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</w:rPr>
      </w:pPr>
    </w:p>
    <w:p w:rsidR="00FD77B9" w:rsidP="00FD77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FD77B9" w:rsidP="00FD77B9">
      <w:pPr>
        <w:jc w:val="both"/>
        <w:rPr>
          <w:rFonts w:ascii="Arial" w:hAnsi="Arial" w:cs="Arial"/>
          <w:b/>
        </w:rPr>
      </w:pPr>
    </w:p>
    <w:p w:rsidR="00FD77B9" w:rsidRPr="00E42499" w:rsidP="00E42499">
      <w:pPr>
        <w:pStyle w:val="Heading1"/>
        <w:spacing w:line="360" w:lineRule="auto"/>
        <w:rPr>
          <w:rFonts w:ascii="Arial" w:hAnsi="Arial" w:cs="Arial"/>
          <w:b w:val="0"/>
        </w:rPr>
      </w:pPr>
      <w:r w:rsidRPr="00E42499">
        <w:rPr>
          <w:rFonts w:ascii="Arial" w:hAnsi="Arial" w:cs="Arial"/>
          <w:b w:val="0"/>
        </w:rPr>
        <w:t>S ohľadom na trvanie legislatívneho procesu sa navrhuje účinnosť od 15. októbra 2008.</w:t>
      </w:r>
      <w:r w:rsidRPr="00E42499" w:rsidR="00E42499">
        <w:rPr>
          <w:rFonts w:ascii="Arial" w:hAnsi="Arial" w:cs="Arial"/>
          <w:b w:val="0"/>
        </w:rPr>
        <w:t xml:space="preserve"> </w:t>
      </w:r>
    </w:p>
    <w:p w:rsidR="00345655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P="00FD77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377E1" w:rsidP="00FD77B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P="00FD77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65B32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1377E1" w:rsidP="00FD77B9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P="00FD77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377E1">
    <w:pPr>
      <w:pStyle w:val="Footer"/>
      <w:ind w:right="360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P="00FD77B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1377E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219"/>
    <w:multiLevelType w:val="hybridMultilevel"/>
    <w:tmpl w:val="DD3E45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B1963"/>
    <w:multiLevelType w:val="hybridMultilevel"/>
    <w:tmpl w:val="E424C18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A62"/>
    <w:rsid w:val="001377E1"/>
    <w:rsid w:val="002E4BB7"/>
    <w:rsid w:val="00345655"/>
    <w:rsid w:val="00365B32"/>
    <w:rsid w:val="00444EEA"/>
    <w:rsid w:val="004B6526"/>
    <w:rsid w:val="00515A38"/>
    <w:rsid w:val="005B4096"/>
    <w:rsid w:val="005D3887"/>
    <w:rsid w:val="0073639A"/>
    <w:rsid w:val="008271B8"/>
    <w:rsid w:val="009666EE"/>
    <w:rsid w:val="00A3181A"/>
    <w:rsid w:val="00DC4FA6"/>
    <w:rsid w:val="00E42499"/>
    <w:rsid w:val="00ED59AD"/>
    <w:rsid w:val="00FD77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7B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D77B9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D77B9"/>
    <w:pPr>
      <w:jc w:val="center"/>
    </w:pPr>
    <w:rPr>
      <w:b/>
      <w:bCs/>
    </w:rPr>
  </w:style>
  <w:style w:type="paragraph" w:styleId="BodyText">
    <w:name w:val="Body Text"/>
    <w:basedOn w:val="Normal"/>
    <w:rsid w:val="00FD77B9"/>
    <w:pPr>
      <w:jc w:val="center"/>
    </w:pPr>
    <w:rPr>
      <w:b/>
      <w:bCs/>
    </w:rPr>
  </w:style>
  <w:style w:type="paragraph" w:styleId="BodyTextIndent">
    <w:name w:val="Body Text Indent"/>
    <w:basedOn w:val="Normal"/>
    <w:rsid w:val="00FD77B9"/>
    <w:pPr>
      <w:ind w:left="1080" w:hanging="360"/>
      <w:jc w:val="both"/>
    </w:pPr>
  </w:style>
  <w:style w:type="character" w:styleId="PageNumber">
    <w:name w:val="page number"/>
    <w:basedOn w:val="DefaultParagraphFont"/>
    <w:rsid w:val="00FD77B9"/>
  </w:style>
  <w:style w:type="paragraph" w:styleId="Footer">
    <w:name w:val="footer"/>
    <w:basedOn w:val="Normal"/>
    <w:rsid w:val="00FD77B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915</Words>
  <Characters>5220</Characters>
  <Application>Microsoft Office Word</Application>
  <DocSecurity>0</DocSecurity>
  <Lines>0</Lines>
  <Paragraphs>0</Paragraphs>
  <ScaleCrop>false</ScaleCrop>
  <Company>Kancelaria NR SR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Verzia II</dc:title>
  <dc:creator>Administrator</dc:creator>
  <cp:lastModifiedBy>gaspjarm</cp:lastModifiedBy>
  <cp:revision>3</cp:revision>
  <cp:lastPrinted>2008-05-30T09:04:00Z</cp:lastPrinted>
  <dcterms:created xsi:type="dcterms:W3CDTF">2008-05-30T11:14:00Z</dcterms:created>
  <dcterms:modified xsi:type="dcterms:W3CDTF">2008-06-02T09:26:00Z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1004602294</vt:i4>
  </property>
  <property fmtid="{D5CDD505-2E9C-101B-9397-08002B2CF9AE}" pid="3" name="_AuthorEmail">
    <vt:lpwstr>KnappJan@nrsr.sk</vt:lpwstr>
  </property>
  <property fmtid="{D5CDD505-2E9C-101B-9397-08002B2CF9AE}" pid="4" name="_AuthorEmailDisplayName">
    <vt:lpwstr>Knapp, Jan</vt:lpwstr>
  </property>
  <property fmtid="{D5CDD505-2E9C-101B-9397-08002B2CF9AE}" pid="5" name="_EmailSubject">
    <vt:lpwstr>tlač 647-rokovací poriadok (Paška+Číž)</vt:lpwstr>
  </property>
</Properties>
</file>