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03E2" w:rsidRPr="00C6091A" w:rsidP="005C03E2">
      <w:pPr>
        <w:pStyle w:val="BodyText"/>
        <w:jc w:val="center"/>
        <w:rPr>
          <w:rFonts w:ascii="Arial" w:hAnsi="Arial" w:cs="Arial"/>
          <w:b/>
          <w:bCs/>
        </w:rPr>
      </w:pPr>
      <w:r w:rsidRPr="00C6091A">
        <w:rPr>
          <w:rFonts w:ascii="Arial" w:hAnsi="Arial" w:cs="Arial"/>
          <w:b/>
          <w:bCs/>
        </w:rPr>
        <w:t>D ô v o d o v á    s p r á v a</w:t>
      </w:r>
    </w:p>
    <w:p w:rsidR="005C03E2" w:rsidRPr="00C6091A" w:rsidP="005C03E2">
      <w:pPr>
        <w:pStyle w:val="BodyText"/>
        <w:jc w:val="center"/>
        <w:rPr>
          <w:rFonts w:ascii="Arial" w:hAnsi="Arial" w:cs="Arial"/>
          <w:b/>
          <w:bCs/>
        </w:rPr>
      </w:pPr>
    </w:p>
    <w:p w:rsidR="005C03E2" w:rsidRPr="00C6091A" w:rsidP="005C03E2">
      <w:pPr>
        <w:pStyle w:val="BodyText"/>
        <w:rPr>
          <w:rFonts w:ascii="Arial" w:hAnsi="Arial" w:cs="Arial"/>
          <w:b/>
          <w:bCs/>
        </w:rPr>
      </w:pPr>
      <w:r w:rsidRPr="00C6091A">
        <w:rPr>
          <w:rFonts w:ascii="Arial" w:hAnsi="Arial" w:cs="Arial"/>
          <w:b/>
          <w:bCs/>
        </w:rPr>
        <w:t>Všeobecná časť</w:t>
      </w:r>
    </w:p>
    <w:p w:rsidR="005C03E2" w:rsidRPr="00C6091A" w:rsidP="005C03E2">
      <w:pPr>
        <w:pStyle w:val="BodyText"/>
        <w:rPr>
          <w:rFonts w:ascii="Arial" w:hAnsi="Arial" w:cs="Arial"/>
          <w:b/>
          <w:bCs/>
        </w:rPr>
      </w:pPr>
    </w:p>
    <w:p w:rsidR="005C03E2" w:rsidRPr="00C6091A" w:rsidP="005C03E2">
      <w:pPr>
        <w:pStyle w:val="BodyText"/>
        <w:rPr>
          <w:rFonts w:ascii="Arial" w:hAnsi="Arial" w:cs="Arial"/>
        </w:rPr>
      </w:pPr>
      <w:r w:rsidRPr="00C6091A">
        <w:rPr>
          <w:rFonts w:ascii="Arial" w:hAnsi="Arial" w:cs="Arial"/>
          <w:b/>
          <w:bCs/>
        </w:rPr>
        <w:tab/>
      </w:r>
      <w:r w:rsidRPr="00C6091A">
        <w:rPr>
          <w:rFonts w:ascii="Arial" w:hAnsi="Arial" w:cs="Arial"/>
        </w:rPr>
        <w:t xml:space="preserve">Ceny pohonných hmôt, a predovšetkým motorovej nafty, dosahujú v súčasnosti pomerne vysoké úrovne, a vzhľadom na vývoj ceny ropy na svetových trhoch sa ich pokles v najbližšom období nedá očakávať. </w:t>
      </w:r>
    </w:p>
    <w:p w:rsidR="005C03E2" w:rsidRPr="00C6091A" w:rsidP="005C03E2">
      <w:pPr>
        <w:pStyle w:val="BodyText"/>
        <w:rPr>
          <w:rFonts w:ascii="Arial" w:hAnsi="Arial" w:cs="Arial"/>
        </w:rPr>
      </w:pPr>
    </w:p>
    <w:p w:rsidR="005C03E2" w:rsidRPr="00C6091A" w:rsidP="005C03E2">
      <w:pPr>
        <w:pStyle w:val="BodyTex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4pt;height:281.36pt" stroked="f">
            <v:imagedata r:id="rId5" o:title=""/>
          </v:shape>
        </w:pict>
      </w:r>
    </w:p>
    <w:p w:rsidR="005C03E2" w:rsidRPr="00C6091A" w:rsidP="005C03E2">
      <w:pPr>
        <w:pStyle w:val="BodyText"/>
        <w:jc w:val="right"/>
        <w:rPr>
          <w:rFonts w:ascii="Arial" w:hAnsi="Arial" w:cs="Arial"/>
        </w:rPr>
      </w:pPr>
      <w:r w:rsidRPr="00C6091A">
        <w:rPr>
          <w:rFonts w:ascii="Arial" w:hAnsi="Arial" w:cs="Arial"/>
        </w:rPr>
        <w:t>Zdroj:</w:t>
      </w:r>
      <w:r w:rsidRPr="00C6091A">
        <w:rPr>
          <w:rFonts w:ascii="Arial" w:hAnsi="Arial" w:cs="Arial"/>
        </w:rPr>
        <w:t xml:space="preserve"> www.natankuj.sk</w:t>
      </w:r>
    </w:p>
    <w:p w:rsidR="005C03E2" w:rsidRPr="00C6091A" w:rsidP="005C03E2">
      <w:pPr>
        <w:pStyle w:val="BodyText"/>
        <w:rPr>
          <w:rFonts w:ascii="Arial" w:hAnsi="Arial" w:cs="Arial"/>
        </w:rPr>
      </w:pPr>
    </w:p>
    <w:p w:rsidR="005C03E2" w:rsidRPr="00C6091A" w:rsidP="005C03E2">
      <w:pPr>
        <w:pStyle w:val="BodyText"/>
        <w:ind w:firstLine="708"/>
        <w:rPr>
          <w:rFonts w:ascii="Arial" w:hAnsi="Arial" w:cs="Arial"/>
        </w:rPr>
      </w:pPr>
      <w:r w:rsidRPr="00C6091A">
        <w:rPr>
          <w:rFonts w:ascii="Arial" w:hAnsi="Arial" w:cs="Arial"/>
        </w:rPr>
        <w:t>Paradoxné na tejto situácií je, že na rastúcich cenách pohonných hmôt zarába predovšetkým štátny rozpočet vo forme zvýšených daňových príjmov plynúcich zo spotrebných daní. Je tomu tak preto, že Smernica č. 2003/96/EC z 27. októbra 2003 určuje rovnakú minimálnu sadzbu spotrebnej dane z minerálneho oleja pre všetky krajiny EÚ. Táto je stanovená v eurách, kým sadzba v našej legislatíve je vyjadrená v korunách. Výrazným posilňovaním kurzu slovenskej koruny voči euru v posledných rokoch došlo k situácií, že občania platia na Slovensku za benzín o 4,77 Sk viac ako je stanovené minimum, a pri nafte je to dokonca až o 5,75 Sk viac</w:t>
      </w:r>
      <w:r>
        <w:rPr>
          <w:rStyle w:val="FootnoteReference"/>
          <w:rFonts w:ascii="Arial" w:hAnsi="Arial" w:cs="Arial"/>
          <w:rtl w:val="0"/>
        </w:rPr>
        <w:footnoteReference w:id="2"/>
      </w:r>
      <w:r w:rsidRPr="00C6091A">
        <w:rPr>
          <w:rFonts w:ascii="Arial" w:hAnsi="Arial" w:cs="Arial"/>
        </w:rPr>
        <w:t>.</w:t>
      </w:r>
    </w:p>
    <w:p w:rsidR="005C03E2" w:rsidRPr="00C6091A" w:rsidP="005C03E2">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849"/>
        <w:gridCol w:w="1763"/>
        <w:gridCol w:w="1892"/>
        <w:gridCol w:w="1892"/>
        <w:gridCol w:w="189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18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outlineLvl w:val="0"/>
              <w:rPr>
                <w:rFonts w:ascii="Arial" w:hAnsi="Arial" w:cs="Arial"/>
              </w:rPr>
            </w:pPr>
          </w:p>
        </w:tc>
        <w:tc>
          <w:tcPr>
            <w:tcW w:w="17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center"/>
              <w:outlineLvl w:val="0"/>
              <w:rPr>
                <w:rFonts w:ascii="Arial" w:hAnsi="Arial" w:cs="Arial"/>
              </w:rPr>
            </w:pPr>
            <w:r w:rsidRPr="00C6091A">
              <w:rPr>
                <w:rFonts w:ascii="Arial" w:hAnsi="Arial" w:cs="Arial"/>
              </w:rPr>
              <w:t>min. sadzba</w:t>
            </w:r>
          </w:p>
          <w:p w:rsidR="005C03E2" w:rsidRPr="00C6091A" w:rsidP="00101C6B">
            <w:pPr>
              <w:spacing w:before="120"/>
              <w:jc w:val="center"/>
              <w:outlineLvl w:val="0"/>
              <w:rPr>
                <w:rFonts w:ascii="Arial" w:hAnsi="Arial" w:cs="Arial"/>
              </w:rPr>
            </w:pPr>
            <w:r w:rsidRPr="00C6091A">
              <w:rPr>
                <w:rFonts w:ascii="Arial" w:hAnsi="Arial" w:cs="Arial"/>
              </w:rPr>
              <w:t>v eur/1000 l</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center"/>
              <w:outlineLvl w:val="0"/>
              <w:rPr>
                <w:rFonts w:ascii="Arial" w:hAnsi="Arial" w:cs="Arial"/>
              </w:rPr>
            </w:pPr>
            <w:r w:rsidRPr="00C6091A">
              <w:rPr>
                <w:rFonts w:ascii="Arial" w:hAnsi="Arial" w:cs="Arial"/>
              </w:rPr>
              <w:t>prepočet</w:t>
            </w:r>
          </w:p>
          <w:p w:rsidR="005C03E2" w:rsidRPr="00C6091A" w:rsidP="00101C6B">
            <w:pPr>
              <w:spacing w:before="120"/>
              <w:jc w:val="center"/>
              <w:outlineLvl w:val="0"/>
              <w:rPr>
                <w:rFonts w:ascii="Arial" w:hAnsi="Arial" w:cs="Arial"/>
              </w:rPr>
            </w:pPr>
            <w:r w:rsidRPr="00C6091A">
              <w:rPr>
                <w:rFonts w:ascii="Arial" w:hAnsi="Arial" w:cs="Arial"/>
              </w:rPr>
              <w:t>v Sk/1000 l</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center"/>
              <w:outlineLvl w:val="0"/>
              <w:rPr>
                <w:rFonts w:ascii="Arial" w:hAnsi="Arial" w:cs="Arial"/>
              </w:rPr>
            </w:pPr>
            <w:r w:rsidRPr="00C6091A">
              <w:rPr>
                <w:rFonts w:ascii="Arial" w:hAnsi="Arial" w:cs="Arial"/>
              </w:rPr>
              <w:t>platná sadzba</w:t>
            </w:r>
          </w:p>
          <w:p w:rsidR="005C03E2" w:rsidRPr="00C6091A" w:rsidP="00101C6B">
            <w:pPr>
              <w:spacing w:before="120"/>
              <w:jc w:val="center"/>
              <w:outlineLvl w:val="0"/>
              <w:rPr>
                <w:rFonts w:ascii="Arial" w:hAnsi="Arial" w:cs="Arial"/>
              </w:rPr>
            </w:pPr>
            <w:r w:rsidRPr="00C6091A">
              <w:rPr>
                <w:rFonts w:ascii="Arial" w:hAnsi="Arial" w:cs="Arial"/>
              </w:rPr>
              <w:t>v Sk/1000 l</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center"/>
              <w:outlineLvl w:val="0"/>
              <w:rPr>
                <w:rFonts w:ascii="Arial" w:hAnsi="Arial" w:cs="Arial"/>
              </w:rPr>
            </w:pPr>
            <w:r w:rsidRPr="00C6091A">
              <w:rPr>
                <w:rFonts w:ascii="Arial" w:hAnsi="Arial" w:cs="Arial"/>
              </w:rPr>
              <w:t>rozdiel</w:t>
            </w:r>
          </w:p>
          <w:p w:rsidR="005C03E2" w:rsidRPr="00C6091A" w:rsidP="00101C6B">
            <w:pPr>
              <w:spacing w:before="120"/>
              <w:jc w:val="center"/>
              <w:outlineLvl w:val="0"/>
              <w:rPr>
                <w:rFonts w:ascii="Arial" w:hAnsi="Arial" w:cs="Arial"/>
              </w:rPr>
            </w:pPr>
            <w:r w:rsidRPr="00C6091A">
              <w:rPr>
                <w:rFonts w:ascii="Arial" w:hAnsi="Arial" w:cs="Arial"/>
              </w:rPr>
              <w:t>v Sk/liter</w:t>
            </w:r>
          </w:p>
        </w:tc>
      </w:tr>
      <w:tr>
        <w:tblPrEx>
          <w:tblW w:w="0" w:type="auto"/>
        </w:tblPrEx>
        <w:trPr>
          <w:trHeight w:hRule="auto" w:val="0"/>
        </w:trPr>
        <w:tc>
          <w:tcPr>
            <w:tcW w:w="18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outlineLvl w:val="0"/>
              <w:rPr>
                <w:rFonts w:ascii="Arial" w:hAnsi="Arial" w:cs="Arial"/>
              </w:rPr>
            </w:pPr>
            <w:r w:rsidRPr="00C6091A">
              <w:rPr>
                <w:rFonts w:ascii="Arial" w:hAnsi="Arial" w:cs="Arial"/>
              </w:rPr>
              <w:t>Benzín</w:t>
            </w:r>
          </w:p>
        </w:tc>
        <w:tc>
          <w:tcPr>
            <w:tcW w:w="17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right"/>
              <w:outlineLvl w:val="0"/>
              <w:rPr>
                <w:rFonts w:ascii="Arial" w:hAnsi="Arial" w:cs="Arial"/>
              </w:rPr>
            </w:pPr>
            <w:r w:rsidRPr="00C6091A">
              <w:rPr>
                <w:rFonts w:ascii="Arial" w:hAnsi="Arial" w:cs="Arial"/>
              </w:rPr>
              <w:t>359</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right"/>
              <w:outlineLvl w:val="0"/>
              <w:rPr>
                <w:rFonts w:ascii="Arial" w:hAnsi="Arial" w:cs="Arial"/>
              </w:rPr>
            </w:pPr>
            <w:r w:rsidRPr="00C6091A">
              <w:rPr>
                <w:rFonts w:ascii="Arial" w:hAnsi="Arial" w:cs="Arial"/>
              </w:rPr>
              <w:t>11 488</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right"/>
              <w:outlineLvl w:val="0"/>
              <w:rPr>
                <w:rFonts w:ascii="Arial" w:hAnsi="Arial" w:cs="Arial"/>
              </w:rPr>
            </w:pPr>
            <w:r w:rsidRPr="00C6091A">
              <w:rPr>
                <w:rFonts w:ascii="Arial" w:hAnsi="Arial" w:cs="Arial"/>
              </w:rPr>
              <w:t>15 5</w:t>
            </w:r>
            <w:r w:rsidRPr="00C6091A">
              <w:rPr>
                <w:rFonts w:ascii="Arial" w:hAnsi="Arial" w:cs="Arial"/>
              </w:rPr>
              <w:t xml:space="preserve">00 </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right"/>
              <w:outlineLvl w:val="0"/>
              <w:rPr>
                <w:rFonts w:ascii="Arial" w:hAnsi="Arial" w:cs="Arial"/>
              </w:rPr>
            </w:pPr>
            <w:r w:rsidRPr="00C6091A">
              <w:rPr>
                <w:rFonts w:ascii="Arial" w:hAnsi="Arial" w:cs="Arial"/>
              </w:rPr>
              <w:t xml:space="preserve">4,01 + DPH </w:t>
            </w:r>
          </w:p>
        </w:tc>
      </w:tr>
      <w:tr>
        <w:tblPrEx>
          <w:tblW w:w="0" w:type="auto"/>
        </w:tblPrEx>
        <w:trPr>
          <w:trHeight w:hRule="auto" w:val="0"/>
        </w:trPr>
        <w:tc>
          <w:tcPr>
            <w:tcW w:w="18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outlineLvl w:val="0"/>
              <w:rPr>
                <w:rFonts w:ascii="Arial" w:hAnsi="Arial" w:cs="Arial"/>
              </w:rPr>
            </w:pPr>
            <w:r w:rsidRPr="00C6091A">
              <w:rPr>
                <w:rFonts w:ascii="Arial" w:hAnsi="Arial" w:cs="Arial"/>
              </w:rPr>
              <w:t>Nafta</w:t>
            </w:r>
          </w:p>
        </w:tc>
        <w:tc>
          <w:tcPr>
            <w:tcW w:w="17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right"/>
              <w:outlineLvl w:val="0"/>
              <w:rPr>
                <w:rFonts w:ascii="Arial" w:hAnsi="Arial" w:cs="Arial"/>
              </w:rPr>
            </w:pPr>
            <w:r w:rsidRPr="00C6091A">
              <w:rPr>
                <w:rFonts w:ascii="Arial" w:hAnsi="Arial" w:cs="Arial"/>
              </w:rPr>
              <w:t>302</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right"/>
              <w:outlineLvl w:val="0"/>
              <w:rPr>
                <w:rFonts w:ascii="Arial" w:hAnsi="Arial" w:cs="Arial"/>
              </w:rPr>
            </w:pPr>
            <w:r w:rsidRPr="00C6091A">
              <w:rPr>
                <w:rFonts w:ascii="Arial" w:hAnsi="Arial" w:cs="Arial"/>
              </w:rPr>
              <w:t>9 664</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right"/>
              <w:outlineLvl w:val="0"/>
              <w:rPr>
                <w:rFonts w:ascii="Arial" w:hAnsi="Arial" w:cs="Arial"/>
              </w:rPr>
            </w:pPr>
            <w:r w:rsidRPr="00C6091A">
              <w:rPr>
                <w:rFonts w:ascii="Arial" w:hAnsi="Arial" w:cs="Arial"/>
              </w:rPr>
              <w:t>14 500</w:t>
            </w:r>
          </w:p>
        </w:tc>
        <w:tc>
          <w:tcPr>
            <w:tcW w:w="18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03E2" w:rsidRPr="00C6091A" w:rsidP="00101C6B">
            <w:pPr>
              <w:spacing w:before="120"/>
              <w:jc w:val="right"/>
              <w:outlineLvl w:val="0"/>
              <w:rPr>
                <w:rFonts w:ascii="Arial" w:hAnsi="Arial" w:cs="Arial"/>
              </w:rPr>
            </w:pPr>
            <w:r w:rsidRPr="00C6091A">
              <w:rPr>
                <w:rFonts w:ascii="Arial" w:hAnsi="Arial" w:cs="Arial"/>
              </w:rPr>
              <w:t xml:space="preserve">4,84 + DPH </w:t>
            </w:r>
          </w:p>
        </w:tc>
      </w:tr>
    </w:tbl>
    <w:p w:rsidR="005C03E2" w:rsidRPr="00C6091A" w:rsidP="005C03E2">
      <w:pPr>
        <w:pStyle w:val="BodyText"/>
        <w:rPr>
          <w:rFonts w:ascii="Arial" w:hAnsi="Arial" w:cs="Arial"/>
        </w:rPr>
      </w:pPr>
    </w:p>
    <w:p w:rsidR="005C03E2" w:rsidRPr="00C6091A" w:rsidP="005C03E2">
      <w:pPr>
        <w:pStyle w:val="BodyText"/>
        <w:ind w:firstLine="708"/>
        <w:rPr>
          <w:rFonts w:ascii="Arial" w:hAnsi="Arial" w:cs="Arial"/>
        </w:rPr>
      </w:pPr>
      <w:r w:rsidRPr="00C6091A">
        <w:rPr>
          <w:rFonts w:ascii="Arial" w:hAnsi="Arial" w:cs="Arial"/>
        </w:rPr>
        <w:t>Keď sa táto sadzba v roku 2003 stanovovala, kurz koruny voči euru bol na úrovni približne 41,7 SKK/EUR</w:t>
      </w:r>
      <w:r>
        <w:rPr>
          <w:rStyle w:val="FootnoteReference"/>
          <w:rFonts w:ascii="Arial" w:hAnsi="Arial" w:cs="Arial"/>
          <w:rtl w:val="0"/>
        </w:rPr>
        <w:footnoteReference w:id="3"/>
      </w:r>
      <w:r w:rsidRPr="00C6091A">
        <w:rPr>
          <w:rFonts w:ascii="Arial" w:hAnsi="Arial" w:cs="Arial"/>
        </w:rPr>
        <w:t>. V tomto období bola teda minimálna úroveň sadzby spotrebnej dane na benzín prekročená o 0,51 Sk za liter (3,4%) a na naftu o 1,89 Sk za liter (15,0%). Teraz je to vďaka posilňovaniu koruny pri benzíne viac už o 4,01 Sk za liter (34,9%), a pri nafte dokonca o 4,84 Sk za liter (50,0%).</w:t>
      </w:r>
    </w:p>
    <w:p w:rsidR="005C03E2" w:rsidRPr="00C6091A" w:rsidP="005C03E2">
      <w:pPr>
        <w:pStyle w:val="BodyText"/>
        <w:rPr>
          <w:rFonts w:ascii="Arial" w:hAnsi="Arial" w:cs="Arial"/>
        </w:rPr>
      </w:pPr>
    </w:p>
    <w:p w:rsidR="005C03E2" w:rsidRPr="00C6091A" w:rsidP="005C03E2">
      <w:pPr>
        <w:pStyle w:val="BodyText"/>
        <w:rPr>
          <w:rFonts w:ascii="Arial" w:hAnsi="Arial" w:cs="Arial"/>
        </w:rPr>
      </w:pPr>
      <w:r w:rsidRPr="00C6091A">
        <w:rPr>
          <w:rFonts w:ascii="Arial" w:hAnsi="Arial" w:cs="Arial"/>
        </w:rPr>
        <w:tab/>
        <w:t>Predkladaný návrh zákona vedie k zníženiu spotrebnej dane z minerálneho oleja, ako je dnes upravená v zákone č. 98/2004 Z. z.. Neznižuje ju však na minimálnu sadzbu stanovenú v Smernici EÚ, ani na pôvodne stanovenú úroveň jej prekročenia (o 3,4% resp. 15,0%). Rozpočtové dôsledky takéhoto opatrenia by boli príliš veľké, v</w:t>
      </w:r>
      <w:r w:rsidRPr="00C6091A">
        <w:rPr>
          <w:rFonts w:ascii="Arial" w:hAnsi="Arial" w:cs="Arial"/>
        </w:rPr>
        <w:t>ýpadok príjmov zo spotrebných daní a DPH by pri stanovení minimálnej sadzby predstavoval v roku 2009 takmer 13 mld. Sk.</w:t>
      </w:r>
    </w:p>
    <w:p w:rsidR="005C03E2" w:rsidRPr="00C6091A" w:rsidP="005C03E2">
      <w:pPr>
        <w:pStyle w:val="BodyText"/>
        <w:rPr>
          <w:rFonts w:ascii="Arial" w:hAnsi="Arial" w:cs="Arial"/>
        </w:rPr>
      </w:pPr>
    </w:p>
    <w:p w:rsidR="005C03E2" w:rsidRPr="00C6091A" w:rsidP="005C03E2">
      <w:pPr>
        <w:pStyle w:val="BodyText"/>
        <w:rPr>
          <w:rFonts w:ascii="Arial" w:hAnsi="Arial" w:cs="Arial"/>
        </w:rPr>
      </w:pPr>
      <w:r w:rsidRPr="00C6091A">
        <w:rPr>
          <w:rFonts w:ascii="Arial" w:hAnsi="Arial" w:cs="Arial"/>
        </w:rPr>
        <w:tab/>
        <w:t>Navrhované zníženie spotrebných daní – u benzínu o 0,90 Sk a u nafty o 1,80 Sk na liter – je však obhájiteľné a udržateľné aj z pohľadu dopadu na verejné financie. Vzhľadom na pozitívny vývoj ekonomiky a z toho vyplývajúce vyššie ako očakávané daňové príjmy štátneho rozpočtu by nemala byť realizácia tohto opatrenia problémom. Jeho ročný dopad sa predpokladá vo výške cca 4 mld. Sk. Pre porovnanie, v roku 2004 sa očakávali daňové príjmy štátneho rozpočtu pre rok 2005 na úrovni približne 200 mld. Sk, kým v roku 2009 sa očakávajú už na úrovni 290 mld. Sk (nárast o 45%).</w:t>
      </w:r>
    </w:p>
    <w:p w:rsidR="005C03E2" w:rsidRPr="00C6091A" w:rsidP="005C03E2">
      <w:pPr>
        <w:pStyle w:val="BodyText"/>
        <w:rPr>
          <w:rFonts w:ascii="Arial" w:hAnsi="Arial" w:cs="Arial"/>
        </w:rPr>
      </w:pPr>
    </w:p>
    <w:p w:rsidR="005C03E2" w:rsidP="005C03E2">
      <w:pPr>
        <w:pStyle w:val="BodyText"/>
        <w:ind w:firstLine="708"/>
        <w:rPr>
          <w:rFonts w:ascii="Arial" w:hAnsi="Arial" w:cs="Arial"/>
        </w:rPr>
      </w:pPr>
      <w:r w:rsidRPr="00C6091A">
        <w:rPr>
          <w:rFonts w:ascii="Arial" w:hAnsi="Arial" w:cs="Arial"/>
        </w:rPr>
        <w:t>Prínosy tohto opatrenia sú predovšetkým v znížení výdavko</w:t>
      </w:r>
      <w:r w:rsidRPr="00C6091A">
        <w:rPr>
          <w:rFonts w:ascii="Arial" w:hAnsi="Arial" w:cs="Arial"/>
        </w:rPr>
        <w:t>v na prepravu pre obyvateľov a podnikateľov, ako aj v znížení tlaku na infláciu.</w:t>
      </w:r>
    </w:p>
    <w:p w:rsidR="005C03E2" w:rsidRPr="00490176" w:rsidP="005C03E2">
      <w:pPr>
        <w:pStyle w:val="BodyText"/>
        <w:rPr>
          <w:rFonts w:ascii="Arial" w:hAnsi="Arial" w:cs="Arial"/>
        </w:rPr>
      </w:pPr>
    </w:p>
    <w:p w:rsidR="005C03E2" w:rsidRPr="00490176" w:rsidP="005C03E2">
      <w:pPr>
        <w:ind w:firstLine="708"/>
        <w:jc w:val="both"/>
        <w:rPr>
          <w:rFonts w:ascii="Arial" w:hAnsi="Arial" w:cs="Arial"/>
        </w:rPr>
      </w:pPr>
      <w:r w:rsidRPr="00490176">
        <w:rPr>
          <w:rFonts w:ascii="Arial" w:hAnsi="Arial" w:cs="Arial"/>
        </w:rPr>
        <w:t>Návrh zákona je v súlade s Ústavou, ústavnými zákonmi a inými zákonmi a medzinárodnými zmluvami a inými medzinárodnými dokumentmi, ktorými je Slovenská republika viazaná.</w:t>
      </w:r>
    </w:p>
    <w:p w:rsidR="005C03E2" w:rsidRPr="00C6091A" w:rsidP="005C03E2">
      <w:pPr>
        <w:pStyle w:val="BodyText"/>
        <w:ind w:firstLine="708"/>
        <w:rPr>
          <w:rFonts w:ascii="Arial" w:hAnsi="Arial" w:cs="Arial"/>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rPr>
          <w:rFonts w:ascii="Arial" w:hAnsi="Arial" w:cs="Arial"/>
          <w:b/>
        </w:rPr>
      </w:pPr>
    </w:p>
    <w:p w:rsidR="005C03E2" w:rsidP="005C03E2">
      <w:pPr>
        <w:pStyle w:val="BodyText"/>
        <w:jc w:val="center"/>
        <w:rPr>
          <w:rFonts w:ascii="Arial" w:hAnsi="Arial" w:cs="Arial"/>
          <w:b/>
        </w:rPr>
      </w:pPr>
      <w:r w:rsidRPr="00490176">
        <w:rPr>
          <w:rFonts w:ascii="Arial" w:hAnsi="Arial" w:cs="Arial"/>
          <w:b/>
        </w:rPr>
        <w:t>Doložka vplyvov</w:t>
      </w:r>
    </w:p>
    <w:p w:rsidR="005C03E2" w:rsidRPr="00490176" w:rsidP="005C03E2">
      <w:pPr>
        <w:pStyle w:val="BodyText"/>
        <w:jc w:val="center"/>
        <w:rPr>
          <w:rFonts w:ascii="Arial" w:hAnsi="Arial" w:cs="Arial"/>
          <w:b/>
        </w:rPr>
      </w:pPr>
    </w:p>
    <w:p w:rsidR="005C03E2" w:rsidRPr="00490176" w:rsidP="005C03E2">
      <w:pPr>
        <w:pStyle w:val="BodyText"/>
        <w:numPr>
          <w:ilvl w:val="0"/>
          <w:numId w:val="1"/>
        </w:numPr>
        <w:rPr>
          <w:rFonts w:ascii="Arial" w:hAnsi="Arial" w:cs="Arial"/>
        </w:rPr>
      </w:pPr>
      <w:r w:rsidRPr="00490176">
        <w:rPr>
          <w:rFonts w:ascii="Arial" w:hAnsi="Arial" w:cs="Arial"/>
        </w:rPr>
        <w:t>Analýza vplyvu na štátny rozpočet:</w:t>
      </w:r>
    </w:p>
    <w:p w:rsidR="005C03E2" w:rsidRPr="00C6091A" w:rsidP="005C03E2">
      <w:pPr>
        <w:pStyle w:val="BodyText"/>
        <w:rPr>
          <w:rFonts w:ascii="Arial" w:hAnsi="Arial" w:cs="Arial"/>
        </w:rPr>
      </w:pPr>
    </w:p>
    <w:p w:rsidR="005C03E2" w:rsidRPr="00C6091A" w:rsidP="005C03E2">
      <w:pPr>
        <w:pStyle w:val="BodyText"/>
        <w:rPr>
          <w:rFonts w:ascii="Arial" w:hAnsi="Arial" w:cs="Arial"/>
        </w:rPr>
      </w:pPr>
      <w:r w:rsidRPr="00C6091A">
        <w:rPr>
          <w:rFonts w:ascii="Arial" w:hAnsi="Arial" w:cs="Arial"/>
        </w:rPr>
        <w:tab/>
        <w:t>Pri kvantifikácií dopadov opatrenia na štátny rozpočet sa vychádzalo z údajov o spotrebe pohonných hmôt na Slovensku za predchádzajúce obdobie (2005 až 2007) a pre nasledujúce roky sa použil predpoklad rastu spotreby pohonných látok o výšku reálneho rastu HDP. Pri prepočtoch sa zohľadnil aj trend zvyšovania podielu palív s biologickou zložkou, na ktoré sa uplatňuje znížená sadzba spotrebnej dane, na celkovej spotrebe pohonných hmôt. Podrobnosti uvádzajú nasledovné tabuľky:</w:t>
      </w:r>
    </w:p>
    <w:p w:rsidR="005C03E2" w:rsidRPr="00C6091A" w:rsidP="005C03E2">
      <w:pPr>
        <w:pStyle w:val="BodyText"/>
        <w:rPr>
          <w:rFonts w:ascii="Arial" w:hAnsi="Arial" w:cs="Arial"/>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838"/>
        <w:gridCol w:w="1839"/>
        <w:gridCol w:w="1838"/>
        <w:gridCol w:w="1839"/>
        <w:gridCol w:w="1839"/>
      </w:tblGrid>
      <w:tr>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255"/>
        </w:trPr>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5C03E2" w:rsidRPr="00C6091A" w:rsidP="00101C6B">
            <w:pPr>
              <w:jc w:val="center"/>
              <w:rPr>
                <w:rFonts w:ascii="Arial" w:hAnsi="Arial" w:cs="Arial"/>
                <w:b/>
              </w:rPr>
            </w:pPr>
            <w:r w:rsidRPr="00C6091A">
              <w:rPr>
                <w:rFonts w:ascii="Arial" w:hAnsi="Arial" w:cs="Arial"/>
                <w:b/>
              </w:rPr>
              <w:t>Rok</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5C03E2" w:rsidRPr="00C6091A" w:rsidP="00101C6B">
            <w:pPr>
              <w:jc w:val="center"/>
              <w:rPr>
                <w:rFonts w:ascii="Arial" w:hAnsi="Arial" w:cs="Arial"/>
                <w:b/>
              </w:rPr>
            </w:pPr>
            <w:r w:rsidRPr="00C6091A">
              <w:rPr>
                <w:rFonts w:ascii="Arial" w:hAnsi="Arial" w:cs="Arial"/>
                <w:b/>
              </w:rPr>
              <w:t>Spotreba benzínu</w:t>
            </w:r>
          </w:p>
        </w:tc>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5C03E2" w:rsidRPr="00C6091A" w:rsidP="00101C6B">
            <w:pPr>
              <w:jc w:val="center"/>
              <w:rPr>
                <w:rFonts w:ascii="Arial" w:hAnsi="Arial" w:cs="Arial"/>
                <w:b/>
              </w:rPr>
            </w:pPr>
            <w:r w:rsidRPr="00C6091A">
              <w:rPr>
                <w:rFonts w:ascii="Arial" w:hAnsi="Arial" w:cs="Arial"/>
                <w:b/>
              </w:rPr>
              <w:t>Spotreba benzínu so zníženou daňou</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5C03E2" w:rsidRPr="00C6091A" w:rsidP="00101C6B">
            <w:pPr>
              <w:jc w:val="center"/>
              <w:rPr>
                <w:rFonts w:ascii="Arial" w:hAnsi="Arial" w:cs="Arial"/>
                <w:b/>
              </w:rPr>
            </w:pPr>
            <w:r w:rsidRPr="00C6091A">
              <w:rPr>
                <w:rFonts w:ascii="Arial" w:hAnsi="Arial" w:cs="Arial"/>
                <w:b/>
              </w:rPr>
              <w:t>Spotreba nafty</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5C03E2" w:rsidRPr="00C6091A" w:rsidP="00101C6B">
            <w:pPr>
              <w:jc w:val="center"/>
              <w:rPr>
                <w:rFonts w:ascii="Arial" w:hAnsi="Arial" w:cs="Arial"/>
                <w:b/>
              </w:rPr>
            </w:pPr>
            <w:r w:rsidRPr="00C6091A">
              <w:rPr>
                <w:rFonts w:ascii="Arial" w:hAnsi="Arial" w:cs="Arial"/>
                <w:b/>
              </w:rPr>
              <w:t>Spotreba nafty so zníženou daňou</w:t>
            </w:r>
          </w:p>
        </w:tc>
      </w:tr>
      <w:tr>
        <w:tblPrEx>
          <w:tblW w:w="9193" w:type="dxa"/>
          <w:tblInd w:w="95" w:type="dxa"/>
          <w:tblLayout w:type="fixed"/>
        </w:tblPrEx>
        <w:trPr>
          <w:trHeight w:val="255"/>
        </w:trPr>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2005</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846 248</w:t>
            </w:r>
          </w:p>
        </w:tc>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1 075 453</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w:t>
            </w:r>
          </w:p>
        </w:tc>
      </w:tr>
      <w:tr>
        <w:tblPrEx>
          <w:tblW w:w="9193" w:type="dxa"/>
          <w:tblInd w:w="95" w:type="dxa"/>
          <w:tblLayout w:type="fixed"/>
        </w:tblPrEx>
        <w:trPr>
          <w:trHeight w:val="255"/>
        </w:trPr>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2006</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793 329</w:t>
            </w:r>
          </w:p>
        </w:tc>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83 044</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1 051 371</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295 601</w:t>
            </w:r>
          </w:p>
        </w:tc>
      </w:tr>
      <w:tr>
        <w:tblPrEx>
          <w:tblW w:w="9193" w:type="dxa"/>
          <w:tblInd w:w="95" w:type="dxa"/>
          <w:tblLayout w:type="fixed"/>
        </w:tblPrEx>
        <w:trPr>
          <w:trHeight w:val="255"/>
        </w:trPr>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2007</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262 361</w:t>
            </w:r>
          </w:p>
        </w:tc>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621 655</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120 899</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1 193 859</w:t>
            </w:r>
          </w:p>
        </w:tc>
      </w:tr>
      <w:tr>
        <w:tblPrEx>
          <w:tblW w:w="9193" w:type="dxa"/>
          <w:tblInd w:w="95" w:type="dxa"/>
          <w:tblLayout w:type="fixed"/>
        </w:tblPrEx>
        <w:trPr>
          <w:trHeight w:val="255"/>
        </w:trPr>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2008</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237 579</w:t>
            </w:r>
          </w:p>
        </w:tc>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712 738</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141 336</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1 272 028</w:t>
            </w:r>
          </w:p>
        </w:tc>
      </w:tr>
      <w:tr>
        <w:tblPrEx>
          <w:tblW w:w="9193" w:type="dxa"/>
          <w:tblInd w:w="95" w:type="dxa"/>
          <w:tblLayout w:type="fixed"/>
        </w:tblPrEx>
        <w:trPr>
          <w:trHeight w:val="255"/>
        </w:trPr>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2009</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202 227</w:t>
            </w:r>
          </w:p>
        </w:tc>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808 910</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150 382</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1 353 438</w:t>
            </w:r>
          </w:p>
        </w:tc>
      </w:tr>
      <w:tr>
        <w:tblPrEx>
          <w:tblW w:w="9193" w:type="dxa"/>
          <w:tblInd w:w="95" w:type="dxa"/>
          <w:tblLayout w:type="fixed"/>
        </w:tblPrEx>
        <w:trPr>
          <w:trHeight w:val="255"/>
        </w:trPr>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2010</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160 619</w:t>
            </w:r>
          </w:p>
        </w:tc>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910 176</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159 254</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1 433 291</w:t>
            </w:r>
          </w:p>
        </w:tc>
      </w:tr>
      <w:tr>
        <w:tblPrEx>
          <w:tblW w:w="9193" w:type="dxa"/>
          <w:tblInd w:w="95" w:type="dxa"/>
          <w:tblLayout w:type="fixed"/>
        </w:tblPrEx>
        <w:trPr>
          <w:trHeight w:val="255"/>
        </w:trPr>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2011</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113 076</w:t>
            </w:r>
          </w:p>
        </w:tc>
        <w:tc>
          <w:tcPr>
            <w:tcW w:w="1838"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1 017 684</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168 172</w:t>
            </w:r>
          </w:p>
        </w:tc>
        <w:tc>
          <w:tcPr>
            <w:tcW w:w="1839"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jc w:val="right"/>
              <w:rPr>
                <w:rFonts w:ascii="Arial" w:hAnsi="Arial" w:cs="Arial"/>
              </w:rPr>
            </w:pPr>
            <w:r w:rsidRPr="00C6091A">
              <w:rPr>
                <w:rFonts w:ascii="Arial" w:hAnsi="Arial" w:cs="Arial"/>
              </w:rPr>
              <w:t>1 513 555</w:t>
            </w:r>
          </w:p>
        </w:tc>
      </w:tr>
    </w:tbl>
    <w:p w:rsidR="005C03E2" w:rsidRPr="00C6091A" w:rsidP="005C03E2">
      <w:pPr>
        <w:pStyle w:val="BodyText"/>
        <w:rPr>
          <w:rFonts w:ascii="Arial" w:hAnsi="Arial" w:cs="Arial"/>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780"/>
        <w:gridCol w:w="2671"/>
        <w:gridCol w:w="2371"/>
        <w:gridCol w:w="2371"/>
      </w:tblGrid>
      <w:tr>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8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5C03E2" w:rsidRPr="00C6091A" w:rsidP="00101C6B">
            <w:pPr>
              <w:jc w:val="center"/>
              <w:rPr>
                <w:rFonts w:ascii="Arial" w:hAnsi="Arial" w:cs="Arial"/>
                <w:b/>
              </w:rPr>
            </w:pPr>
            <w:r w:rsidRPr="00C6091A">
              <w:rPr>
                <w:rFonts w:ascii="Arial" w:hAnsi="Arial" w:cs="Arial"/>
                <w:b/>
              </w:rPr>
              <w:t>Rok</w:t>
            </w:r>
          </w:p>
        </w:tc>
        <w:tc>
          <w:tcPr>
            <w:tcW w:w="267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5C03E2" w:rsidRPr="00C6091A" w:rsidP="00101C6B">
            <w:pPr>
              <w:jc w:val="center"/>
              <w:rPr>
                <w:rFonts w:ascii="Arial" w:hAnsi="Arial" w:cs="Arial"/>
                <w:b/>
              </w:rPr>
            </w:pPr>
            <w:r w:rsidRPr="00C6091A">
              <w:rPr>
                <w:rFonts w:ascii="Arial" w:hAnsi="Arial" w:cs="Arial"/>
                <w:b/>
              </w:rPr>
              <w:t>Výpadok výnosu spotrebných daní</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5C03E2" w:rsidRPr="00C6091A" w:rsidP="00101C6B">
            <w:pPr>
              <w:jc w:val="center"/>
              <w:rPr>
                <w:rFonts w:ascii="Arial" w:hAnsi="Arial" w:cs="Arial"/>
                <w:b/>
              </w:rPr>
            </w:pPr>
            <w:r w:rsidRPr="00C6091A">
              <w:rPr>
                <w:rFonts w:ascii="Arial" w:hAnsi="Arial" w:cs="Arial"/>
                <w:b/>
              </w:rPr>
              <w:t>Výpadok výnosu DPH</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5C03E2" w:rsidRPr="00C6091A" w:rsidP="00101C6B">
            <w:pPr>
              <w:jc w:val="center"/>
              <w:rPr>
                <w:rFonts w:ascii="Arial" w:hAnsi="Arial" w:cs="Arial"/>
                <w:b/>
              </w:rPr>
            </w:pPr>
            <w:r w:rsidRPr="00C6091A">
              <w:rPr>
                <w:rFonts w:ascii="Arial" w:hAnsi="Arial" w:cs="Arial"/>
                <w:b/>
              </w:rPr>
              <w:t>Výpadok daňových príjmov spolu</w:t>
            </w:r>
          </w:p>
        </w:tc>
      </w:tr>
      <w:tr>
        <w:tblPrEx>
          <w:tblW w:w="9193" w:type="dxa"/>
          <w:tblInd w:w="95" w:type="dxa"/>
        </w:tblPrEx>
        <w:trPr>
          <w:trHeight w:val="255"/>
        </w:trPr>
        <w:tc>
          <w:tcPr>
            <w:tcW w:w="1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2008</w:t>
            </w:r>
          </w:p>
        </w:tc>
        <w:tc>
          <w:tcPr>
            <w:tcW w:w="26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-809 668 867</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-153 837 084</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-963 505 952</w:t>
            </w:r>
          </w:p>
        </w:tc>
      </w:tr>
      <w:tr>
        <w:tblPrEx>
          <w:tblW w:w="9193" w:type="dxa"/>
          <w:tblInd w:w="95" w:type="dxa"/>
        </w:tblPrEx>
        <w:trPr>
          <w:trHeight w:val="255"/>
        </w:trPr>
        <w:tc>
          <w:tcPr>
            <w:tcW w:w="1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2009</w:t>
            </w:r>
          </w:p>
        </w:tc>
        <w:tc>
          <w:tcPr>
            <w:tcW w:w="26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-3 442 674 611</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-654 108 176</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-4 096 782 787</w:t>
            </w:r>
          </w:p>
        </w:tc>
      </w:tr>
      <w:tr>
        <w:tblPrEx>
          <w:tblW w:w="9193" w:type="dxa"/>
          <w:tblInd w:w="95" w:type="dxa"/>
        </w:tblPrEx>
        <w:trPr>
          <w:trHeight w:val="255"/>
        </w:trPr>
        <w:tc>
          <w:tcPr>
            <w:tcW w:w="1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2010</w:t>
            </w:r>
          </w:p>
        </w:tc>
        <w:tc>
          <w:tcPr>
            <w:tcW w:w="26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-3 642 323 034</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-692 041 376</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-4 334 364 411</w:t>
            </w:r>
          </w:p>
        </w:tc>
      </w:tr>
      <w:tr>
        <w:tblPrEx>
          <w:tblW w:w="9193" w:type="dxa"/>
          <w:tblInd w:w="95" w:type="dxa"/>
        </w:tblPrEx>
        <w:trPr>
          <w:trHeight w:val="255"/>
        </w:trPr>
        <w:tc>
          <w:tcPr>
            <w:tcW w:w="1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5C03E2" w:rsidRPr="00C6091A" w:rsidP="00101C6B">
            <w:pPr>
              <w:rPr>
                <w:rFonts w:ascii="Arial" w:hAnsi="Arial" w:cs="Arial"/>
                <w:b/>
              </w:rPr>
            </w:pPr>
            <w:r w:rsidRPr="00C6091A">
              <w:rPr>
                <w:rFonts w:ascii="Arial" w:hAnsi="Arial" w:cs="Arial"/>
                <w:b/>
              </w:rPr>
              <w:t>2011</w:t>
            </w:r>
          </w:p>
        </w:tc>
        <w:tc>
          <w:tcPr>
            <w:tcW w:w="26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-3 842 629 461</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-730 099 597</w:t>
            </w:r>
          </w:p>
        </w:tc>
        <w:tc>
          <w:tcPr>
            <w:tcW w:w="2371"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5C03E2" w:rsidRPr="00C6091A" w:rsidP="00101C6B">
            <w:pPr>
              <w:jc w:val="right"/>
              <w:rPr>
                <w:rFonts w:ascii="Arial" w:hAnsi="Arial" w:cs="Arial"/>
              </w:rPr>
            </w:pPr>
            <w:r w:rsidRPr="00C6091A">
              <w:rPr>
                <w:rFonts w:ascii="Arial" w:hAnsi="Arial" w:cs="Arial"/>
              </w:rPr>
              <w:t>-4 572 729 059</w:t>
            </w:r>
          </w:p>
        </w:tc>
      </w:tr>
    </w:tbl>
    <w:p w:rsidR="005C03E2" w:rsidRPr="00C6091A" w:rsidP="005C03E2">
      <w:pPr>
        <w:pStyle w:val="BodyText"/>
        <w:rPr>
          <w:rFonts w:ascii="Arial" w:hAnsi="Arial" w:cs="Arial"/>
        </w:rPr>
      </w:pPr>
    </w:p>
    <w:p w:rsidR="005C03E2" w:rsidRPr="00C6091A" w:rsidP="005C03E2">
      <w:pPr>
        <w:pStyle w:val="BodyText"/>
        <w:rPr>
          <w:rFonts w:ascii="Arial" w:hAnsi="Arial" w:cs="Arial"/>
        </w:rPr>
      </w:pPr>
    </w:p>
    <w:p w:rsidR="005C03E2" w:rsidRPr="00C6091A" w:rsidP="005C03E2">
      <w:pPr>
        <w:pStyle w:val="BodyText"/>
        <w:numPr>
          <w:ilvl w:val="0"/>
          <w:numId w:val="1"/>
        </w:numPr>
        <w:ind w:left="0" w:firstLine="360"/>
        <w:rPr>
          <w:rFonts w:ascii="Arial" w:hAnsi="Arial" w:cs="Arial"/>
        </w:rPr>
      </w:pPr>
      <w:r w:rsidRPr="00C6091A">
        <w:rPr>
          <w:rFonts w:ascii="Arial" w:hAnsi="Arial" w:cs="Arial"/>
        </w:rPr>
        <w:t>Navrhovaný zákon nezakladá nárok</w:t>
      </w:r>
      <w:r>
        <w:rPr>
          <w:rFonts w:ascii="Arial" w:hAnsi="Arial" w:cs="Arial"/>
        </w:rPr>
        <w:t xml:space="preserve">y na pracovné sily, organizačné </w:t>
      </w:r>
      <w:r w:rsidRPr="00C6091A">
        <w:rPr>
          <w:rFonts w:ascii="Arial" w:hAnsi="Arial" w:cs="Arial"/>
        </w:rPr>
        <w:t>zabezpečenie a nebude mať dopad na životné prostredie.</w:t>
      </w:r>
    </w:p>
    <w:p w:rsidR="005C03E2" w:rsidRPr="00490176" w:rsidP="005C03E2">
      <w:pPr>
        <w:pStyle w:val="BodyText"/>
        <w:rPr>
          <w:rFonts w:ascii="Arial" w:hAnsi="Arial" w:cs="Arial"/>
        </w:rPr>
      </w:pPr>
    </w:p>
    <w:p w:rsidR="005C03E2" w:rsidRPr="00C6091A" w:rsidP="005C03E2">
      <w:pPr>
        <w:pStyle w:val="BodyText"/>
        <w:rPr>
          <w:rFonts w:ascii="Arial" w:hAnsi="Arial" w:cs="Arial"/>
        </w:rPr>
      </w:pPr>
    </w:p>
    <w:p w:rsidR="005C03E2" w:rsidRPr="00C6091A" w:rsidP="005C03E2">
      <w:pPr>
        <w:pStyle w:val="BodyText"/>
        <w:rPr>
          <w:rFonts w:ascii="Arial" w:hAnsi="Arial" w:cs="Arial"/>
          <w:b/>
          <w:bCs/>
        </w:rPr>
      </w:pPr>
      <w:r w:rsidRPr="00C6091A">
        <w:rPr>
          <w:rFonts w:ascii="Arial" w:hAnsi="Arial" w:cs="Arial"/>
          <w:b/>
          <w:bCs/>
        </w:rPr>
        <w:t>Osobitná časť</w:t>
      </w:r>
    </w:p>
    <w:p w:rsidR="005C03E2" w:rsidRPr="00C6091A" w:rsidP="005C03E2">
      <w:pPr>
        <w:pStyle w:val="BodyText"/>
        <w:rPr>
          <w:rFonts w:ascii="Arial" w:hAnsi="Arial" w:cs="Arial"/>
        </w:rPr>
      </w:pPr>
    </w:p>
    <w:p w:rsidR="005C03E2" w:rsidRPr="00C6091A" w:rsidP="005C03E2">
      <w:pPr>
        <w:pStyle w:val="BodyText"/>
        <w:rPr>
          <w:rFonts w:ascii="Arial" w:hAnsi="Arial" w:cs="Arial"/>
          <w:b/>
          <w:bCs/>
        </w:rPr>
      </w:pPr>
      <w:r w:rsidRPr="00C6091A">
        <w:rPr>
          <w:rFonts w:ascii="Arial" w:hAnsi="Arial" w:cs="Arial"/>
          <w:b/>
          <w:bCs/>
        </w:rPr>
        <w:t>K Čl. I</w:t>
      </w:r>
    </w:p>
    <w:p w:rsidR="005C03E2" w:rsidRPr="00C6091A" w:rsidP="005C03E2">
      <w:pPr>
        <w:pStyle w:val="BodyText"/>
        <w:rPr>
          <w:rFonts w:ascii="Arial" w:hAnsi="Arial" w:cs="Arial"/>
        </w:rPr>
      </w:pPr>
    </w:p>
    <w:p w:rsidR="005C03E2" w:rsidRPr="00C6091A" w:rsidP="005C03E2">
      <w:pPr>
        <w:pStyle w:val="BodyText"/>
        <w:rPr>
          <w:rFonts w:ascii="Arial" w:hAnsi="Arial" w:cs="Arial"/>
        </w:rPr>
      </w:pPr>
      <w:r w:rsidRPr="00C6091A">
        <w:rPr>
          <w:rFonts w:ascii="Arial" w:hAnsi="Arial" w:cs="Arial"/>
        </w:rPr>
        <w:tab/>
        <w:t>Navrhuje sa pri vybraných druhoch pohonných hmôt (osobitne bezolovnatý benzín a motorová nafta) znížiť stanovené sadzby spotrebnej dane.</w:t>
      </w:r>
    </w:p>
    <w:p w:rsidR="005C03E2" w:rsidRPr="00C6091A" w:rsidP="005C03E2">
      <w:pPr>
        <w:pStyle w:val="BodyText"/>
        <w:rPr>
          <w:rFonts w:ascii="Arial" w:hAnsi="Arial" w:cs="Arial"/>
        </w:rPr>
      </w:pPr>
    </w:p>
    <w:p w:rsidR="005C03E2" w:rsidRPr="00C6091A" w:rsidP="005C03E2">
      <w:pPr>
        <w:pStyle w:val="BodyText"/>
        <w:rPr>
          <w:rFonts w:ascii="Arial" w:hAnsi="Arial" w:cs="Arial"/>
        </w:rPr>
      </w:pPr>
    </w:p>
    <w:p w:rsidR="005C03E2" w:rsidRPr="00C6091A" w:rsidP="005C03E2">
      <w:pPr>
        <w:pStyle w:val="BodyText"/>
        <w:rPr>
          <w:rFonts w:ascii="Arial" w:hAnsi="Arial" w:cs="Arial"/>
          <w:b/>
          <w:bCs/>
        </w:rPr>
      </w:pPr>
      <w:r w:rsidRPr="00C6091A">
        <w:rPr>
          <w:rFonts w:ascii="Arial" w:hAnsi="Arial" w:cs="Arial"/>
          <w:b/>
          <w:bCs/>
        </w:rPr>
        <w:t>K Čl. II</w:t>
      </w:r>
    </w:p>
    <w:p w:rsidR="005C03E2" w:rsidRPr="00C6091A" w:rsidP="005C03E2">
      <w:pPr>
        <w:pStyle w:val="BodyText"/>
        <w:rPr>
          <w:rFonts w:ascii="Arial" w:hAnsi="Arial" w:cs="Arial"/>
          <w:b/>
          <w:bCs/>
        </w:rPr>
      </w:pPr>
    </w:p>
    <w:p w:rsidR="005C03E2" w:rsidRPr="00490176" w:rsidP="005C03E2">
      <w:pPr>
        <w:pStyle w:val="BodyText"/>
        <w:rPr>
          <w:rFonts w:ascii="Arial" w:hAnsi="Arial" w:cs="Arial"/>
        </w:rPr>
      </w:pPr>
      <w:r w:rsidRPr="00C6091A">
        <w:rPr>
          <w:rFonts w:ascii="Arial" w:hAnsi="Arial" w:cs="Arial"/>
          <w:b/>
          <w:bCs/>
        </w:rPr>
        <w:tab/>
      </w:r>
      <w:r w:rsidRPr="00490176">
        <w:rPr>
          <w:rFonts w:ascii="Arial" w:hAnsi="Arial" w:cs="Arial"/>
        </w:rPr>
        <w:t>Vzhľadom na dĺžku legislatívneho procesu a potrebnú legisvakanciu sa navrhuje, aby tento zákon nadobudol účinnosť 1. 10. 2008.</w:t>
      </w:r>
    </w:p>
    <w:p w:rsidR="005C03E2" w:rsidRPr="00C6091A" w:rsidP="005C03E2">
      <w:pPr>
        <w:jc w:val="center"/>
        <w:rPr>
          <w:rFonts w:ascii="Arial" w:hAnsi="Arial" w:cs="Arial"/>
          <w:b/>
        </w:rPr>
      </w:pPr>
    </w:p>
    <w:p w:rsidR="00FC5F5B" w:rsidP="005C03E2">
      <w:pPr>
        <w:rPr>
          <w:rFonts w:ascii="Times New Roman" w:hAnsi="Times New Roman" w:cs="Times New Roman"/>
        </w:rPr>
      </w:pPr>
      <w:r w:rsidRPr="00C6091A" w:rsidR="005C03E2">
        <w:rPr>
          <w:rFonts w:ascii="Arial" w:hAnsi="Arial" w:cs="Arial"/>
          <w:b/>
        </w:rPr>
        <w:br w:type="page"/>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C6B">
      <w:pPr>
        <w:rPr>
          <w:rFonts w:ascii="Times New Roman" w:hAnsi="Times New Roman" w:cs="Times New Roman"/>
        </w:rPr>
      </w:pPr>
      <w:r>
        <w:rPr>
          <w:rFonts w:ascii="Times New Roman" w:hAnsi="Times New Roman" w:cs="Times New Roman"/>
        </w:rPr>
        <w:separator/>
      </w:r>
    </w:p>
  </w:footnote>
  <w:footnote w:type="continuationSeparator" w:id="1">
    <w:p w:rsidR="00101C6B">
      <w:pPr>
        <w:rPr>
          <w:rFonts w:ascii="Times New Roman" w:hAnsi="Times New Roman" w:cs="Times New Roman"/>
        </w:rPr>
      </w:pPr>
      <w:r>
        <w:rPr>
          <w:rFonts w:ascii="Times New Roman" w:hAnsi="Times New Roman" w:cs="Times New Roman"/>
        </w:rPr>
        <w:continuationSeparator/>
      </w:r>
    </w:p>
  </w:footnote>
  <w:footnote w:id="2">
    <w:p w:rsidP="005C03E2">
      <w:pPr>
        <w:pStyle w:val="FootnoteText"/>
        <w:rPr>
          <w:rFonts w:ascii="Times New Roman" w:hAnsi="Times New Roman" w:cs="Times New Roman"/>
        </w:rPr>
      </w:pPr>
      <w:r w:rsidR="005C03E2">
        <w:rPr>
          <w:rStyle w:val="FootnoteReference"/>
          <w:rFonts w:ascii="Times New Roman" w:hAnsi="Times New Roman" w:cs="Times New Roman"/>
        </w:rPr>
        <w:footnoteRef/>
      </w:r>
      <w:r w:rsidR="005C03E2">
        <w:rPr>
          <w:rFonts w:ascii="Times New Roman" w:hAnsi="Times New Roman" w:cs="Times New Roman"/>
        </w:rPr>
        <w:t xml:space="preserve"> Pri použitom kurze 32,0 SKK/EUR a zohľadnení DPH.</w:t>
      </w:r>
    </w:p>
  </w:footnote>
  <w:footnote w:id="3">
    <w:p w:rsidP="005C03E2">
      <w:pPr>
        <w:pStyle w:val="FootnoteText"/>
        <w:rPr>
          <w:rFonts w:ascii="Times New Roman" w:hAnsi="Times New Roman" w:cs="Times New Roman"/>
        </w:rPr>
      </w:pPr>
      <w:r w:rsidR="005C03E2">
        <w:rPr>
          <w:rStyle w:val="FootnoteReference"/>
          <w:rFonts w:ascii="Times New Roman" w:hAnsi="Times New Roman" w:cs="Times New Roman"/>
        </w:rPr>
        <w:footnoteRef/>
      </w:r>
      <w:r w:rsidR="005C03E2">
        <w:rPr>
          <w:rFonts w:ascii="Times New Roman" w:hAnsi="Times New Roman" w:cs="Times New Roman"/>
        </w:rPr>
        <w:t xml:space="preserve"> Priemerný kurz za 3. štvrťrok 2003 predstavoval 41,747 SKK/EUR, pri prepočtoch je preto použitá táto úroveň kurzu.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A5ACD"/>
    <w:multiLevelType w:val="hybridMultilevel"/>
    <w:tmpl w:val="965E0ECC"/>
    <w:lvl w:ilvl="0">
      <w:start w:val="1"/>
      <w:numFmt w:val="decimal"/>
      <w:lvlText w:val="%1."/>
      <w:lvlJc w:val="left"/>
      <w:pPr>
        <w:ind w:left="720" w:hanging="360"/>
      </w:pPr>
      <w:rPr>
        <w:b/>
        <w:rtl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00000"/>
    <w:rsid w:val="00101C6B"/>
    <w:rsid w:val="00490176"/>
    <w:rsid w:val="005C03E2"/>
    <w:rsid w:val="00C6091A"/>
    <w:rsid w:val="00FC5F5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3E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5C03E2"/>
    <w:pPr>
      <w:jc w:val="both"/>
    </w:pPr>
  </w:style>
  <w:style w:type="paragraph" w:styleId="FootnoteText">
    <w:name w:val="footnote text"/>
    <w:basedOn w:val="Normal"/>
    <w:semiHidden/>
    <w:rsid w:val="005C03E2"/>
    <w:pPr>
      <w:jc w:val="left"/>
    </w:pPr>
    <w:rPr>
      <w:sz w:val="20"/>
      <w:szCs w:val="20"/>
    </w:rPr>
  </w:style>
  <w:style w:type="character" w:styleId="FootnoteReference">
    <w:name w:val="footnote reference"/>
    <w:basedOn w:val="DefaultParagraphFont"/>
    <w:semiHidden/>
    <w:rsid w:val="005C03E2"/>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661</Words>
  <Characters>3772</Characters>
  <Application>Microsoft Office Word</Application>
  <DocSecurity>0</DocSecurity>
  <Lines>0</Lines>
  <Paragraphs>0</Paragraphs>
  <ScaleCrop>false</ScaleCrop>
  <Company>Kancelaria NR SR</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Ivan_Miklos</dc:creator>
  <cp:lastModifiedBy>Ivan_Miklos</cp:lastModifiedBy>
  <cp:revision>2</cp:revision>
  <dcterms:created xsi:type="dcterms:W3CDTF">2008-05-27T07:56:00Z</dcterms:created>
  <dcterms:modified xsi:type="dcterms:W3CDTF">2008-05-27T07:56:00Z</dcterms:modified>
</cp:coreProperties>
</file>