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63C1" w:rsidP="00B60A06">
      <w:pPr>
        <w:jc w:val="center"/>
        <w:rPr>
          <w:b/>
        </w:rPr>
      </w:pPr>
      <w:r>
        <w:rPr>
          <w:b/>
        </w:rPr>
        <w:t>N Á R O D N Á    R A D A   S L O V E N S K E J    R E P U B L I K Y</w:t>
      </w:r>
    </w:p>
    <w:p w:rsidR="00BB63C1">
      <w:pPr>
        <w:jc w:val="center"/>
        <w:rPr>
          <w:b/>
        </w:rPr>
      </w:pPr>
    </w:p>
    <w:p w:rsidR="00BB63C1">
      <w:pPr>
        <w:jc w:val="center"/>
        <w:rPr>
          <w:b/>
        </w:rPr>
      </w:pPr>
      <w:r>
        <w:rPr>
          <w:b/>
        </w:rPr>
        <w:t>IV. volebné obdobie</w:t>
        <w:tab/>
      </w:r>
    </w:p>
    <w:p w:rsidR="00BB63C1"/>
    <w:p w:rsidR="00BB63C1"/>
    <w:p w:rsidR="00BB63C1">
      <w:pPr>
        <w:jc w:val="center"/>
        <w:rPr>
          <w:b/>
        </w:rPr>
      </w:pPr>
      <w:r>
        <w:rPr>
          <w:b/>
        </w:rPr>
        <w:t>Návrh</w:t>
      </w:r>
    </w:p>
    <w:p w:rsidR="00BB63C1">
      <w:pPr>
        <w:jc w:val="center"/>
        <w:rPr>
          <w:b/>
        </w:rPr>
      </w:pPr>
    </w:p>
    <w:p w:rsidR="00BB63C1">
      <w:pPr>
        <w:jc w:val="center"/>
        <w:rPr>
          <w:b/>
        </w:rPr>
      </w:pPr>
      <w:r>
        <w:rPr>
          <w:b/>
        </w:rPr>
        <w:t xml:space="preserve">zákon </w:t>
      </w:r>
    </w:p>
    <w:p w:rsidR="00BB63C1">
      <w:pPr>
        <w:jc w:val="center"/>
        <w:rPr>
          <w:b/>
        </w:rPr>
      </w:pPr>
    </w:p>
    <w:p w:rsidR="00BB63C1">
      <w:pPr>
        <w:jc w:val="center"/>
        <w:rPr>
          <w:b/>
        </w:rPr>
      </w:pPr>
      <w:r>
        <w:rPr>
          <w:b/>
        </w:rPr>
        <w:t>z.........2007,</w:t>
      </w:r>
    </w:p>
    <w:p w:rsidR="00B60A06">
      <w:pPr>
        <w:jc w:val="center"/>
        <w:rPr>
          <w:b/>
        </w:rPr>
      </w:pPr>
    </w:p>
    <w:p w:rsidR="00BB63C1">
      <w:pPr>
        <w:jc w:val="center"/>
        <w:rPr>
          <w:b/>
        </w:rPr>
      </w:pPr>
      <w:r>
        <w:rPr>
          <w:b/>
        </w:rPr>
        <w:t>ktorým sa mení a dopĺňa</w:t>
      </w:r>
    </w:p>
    <w:p w:rsidR="00BB63C1">
      <w:pPr>
        <w:jc w:val="center"/>
        <w:rPr>
          <w:b/>
        </w:rPr>
      </w:pPr>
      <w:r>
        <w:rPr>
          <w:b/>
        </w:rPr>
        <w:t xml:space="preserve">zákon </w:t>
      </w:r>
      <w:r w:rsidR="00B60A06">
        <w:rPr>
          <w:b/>
        </w:rPr>
        <w:t xml:space="preserve">Slovenskej národnej rady </w:t>
      </w:r>
      <w:r>
        <w:rPr>
          <w:b/>
        </w:rPr>
        <w:t>č. 9/1992</w:t>
      </w:r>
      <w:r w:rsidR="00B60A06">
        <w:rPr>
          <w:b/>
        </w:rPr>
        <w:t xml:space="preserve"> </w:t>
      </w:r>
      <w:r>
        <w:rPr>
          <w:b/>
        </w:rPr>
        <w:t>Zb. o obchodných a priemyselných komorách v znení neskorších predpi</w:t>
      </w:r>
      <w:r>
        <w:rPr>
          <w:b/>
        </w:rPr>
        <w:t>sov.</w:t>
      </w:r>
    </w:p>
    <w:p w:rsidR="00B60A06" w:rsidP="00B60A06">
      <w:pPr>
        <w:jc w:val="both"/>
      </w:pPr>
    </w:p>
    <w:p w:rsidR="00BB63C1" w:rsidP="00B60A06">
      <w:pPr>
        <w:ind w:firstLine="720"/>
        <w:jc w:val="both"/>
      </w:pPr>
      <w:r>
        <w:t>Národná rada Slovenskej republiky sa uzniesla na tomto zákone:</w:t>
      </w:r>
    </w:p>
    <w:p w:rsidR="00BB63C1">
      <w:pPr>
        <w:jc w:val="both"/>
      </w:pPr>
    </w:p>
    <w:p w:rsidR="00BB63C1">
      <w:pPr>
        <w:jc w:val="center"/>
        <w:rPr>
          <w:b/>
        </w:rPr>
      </w:pPr>
      <w:r>
        <w:rPr>
          <w:b/>
        </w:rPr>
        <w:t>Čl. I</w:t>
      </w:r>
    </w:p>
    <w:p w:rsidR="00BB63C1">
      <w:pPr>
        <w:jc w:val="both"/>
      </w:pPr>
    </w:p>
    <w:p w:rsidR="00BB63C1">
      <w:pPr>
        <w:jc w:val="both"/>
      </w:pPr>
      <w:r>
        <w:t xml:space="preserve">Zákon </w:t>
      </w:r>
      <w:r w:rsidR="00B60A06">
        <w:t xml:space="preserve">Slovenskej národnej rady </w:t>
      </w:r>
      <w:r>
        <w:t>č. 9</w:t>
      </w:r>
      <w:r>
        <w:rPr>
          <w:i/>
        </w:rPr>
        <w:t>/</w:t>
      </w:r>
      <w:r>
        <w:t>1992 Zb. o obchodných a priemyselných</w:t>
      </w:r>
      <w:r>
        <w:rPr>
          <w:b/>
        </w:rPr>
        <w:t xml:space="preserve"> </w:t>
      </w:r>
      <w:r>
        <w:t xml:space="preserve">komorách v znení zákona </w:t>
      </w:r>
      <w:r w:rsidR="00B60A06">
        <w:t xml:space="preserve">Národnej rady Slovenskej republiky </w:t>
      </w:r>
      <w:r>
        <w:t xml:space="preserve">č. 121/1996 Z. z. a zákona č. 126/1998 Z. z. sa mení a dopĺňa takto: </w:t>
      </w:r>
    </w:p>
    <w:p w:rsidR="00BB63C1">
      <w:pPr>
        <w:jc w:val="both"/>
      </w:pPr>
    </w:p>
    <w:p w:rsidR="00BB63C1">
      <w:pPr>
        <w:numPr>
          <w:ilvl w:val="0"/>
          <w:numId w:val="1"/>
        </w:numPr>
        <w:tabs>
          <w:tab w:val="left" w:pos="720"/>
          <w:tab w:val="left" w:pos="4680"/>
        </w:tabs>
        <w:jc w:val="both"/>
      </w:pPr>
      <w:r>
        <w:t>V § 2 odsek 1 znie:</w:t>
      </w:r>
    </w:p>
    <w:p w:rsidR="00BB63C1">
      <w:pPr>
        <w:tabs>
          <w:tab w:val="left" w:pos="1080"/>
        </w:tabs>
        <w:ind w:left="360"/>
        <w:jc w:val="both"/>
      </w:pPr>
    </w:p>
    <w:p w:rsidR="00BB63C1">
      <w:pPr>
        <w:ind w:left="360"/>
        <w:jc w:val="both"/>
      </w:pPr>
      <w:r>
        <w:t>„</w:t>
      </w:r>
      <w:r w:rsidR="00B60A06">
        <w:t xml:space="preserve"> </w:t>
      </w:r>
      <w:r>
        <w:t>(1) Zriaďuje sa Slovenská obchodná a priemyselná komora</w:t>
      </w:r>
      <w:r w:rsidR="00B60A06">
        <w:t xml:space="preserve"> ako verejnoprávna inštitúcia (</w:t>
      </w:r>
      <w:r>
        <w:t xml:space="preserve">ďalej len </w:t>
      </w:r>
      <w:r w:rsidR="00EC1F08">
        <w:t>„ komora</w:t>
      </w:r>
      <w:r w:rsidR="00B60A06">
        <w:t>“</w:t>
      </w:r>
      <w:r w:rsidR="00EC1F08">
        <w:t>). Komora je právnická</w:t>
      </w:r>
      <w:r>
        <w:t xml:space="preserve"> osoba so sídlom v Bratislave.“</w:t>
      </w:r>
    </w:p>
    <w:p w:rsidR="00BB63C1">
      <w:pPr>
        <w:ind w:left="360"/>
        <w:jc w:val="both"/>
      </w:pPr>
    </w:p>
    <w:p w:rsidR="00BB63C1">
      <w:pPr>
        <w:ind w:left="360"/>
        <w:jc w:val="both"/>
      </w:pPr>
      <w:r>
        <w:t>2.   V § 2 odsek</w:t>
      </w:r>
      <w:r w:rsidR="00B60A06">
        <w:t>y</w:t>
      </w:r>
      <w:r>
        <w:t xml:space="preserve"> 3</w:t>
      </w:r>
      <w:r w:rsidR="00B60A06">
        <w:t xml:space="preserve"> a 4</w:t>
      </w:r>
      <w:r>
        <w:t xml:space="preserve"> zne</w:t>
      </w:r>
      <w:r w:rsidR="00B60A06">
        <w:t>jú</w:t>
      </w:r>
      <w:r>
        <w:t>:</w:t>
      </w:r>
    </w:p>
    <w:p w:rsidR="00BB63C1">
      <w:pPr>
        <w:ind w:left="360"/>
        <w:jc w:val="both"/>
      </w:pPr>
    </w:p>
    <w:p w:rsidR="00BB63C1">
      <w:pPr>
        <w:ind w:left="360"/>
        <w:jc w:val="both"/>
      </w:pPr>
      <w:r>
        <w:t>“</w:t>
      </w:r>
      <w:r w:rsidR="00EC1F08">
        <w:t>(</w:t>
      </w:r>
      <w:r>
        <w:t>3</w:t>
      </w:r>
      <w:r w:rsidRPr="00EC1F08" w:rsidR="00EC1F08">
        <w:t>)</w:t>
      </w:r>
      <w:r>
        <w:rPr>
          <w:color w:val="FF0000"/>
        </w:rPr>
        <w:t xml:space="preserve"> </w:t>
      </w:r>
      <w:r>
        <w:t xml:space="preserve">Komora zriaďuje regionálne komory na území vyššieho územného celku Slovenskej republiky, ak o to požiadajú aspoň dve tretiny členov komory z príslušného vyššieho územného celku. Na činnosť regionálnych komôr sa vzťahujú ustanovenia tohto zákona, ak ďalej </w:t>
      </w:r>
      <w:r w:rsidR="000D2579">
        <w:t>nie je ustan</w:t>
      </w:r>
      <w:r w:rsidR="000D2579">
        <w:t>ovené</w:t>
      </w:r>
      <w:r>
        <w:t xml:space="preserve"> inak.”.</w:t>
      </w:r>
    </w:p>
    <w:p w:rsidR="00BB63C1">
      <w:pPr>
        <w:jc w:val="both"/>
      </w:pPr>
    </w:p>
    <w:p w:rsidR="00BB63C1">
      <w:pPr>
        <w:ind w:left="360"/>
        <w:jc w:val="both"/>
        <w:rPr>
          <w:rFonts w:ascii="Arial Black" w:hAnsi="Arial Black"/>
          <w:vertAlign w:val="superscript"/>
        </w:rPr>
      </w:pPr>
      <w:r>
        <w:t>(4) Komora hospodári s finančnými prostriedkami, s vlastným majetkom a s majetkom, ktorý nadobudla svojou činnosťou. Komora môže užívať aj majetok štátu podľa osobitného predpisu.</w:t>
      </w:r>
      <w:r>
        <w:rPr>
          <w:vertAlign w:val="superscript"/>
        </w:rPr>
        <w:t>1</w:t>
      </w:r>
      <w:r>
        <w:rPr>
          <w:rFonts w:ascii="Arial Black" w:hAnsi="Arial Black"/>
          <w:vertAlign w:val="superscript"/>
        </w:rPr>
        <w:t>)”.</w:t>
      </w:r>
    </w:p>
    <w:p w:rsidR="00BB63C1">
      <w:pPr>
        <w:ind w:left="360"/>
        <w:jc w:val="both"/>
        <w:rPr>
          <w:rFonts w:ascii="Arial Black" w:hAnsi="Arial Black"/>
          <w:vertAlign w:val="superscript"/>
        </w:rPr>
      </w:pPr>
    </w:p>
    <w:p w:rsidR="00BB63C1">
      <w:pPr>
        <w:ind w:left="360"/>
        <w:jc w:val="both"/>
      </w:pPr>
      <w:r>
        <w:t xml:space="preserve">  Poznámka pod čiarou k odkazu č. 1 znie:</w:t>
      </w:r>
    </w:p>
    <w:p w:rsidR="00BB63C1">
      <w:pPr>
        <w:ind w:left="360"/>
        <w:jc w:val="both"/>
      </w:pPr>
    </w:p>
    <w:p w:rsidR="00BB63C1">
      <w:pPr>
        <w:ind w:left="360"/>
        <w:jc w:val="both"/>
      </w:pPr>
      <w:r>
        <w:t>“ 1</w:t>
      </w:r>
      <w:r>
        <w:rPr>
          <w:rFonts w:ascii="Symbol" w:hAnsi="Symbol"/>
        </w:rPr>
        <w:sym w:font="Symbol" w:char="F029"/>
      </w:r>
      <w:r>
        <w:t xml:space="preserve"> Zákon Národnej rady Slovenskej republiky č. 278</w:t>
      </w:r>
      <w:r>
        <w:rPr>
          <w:i/>
        </w:rPr>
        <w:t>/</w:t>
      </w:r>
      <w:r>
        <w:t>1993</w:t>
      </w:r>
      <w:r>
        <w:rPr>
          <w:vertAlign w:val="subscript"/>
        </w:rPr>
        <w:t xml:space="preserve"> </w:t>
      </w:r>
      <w:r>
        <w:t xml:space="preserve"> Z.z.o správe majetku štátu v znení neskorších predpisov.”.</w:t>
      </w:r>
    </w:p>
    <w:p w:rsidR="00BB63C1">
      <w:pPr>
        <w:ind w:left="360"/>
        <w:jc w:val="both"/>
      </w:pPr>
    </w:p>
    <w:p w:rsidR="00BB63C1">
      <w:pPr>
        <w:ind w:left="360"/>
        <w:jc w:val="both"/>
      </w:pPr>
      <w:r>
        <w:t>Doterajší odkaz 1 sa označuje ako odkaz 1a.</w:t>
      </w:r>
    </w:p>
    <w:p w:rsidR="00BB63C1">
      <w:pPr>
        <w:jc w:val="both"/>
      </w:pPr>
    </w:p>
    <w:p w:rsidR="00BB63C1" w:rsidRPr="00A74D65">
      <w:pPr>
        <w:ind w:left="360"/>
        <w:jc w:val="both"/>
      </w:pPr>
      <w:r w:rsidRPr="00A74D65" w:rsidR="00A74D65">
        <w:t>3</w:t>
      </w:r>
      <w:r w:rsidRPr="00A74D65">
        <w:t>.   V § 3 odsek 1 znie:</w:t>
      </w:r>
    </w:p>
    <w:p w:rsidR="00BB63C1">
      <w:pPr>
        <w:ind w:left="360"/>
        <w:jc w:val="both"/>
      </w:pPr>
    </w:p>
    <w:p w:rsidR="00BB63C1">
      <w:pPr>
        <w:ind w:left="360"/>
        <w:jc w:val="both"/>
      </w:pPr>
      <w:r w:rsidR="00A74D65">
        <w:t>“</w:t>
      </w:r>
      <w:r>
        <w:rPr>
          <w:rFonts w:ascii="Symbol" w:hAnsi="Symbol"/>
        </w:rPr>
        <w:sym w:font="Symbol" w:char="F028"/>
      </w:r>
      <w:r>
        <w:t>1</w:t>
      </w:r>
      <w:r>
        <w:rPr>
          <w:rFonts w:ascii="Symbol" w:hAnsi="Symbol"/>
        </w:rPr>
        <w:sym w:font="Symbol" w:char="F029"/>
      </w:r>
      <w:r>
        <w:t xml:space="preserve"> Členmi komory s</w:t>
      </w:r>
      <w:r w:rsidR="00A74D65">
        <w:t>a</w:t>
      </w:r>
      <w:r>
        <w:t xml:space="preserve"> </w:t>
      </w:r>
      <w:r w:rsidR="00A74D65">
        <w:t xml:space="preserve">môžu stať </w:t>
      </w:r>
      <w:r>
        <w:t>právnické osoby a fyzické osoby zapísané v obchodnom registri, ktoré vykonávajú podnikateľskú činnosť vo všetkých hospodárskych odvetviach.”</w:t>
      </w:r>
    </w:p>
    <w:p w:rsidR="00BB63C1">
      <w:pPr>
        <w:ind w:left="360"/>
        <w:jc w:val="both"/>
      </w:pPr>
    </w:p>
    <w:p w:rsidR="00BB63C1">
      <w:pPr>
        <w:ind w:left="360"/>
        <w:jc w:val="both"/>
      </w:pPr>
      <w:r w:rsidR="00A74D65">
        <w:t>4</w:t>
      </w:r>
      <w:r>
        <w:t xml:space="preserve">. V  § 5  </w:t>
      </w:r>
      <w:r w:rsidR="00A74D65">
        <w:t xml:space="preserve">sa </w:t>
      </w:r>
      <w:r>
        <w:t xml:space="preserve">odsek  2 dopĺňa písmenami n) až r), ktoré znejú: </w:t>
      </w:r>
    </w:p>
    <w:p w:rsidR="00BB63C1">
      <w:pPr>
        <w:ind w:left="360"/>
        <w:jc w:val="both"/>
      </w:pPr>
    </w:p>
    <w:p w:rsidR="00BB63C1">
      <w:pPr>
        <w:ind w:left="360"/>
        <w:jc w:val="both"/>
      </w:pPr>
      <w:r>
        <w:t>„</w:t>
      </w:r>
      <w:r>
        <w:t>n) spolupracuje s Ministerstvom školstva Slovenskej republiky pri skvalitňovaní prípravy a odborného vzdelávania v stredných odborných školách a učilištiach,</w:t>
      </w:r>
    </w:p>
    <w:p w:rsidR="00BB63C1">
      <w:pPr>
        <w:ind w:left="360"/>
        <w:jc w:val="both"/>
      </w:pPr>
    </w:p>
    <w:p w:rsidR="00BB63C1">
      <w:pPr>
        <w:ind w:left="360"/>
        <w:jc w:val="both"/>
      </w:pPr>
      <w:r>
        <w:t xml:space="preserve">     o) </w:t>
      </w:r>
      <w:r w:rsidR="00A74D65">
        <w:t xml:space="preserve">podieľa sa na </w:t>
      </w:r>
      <w:r>
        <w:t>úprav</w:t>
      </w:r>
      <w:r w:rsidR="00A74D65">
        <w:t>ách</w:t>
      </w:r>
      <w:r>
        <w:t xml:space="preserve"> učebných plánov a učebných osnov jednotlivých </w:t>
      </w:r>
      <w:r w:rsidR="00EC1F08">
        <w:t>študijných</w:t>
      </w:r>
      <w:r w:rsidR="00A74D65">
        <w:t xml:space="preserve"> odborov</w:t>
      </w:r>
      <w:r>
        <w:t xml:space="preserve"> a učebných odborov,</w:t>
      </w:r>
    </w:p>
    <w:p w:rsidR="00BB63C1">
      <w:pPr>
        <w:ind w:left="360"/>
        <w:jc w:val="both"/>
      </w:pPr>
      <w:r>
        <w:t xml:space="preserve"> </w:t>
      </w:r>
    </w:p>
    <w:p w:rsidR="00BB63C1">
      <w:pPr>
        <w:ind w:left="360"/>
        <w:jc w:val="both"/>
      </w:pPr>
      <w:r>
        <w:t xml:space="preserve">      p) zúčastňuje sa v rámci štátneho odborného dozoru nad praktickým vyučovaním na kontrole podmienok a úrovne praktického vyučovania,</w:t>
      </w:r>
    </w:p>
    <w:p w:rsidR="00BB63C1">
      <w:pPr>
        <w:ind w:left="360"/>
        <w:jc w:val="both"/>
      </w:pPr>
    </w:p>
    <w:p w:rsidR="00BB63C1">
      <w:pPr>
        <w:ind w:left="360"/>
        <w:jc w:val="both"/>
      </w:pPr>
      <w:r>
        <w:t xml:space="preserve">      r) navrhuje členov komory do skúšobných komisií pri záverečných skúškach v stredných odborných školách a učilištiach.“.</w:t>
      </w:r>
    </w:p>
    <w:p w:rsidR="00BB63C1">
      <w:pPr>
        <w:jc w:val="both"/>
      </w:pPr>
    </w:p>
    <w:p w:rsidR="00BB63C1">
      <w:pPr>
        <w:ind w:left="360"/>
        <w:jc w:val="both"/>
      </w:pPr>
      <w:r w:rsidR="00A74D65">
        <w:t>5</w:t>
      </w:r>
      <w:r>
        <w:t xml:space="preserve">.   V § 13 odsek 3  sa slovo </w:t>
      </w:r>
      <w:r w:rsidR="00A74D65">
        <w:t>„</w:t>
      </w:r>
      <w:r>
        <w:t>podpredsedu</w:t>
      </w:r>
      <w:r w:rsidR="00A74D65">
        <w:t>“ nahrádza slovami „</w:t>
      </w:r>
      <w:r>
        <w:t>člena predstavenstva“</w:t>
      </w:r>
      <w:r w:rsidR="00E247BA">
        <w:t>.</w:t>
      </w:r>
    </w:p>
    <w:p w:rsidR="00BB63C1">
      <w:pPr>
        <w:ind w:left="360"/>
        <w:jc w:val="both"/>
      </w:pPr>
    </w:p>
    <w:p w:rsidR="00BB63C1">
      <w:pPr>
        <w:ind w:left="360"/>
      </w:pPr>
      <w:r w:rsidR="00E247BA">
        <w:t>6</w:t>
      </w:r>
      <w:r>
        <w:t>. § 16 znie:</w:t>
      </w:r>
    </w:p>
    <w:p w:rsidR="00BB63C1">
      <w:pPr>
        <w:ind w:left="360"/>
      </w:pPr>
    </w:p>
    <w:p w:rsidR="00BB63C1" w:rsidP="00E247BA">
      <w:pPr>
        <w:ind w:left="360"/>
        <w:jc w:val="both"/>
      </w:pPr>
      <w:r w:rsidR="00E247BA">
        <w:t>„</w:t>
      </w:r>
      <w:r>
        <w:t>(1) Komora má právo zriadiť rozhodcovský súd ako stály nezávislý orgán pre rozhodovanie sporov o majetkové nároky nezávislými rozhodcami podľa predpisov o rozhodcovskom konaní v tuzemskom obchodnom styku</w:t>
      </w:r>
      <w:r w:rsidR="00E247BA">
        <w:t xml:space="preserve"> a v medzinárodnom obchodnom styku.</w:t>
      </w:r>
    </w:p>
    <w:p w:rsidR="00BB63C1" w:rsidP="00E247BA">
      <w:pPr>
        <w:ind w:left="360"/>
        <w:jc w:val="both"/>
      </w:pPr>
      <w:r>
        <w:t>(2) Rozhodcovský súd rieši spory podľa noriem použiteľného hmotného práva a v jeho rámci sa spravuje zmluvou uzavretou medzi stranami s prihliadnutím na obchodné zvyklosti.</w:t>
      </w:r>
    </w:p>
    <w:p w:rsidR="00BB63C1" w:rsidP="00E247BA">
      <w:pPr>
        <w:ind w:left="360"/>
        <w:jc w:val="both"/>
      </w:pPr>
      <w:r>
        <w:t>(3) Organizačné usporiadanie, právomoc a príslušnosť rozhodcovského súdu a ďalšie náležitosti uprav</w:t>
      </w:r>
      <w:r w:rsidR="00E247BA">
        <w:t>ia</w:t>
      </w:r>
      <w:r>
        <w:t xml:space="preserve"> Pravidlá rozhodcovského súdu.</w:t>
      </w:r>
    </w:p>
    <w:p w:rsidR="00BB63C1" w:rsidP="00E247BA">
      <w:pPr>
        <w:ind w:left="360"/>
        <w:jc w:val="both"/>
      </w:pPr>
      <w:r>
        <w:t>(4) Pravidlá rozhodcovského súdu schvaľuje zhromaždenie delegátov s prihliadnutím na platnú právnu úpravu rozhodcovského konania v SR</w:t>
      </w:r>
      <w:r>
        <w:rPr>
          <w:vertAlign w:val="superscript"/>
        </w:rPr>
        <w:t>4)</w:t>
      </w:r>
      <w:r>
        <w:t>, na zásady Medzinárodnej obchodnej komory, zvyklosti a medzinárodnú prax.</w:t>
      </w:r>
      <w:r w:rsidR="003B56B6">
        <w:t>“.</w:t>
      </w:r>
    </w:p>
    <w:p w:rsidR="00BB63C1">
      <w:pPr>
        <w:ind w:left="360"/>
      </w:pPr>
    </w:p>
    <w:p w:rsidR="00BB63C1">
      <w:pPr>
        <w:ind w:left="360"/>
        <w:rPr>
          <w:vertAlign w:val="superscript"/>
        </w:rPr>
      </w:pPr>
      <w:r w:rsidR="00E247BA">
        <w:t>Poznámka pod čiarou k odkazu 4 znie</w:t>
      </w:r>
      <w:r>
        <w:t>:</w:t>
      </w:r>
      <w:r>
        <w:rPr>
          <w:vertAlign w:val="superscript"/>
        </w:rPr>
        <w:t xml:space="preserve"> </w:t>
      </w:r>
    </w:p>
    <w:p w:rsidR="00BB63C1">
      <w:pPr>
        <w:ind w:left="360"/>
        <w:jc w:val="both"/>
      </w:pPr>
      <w:r>
        <w:rPr>
          <w:vertAlign w:val="superscript"/>
        </w:rPr>
        <w:t xml:space="preserve">4) </w:t>
      </w:r>
      <w:r w:rsidR="00E247BA">
        <w:t>Z</w:t>
      </w:r>
      <w:r>
        <w:t>ákon č. 244/2002 Z. z. o rozhodcovskom konaní</w:t>
      </w:r>
      <w:r w:rsidR="00312533">
        <w:t xml:space="preserve"> v znení zákona č. 521/2005 Z.z.</w:t>
      </w:r>
      <w:r w:rsidR="00E247BA">
        <w:t>“</w:t>
      </w:r>
      <w:r>
        <w:tab/>
      </w:r>
    </w:p>
    <w:p w:rsidR="00BB63C1">
      <w:pPr>
        <w:ind w:left="360"/>
        <w:jc w:val="both"/>
      </w:pPr>
    </w:p>
    <w:p w:rsidR="00BB63C1">
      <w:pPr>
        <w:ind w:left="360"/>
        <w:jc w:val="both"/>
      </w:pPr>
      <w:r w:rsidR="00E247BA">
        <w:t>7</w:t>
      </w:r>
      <w:r>
        <w:t xml:space="preserve">.   </w:t>
      </w:r>
      <w:r w:rsidR="00E247BA">
        <w:t xml:space="preserve">Za </w:t>
      </w:r>
      <w:r>
        <w:t xml:space="preserve">§ 17 sa </w:t>
      </w:r>
      <w:r w:rsidR="00E247BA">
        <w:t>vkladá § 17a, ktorý znie:</w:t>
      </w:r>
    </w:p>
    <w:p w:rsidR="00BB63C1">
      <w:pPr>
        <w:ind w:left="360"/>
        <w:jc w:val="both"/>
      </w:pPr>
    </w:p>
    <w:p w:rsidR="00BB63C1">
      <w:pPr>
        <w:ind w:left="360"/>
        <w:jc w:val="center"/>
      </w:pPr>
      <w:r w:rsidR="00E247BA">
        <w:t>„</w:t>
      </w:r>
      <w:r>
        <w:t>§ 17a</w:t>
      </w:r>
    </w:p>
    <w:p w:rsidR="00BB63C1">
      <w:pPr>
        <w:ind w:left="360"/>
        <w:jc w:val="both"/>
        <w:rPr>
          <w:color w:val="FF0000"/>
        </w:rPr>
      </w:pPr>
    </w:p>
    <w:p w:rsidR="00BB63C1">
      <w:pPr>
        <w:ind w:left="360"/>
        <w:jc w:val="both"/>
      </w:pPr>
      <w:r>
        <w:t xml:space="preserve">Správca majetku štátu môže so súhlasom  Ministerstva financií Slovenskej republiky bezodplatne previesť na komoru správu nehnuteľného majetku Slovenskej republiky, ktorý komora nevyhnutne potrebuje na plnenie úloh podľa zákona.”. </w:t>
      </w:r>
    </w:p>
    <w:p w:rsidR="00BB63C1" w:rsidP="005B2462">
      <w:pPr>
        <w:tabs>
          <w:tab w:val="left" w:pos="6405"/>
        </w:tabs>
        <w:ind w:left="720"/>
        <w:jc w:val="both"/>
      </w:pPr>
      <w:r>
        <w:tab/>
      </w:r>
    </w:p>
    <w:p w:rsidR="00BB63C1">
      <w:pPr>
        <w:jc w:val="center"/>
        <w:rPr>
          <w:b/>
        </w:rPr>
      </w:pPr>
      <w:r>
        <w:rPr>
          <w:b/>
        </w:rPr>
        <w:t>Čl. II</w:t>
      </w:r>
    </w:p>
    <w:p w:rsidR="00BB63C1">
      <w:pPr>
        <w:jc w:val="center"/>
        <w:rPr>
          <w:b/>
        </w:rPr>
      </w:pPr>
    </w:p>
    <w:p w:rsidR="00BB63C1">
      <w:pPr>
        <w:ind w:firstLine="708"/>
        <w:jc w:val="both"/>
      </w:pPr>
      <w:r>
        <w:t xml:space="preserve">Tento zákon nadobúda účinnosť 1. </w:t>
      </w:r>
      <w:r w:rsidR="00E247BA">
        <w:t>februára</w:t>
      </w:r>
      <w:r>
        <w:t xml:space="preserve"> 2008.</w:t>
      </w:r>
    </w:p>
    <w:p w:rsidR="00BB63C1">
      <w:pPr>
        <w:jc w:val="both"/>
      </w:pPr>
    </w:p>
    <w:p w:rsidR="00BB63C1">
      <w:pPr>
        <w:jc w:val="both"/>
      </w:pPr>
    </w:p>
    <w:p w:rsidR="00BB63C1"/>
    <w:sectPr>
      <w:footnotePr>
        <w:pos w:val="beneathText"/>
      </w:footnotePr>
      <w:pgSz w:w="11905" w:h="16837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noPunctuationKerning/>
  <w:characterSpacingControl w:val="doNotCompress"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2579"/>
    <w:rsid w:val="00312533"/>
    <w:rsid w:val="003B56B6"/>
    <w:rsid w:val="005B2462"/>
    <w:rsid w:val="00A74D65"/>
    <w:rsid w:val="00B60A06"/>
    <w:rsid w:val="00BB63C1"/>
    <w:rsid w:val="00E247BA"/>
    <w:rsid w:val="00EC1F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color w:val="auto"/>
      <w:sz w:val="24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Standardnpsmoodstavce">
    <w:name w:val="WW-Standardní písmo odstavce"/>
  </w:style>
  <w:style w:type="character" w:customStyle="1" w:styleId="Znakyprepoznmkupodiarou">
    <w:name w:val="Znaky pre poznámku pod čiarou"/>
  </w:style>
  <w:style w:type="character" w:customStyle="1" w:styleId="WW-Znakyprepoznmkupodiarou">
    <w:name w:val="WW-Znaky pre poznámku pod čiarou"/>
  </w:style>
  <w:style w:type="character" w:customStyle="1" w:styleId="WW-Znakyprepoznmkupodiarou1">
    <w:name w:val="WW-Znaky pre poznámku pod čiarou1"/>
  </w:style>
  <w:style w:type="character" w:customStyle="1" w:styleId="WW-Znakyprepoznmkupodiarou11">
    <w:name w:val="WW-Znaky pre poznámku pod čiarou11"/>
  </w:style>
  <w:style w:type="character" w:customStyle="1" w:styleId="WW-Znakyprepoznmkupodiarou111">
    <w:name w:val="WW-Znaky pre poznámku pod čiarou111"/>
  </w:style>
  <w:style w:type="character" w:customStyle="1" w:styleId="WW-Znakyprepoznmkupodiarou1111">
    <w:name w:val="WW-Znaky pre poznámku pod čiarou1111"/>
    <w:basedOn w:val="WW-Standardnpsmoodstavce"/>
    <w:rPr>
      <w:vertAlign w:val="superscript"/>
    </w:rPr>
  </w:style>
  <w:style w:type="character" w:customStyle="1" w:styleId="Znakyprevysvetlivky">
    <w:name w:val="Znaky pre vysvetlivky"/>
  </w:style>
  <w:style w:type="character" w:customStyle="1" w:styleId="WW-Znakyprevysvetlivky">
    <w:name w:val="WW-Znaky pre vysvetlivky"/>
  </w:style>
  <w:style w:type="character" w:customStyle="1" w:styleId="WW-Znakyprevysvetlivky1">
    <w:name w:val="WW-Znaky pre vysvetlivky1"/>
  </w:style>
  <w:style w:type="character" w:customStyle="1" w:styleId="WW-Znakyprevysvetlivky11">
    <w:name w:val="WW-Znaky pre vysvetlivky11"/>
  </w:style>
  <w:style w:type="character" w:customStyle="1" w:styleId="WW-Znakyprevysvetlivky111">
    <w:name w:val="WW-Znaky pre vysvetlivky111"/>
  </w:style>
  <w:style w:type="character" w:customStyle="1" w:styleId="WW-Znakyprevysvetlivky1111">
    <w:name w:val="WW-Znaky pre vysvetlivky1111"/>
    <w:basedOn w:val="WW-Standardnpsmoodstavce"/>
    <w:rPr>
      <w:vertAlign w:val="superscript"/>
    </w:rPr>
  </w:style>
  <w:style w:type="paragraph" w:styleId="BodyText">
    <w:name w:val="Body Text"/>
    <w:basedOn w:val="Normal"/>
    <w:pPr>
      <w:spacing w:before="0" w:after="120"/>
      <w:jc w:val="left"/>
    </w:pPr>
  </w:style>
  <w:style w:type="paragraph" w:styleId="List">
    <w:name w:val="List"/>
    <w:basedOn w:val="BodyText"/>
    <w:pPr>
      <w:jc w:val="left"/>
    </w:pPr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Tahoma"/>
      <w:i/>
      <w:iCs/>
      <w:sz w:val="20"/>
    </w:rPr>
  </w:style>
  <w:style w:type="paragraph" w:customStyle="1" w:styleId="Obsah">
    <w:name w:val="Obsah"/>
    <w:basedOn w:val="Normal"/>
    <w:pPr>
      <w:suppressLineNumbers/>
      <w:jc w:val="left"/>
    </w:pPr>
    <w:rPr>
      <w:rFonts w:cs="Tahoma"/>
    </w:rPr>
  </w:style>
  <w:style w:type="paragraph" w:customStyle="1" w:styleId="WW-Popisok">
    <w:name w:val="WW-Popisok"/>
    <w:basedOn w:val="Normal"/>
    <w:pPr>
      <w:suppressLineNumbers/>
      <w:spacing w:before="120" w:after="120"/>
      <w:jc w:val="left"/>
    </w:pPr>
    <w:rPr>
      <w:rFonts w:cs="Tahoma"/>
      <w:i/>
      <w:iCs/>
      <w:sz w:val="20"/>
    </w:rPr>
  </w:style>
  <w:style w:type="paragraph" w:customStyle="1" w:styleId="WW-Obsah">
    <w:name w:val="WW-Obsah"/>
    <w:basedOn w:val="Normal"/>
    <w:pPr>
      <w:suppressLineNumbers/>
      <w:jc w:val="left"/>
    </w:pPr>
    <w:rPr>
      <w:rFonts w:cs="Tahoma"/>
    </w:rPr>
  </w:style>
  <w:style w:type="paragraph" w:customStyle="1" w:styleId="WW-Popisok1">
    <w:name w:val="WW-Popisok1"/>
    <w:basedOn w:val="Normal"/>
    <w:pPr>
      <w:suppressLineNumbers/>
      <w:spacing w:before="120" w:after="120"/>
      <w:jc w:val="left"/>
    </w:pPr>
    <w:rPr>
      <w:rFonts w:cs="Tahoma"/>
      <w:i/>
      <w:iCs/>
      <w:sz w:val="20"/>
    </w:rPr>
  </w:style>
  <w:style w:type="paragraph" w:customStyle="1" w:styleId="WW-Obsah1">
    <w:name w:val="WW-Obsah1"/>
    <w:basedOn w:val="Normal"/>
    <w:pPr>
      <w:suppressLineNumbers/>
      <w:jc w:val="left"/>
    </w:pPr>
    <w:rPr>
      <w:rFonts w:cs="Tahoma"/>
    </w:rPr>
  </w:style>
  <w:style w:type="paragraph" w:customStyle="1" w:styleId="WW-Popisok11">
    <w:name w:val="WW-Popisok11"/>
    <w:basedOn w:val="Normal"/>
    <w:pPr>
      <w:suppressLineNumbers/>
      <w:spacing w:before="120" w:after="120"/>
      <w:jc w:val="left"/>
    </w:pPr>
    <w:rPr>
      <w:rFonts w:cs="Tahoma"/>
      <w:i/>
      <w:iCs/>
      <w:sz w:val="20"/>
    </w:rPr>
  </w:style>
  <w:style w:type="paragraph" w:customStyle="1" w:styleId="WW-Obsah11">
    <w:name w:val="WW-Obsah11"/>
    <w:basedOn w:val="Normal"/>
    <w:pPr>
      <w:suppressLineNumbers/>
      <w:jc w:val="left"/>
    </w:pPr>
    <w:rPr>
      <w:rFonts w:cs="Tahoma"/>
    </w:rPr>
  </w:style>
  <w:style w:type="paragraph" w:customStyle="1" w:styleId="WW-Popisok111">
    <w:name w:val="WW-Popisok111"/>
    <w:basedOn w:val="Normal"/>
    <w:pPr>
      <w:suppressLineNumbers/>
      <w:spacing w:before="120" w:after="120"/>
      <w:jc w:val="left"/>
    </w:pPr>
    <w:rPr>
      <w:rFonts w:cs="Tahoma"/>
      <w:i/>
      <w:iCs/>
      <w:sz w:val="20"/>
    </w:rPr>
  </w:style>
  <w:style w:type="paragraph" w:customStyle="1" w:styleId="WW-Obsah111">
    <w:name w:val="WW-Obsah111"/>
    <w:basedOn w:val="Normal"/>
    <w:pPr>
      <w:suppressLineNumbers/>
      <w:jc w:val="left"/>
    </w:pPr>
    <w:rPr>
      <w:rFonts w:cs="Tahoma"/>
    </w:rPr>
  </w:style>
  <w:style w:type="paragraph" w:styleId="ListParagraph">
    <w:name w:val="List Paragraph"/>
    <w:basedOn w:val="Normal"/>
    <w:pPr>
      <w:ind w:left="708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1</Pages>
  <Words>532</Words>
  <Characters>3033</Characters>
  <Application>Microsoft Office Word</Application>
  <DocSecurity>0</DocSecurity>
  <Lines>0</Lines>
  <Paragraphs>0</Paragraphs>
  <ScaleCrop>false</ScaleCrop>
  <Company>SOPK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</dc:title>
  <dc:creator>Odbor IT</dc:creator>
  <cp:lastModifiedBy>Prokopčáková Gabriela</cp:lastModifiedBy>
  <cp:revision>5</cp:revision>
  <cp:lastPrinted>1601-01-01T00:06:31Z</cp:lastPrinted>
  <dcterms:created xsi:type="dcterms:W3CDTF">2008-04-23T07:48:00Z</dcterms:created>
  <dcterms:modified xsi:type="dcterms:W3CDTF">2008-05-26T11:28:00Z</dcterms:modified>
</cp:coreProperties>
</file>