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Subtitle"/>
        <w:rPr>
          <w:szCs w:val="24"/>
        </w:rPr>
      </w:pPr>
      <w:r>
        <w:rPr>
          <w:szCs w:val="24"/>
        </w:rPr>
        <w:t xml:space="preserve">Dôvodová správa </w:t>
      </w:r>
    </w:p>
    <w:p>
      <w:pPr>
        <w:pStyle w:val="Heading3"/>
        <w:outlineLvl w:val="2"/>
        <w:rPr>
          <w:b w:val="0"/>
          <w:i w:val="0"/>
          <w:szCs w:val="24"/>
        </w:rPr>
      </w:pPr>
    </w:p>
    <w:p>
      <w:pPr>
        <w:pStyle w:val="Heading3"/>
        <w:outlineLvl w:val="2"/>
        <w:rPr>
          <w:i w:val="0"/>
          <w:szCs w:val="24"/>
        </w:rPr>
      </w:pPr>
      <w:r>
        <w:rPr>
          <w:i w:val="0"/>
          <w:szCs w:val="24"/>
        </w:rPr>
        <w:t>Všeobecná časť:</w:t>
      </w:r>
    </w:p>
    <w:p>
      <w:pPr>
        <w:rPr>
          <w:b/>
          <w:szCs w:val="24"/>
        </w:rPr>
      </w:pPr>
    </w:p>
    <w:p>
      <w:pPr>
        <w:pStyle w:val="BodyText2"/>
        <w:jc w:val="both"/>
        <w:rPr>
          <w:b w:val="0"/>
          <w:szCs w:val="24"/>
        </w:rPr>
      </w:pPr>
      <w:r>
        <w:rPr>
          <w:b w:val="0"/>
          <w:szCs w:val="24"/>
        </w:rPr>
        <w:t xml:space="preserve">          Návrh zákona sa predkladá na základe uznesenia vlády č. 827/2007, ktorým bol schválený návrh legislatívneho zámeru zákona o sčítaní obyvateľov, domov a bytov v roku 2011.</w:t>
      </w:r>
    </w:p>
    <w:p>
      <w:pPr>
        <w:pStyle w:val="BodyText2"/>
        <w:ind w:firstLine="708"/>
        <w:jc w:val="both"/>
        <w:rPr>
          <w:b w:val="0"/>
          <w:szCs w:val="24"/>
        </w:rPr>
      </w:pPr>
      <w:r>
        <w:rPr>
          <w:b w:val="0"/>
          <w:szCs w:val="24"/>
        </w:rPr>
        <w:t xml:space="preserve">Sčítanie obyvateľov, domov a bytov patrí medzi najrozsiahlejšie štatistické zisťovania s dlhodobou tradíciou nielen v krajinách Európy, ale na celom svete. Je jedinečným zdrojom štatistických údajov nevyhnutných pre  politické, sociálne a ekonomické rozhodovanie štátu, a to aj v medzinárodnom meradle. </w:t>
      </w:r>
    </w:p>
    <w:p>
      <w:pPr>
        <w:pStyle w:val="BodyText2"/>
        <w:ind w:firstLine="708"/>
        <w:jc w:val="both"/>
        <w:rPr>
          <w:b w:val="0"/>
          <w:szCs w:val="24"/>
        </w:rPr>
      </w:pPr>
      <w:r>
        <w:rPr>
          <w:b w:val="0"/>
          <w:szCs w:val="24"/>
        </w:rPr>
        <w:t>Prvé sčítanie ľudu, domov a bytov sa na území bývalej československej republiky uskutočnilo v roku 1921 a jeho právnym základom bol zákon č. 256/1920 Zb.. Pre sčítanie v rokoch 1930 a 1950 bol základom zákon č. 47/1927 Zb. . Termín i obsah týchto sčítaní konkretizovala vždy vláda svojimi uzneseniami. Nasledujúce sčítania vychádzali zo zákonov o organizácii národohospodárskej evidencie. Ďalšie dve sčítania vychádzali zo zákona č. 21/1971 Zb. o jednotnej sústave sociálno-ekonomických informácií a jeho vykonávacích predpisov.  V roku 2001 sa sčítanie uskutočnilo na základe zákona č. 165/1998 Z. z. o sčítaní obyvateľov, domov a bytov v roku 2001. Nariadením vlády Slovenskej republiky č. 2/2001 Z. z. o dobe sčítania obyvateľov, domov a bytov v roku 2001 sa ustanovila doba vykonania sčítania v roku 2001. Opatrením Štatistického úradu  Slovenskej republiky č. 4/2000 Z. z. sa vyhlásili charakteristiky, základné znaky a štruktúra údajov zisťovaných pri sčítaní obyvateľov, domov a bytov v roku 2001</w:t>
      </w:r>
      <w:r>
        <w:rPr>
          <w:szCs w:val="24"/>
        </w:rPr>
        <w:t>.</w:t>
      </w:r>
      <w:r>
        <w:rPr>
          <w:b w:val="0"/>
          <w:szCs w:val="24"/>
        </w:rPr>
        <w:t xml:space="preserve"> </w:t>
      </w:r>
    </w:p>
    <w:p>
      <w:pPr>
        <w:pStyle w:val="BodyText2"/>
        <w:ind w:firstLine="708"/>
        <w:jc w:val="both"/>
        <w:rPr>
          <w:b w:val="0"/>
          <w:szCs w:val="24"/>
        </w:rPr>
      </w:pPr>
      <w:r>
        <w:rPr>
          <w:b w:val="0"/>
          <w:szCs w:val="24"/>
        </w:rPr>
        <w:t xml:space="preserve">Sčítanie poskytuje údaje a informácie o obyvateľoch (o ich demografickej, kultúrnej, vzdelanostnej, sociálnej a ekonomickej situácii), o rodinách a domácnostiach (o počte členov domácností, štruktúre rodín, počte detí v rodinách, počte ekonomicky aktívnych členov, ekonomickej úrovni rodín a domácností), o životných podmienkach obyvateľstva (o úrovni bývania, technickom vybavení bytového fondu) a o  rozdelení obyvateľstva a bytového fondu na území štátu. </w:t>
      </w:r>
    </w:p>
    <w:p>
      <w:pPr>
        <w:pStyle w:val="BodyText2"/>
        <w:ind w:firstLine="708"/>
        <w:jc w:val="both"/>
        <w:rPr>
          <w:b w:val="0"/>
          <w:szCs w:val="24"/>
        </w:rPr>
      </w:pPr>
      <w:r>
        <w:rPr>
          <w:b w:val="0"/>
          <w:szCs w:val="24"/>
        </w:rPr>
        <w:t xml:space="preserve">Získané údaje umožnia zvýšiť kvalitu informácií o migrácii obyvateľstva a príčinách tohto demografického procesu. Takéto informácie sú nevyhnutné  pre vyhodnocovanie vývoja spoločnosti v predchádzajúcom období, využívajú sa priamo v rozhodovacích procesoch pri riadení štátu a pri prognózovaní vývoja spoločnosti v ďalšom období. </w:t>
      </w:r>
    </w:p>
    <w:p>
      <w:pPr>
        <w:pStyle w:val="BodyText2"/>
        <w:ind w:firstLine="708"/>
        <w:jc w:val="both"/>
        <w:rPr>
          <w:b w:val="0"/>
          <w:szCs w:val="24"/>
        </w:rPr>
      </w:pPr>
      <w:r>
        <w:rPr>
          <w:b w:val="0"/>
          <w:szCs w:val="24"/>
        </w:rPr>
        <w:t xml:space="preserve">Sčítanie sa uskutočňuje spravidla v desaťročných intervaloch. </w:t>
      </w:r>
    </w:p>
    <w:p>
      <w:pPr>
        <w:pStyle w:val="BodyText2"/>
        <w:ind w:firstLine="708"/>
        <w:jc w:val="both"/>
        <w:rPr>
          <w:b w:val="0"/>
          <w:szCs w:val="24"/>
        </w:rPr>
      </w:pPr>
      <w:r>
        <w:rPr>
          <w:b w:val="0"/>
          <w:szCs w:val="24"/>
        </w:rPr>
        <w:t xml:space="preserve">Údaje získané zo sčítania majú využitie aj pri zefektívnení a realizácii štatistických výberových zisťovaní u obyvateľstva a v domácnostiach a pri spracovaní regionálnych analýz. </w:t>
      </w:r>
    </w:p>
    <w:p>
      <w:pPr>
        <w:ind w:firstLine="708"/>
        <w:jc w:val="both"/>
        <w:rPr>
          <w:szCs w:val="24"/>
        </w:rPr>
      </w:pPr>
      <w:r>
        <w:rPr>
          <w:szCs w:val="24"/>
        </w:rPr>
        <w:t>Význam sčítania sa zvyšuje v dnešných podmienkach, kedy sa využívajú kvalitné a porovnateľné štatistické informácie pri koordinácii činností členských štátov Európskej únie tak pri tvorbe sociálnych a ekonomických politík, ako aj pri prijímaní nevyhnutných opatrení na riešenie spoločných otázok a problémov.</w:t>
      </w:r>
    </w:p>
    <w:p>
      <w:pPr>
        <w:ind w:firstLine="708"/>
        <w:jc w:val="both"/>
        <w:rPr>
          <w:szCs w:val="24"/>
        </w:rPr>
      </w:pPr>
      <w:r>
        <w:rPr>
          <w:szCs w:val="24"/>
        </w:rPr>
        <w:t>Štatistický úrad Slovenskej republiky zabezpečuje jeho prípravu, priebeh a vykonanie v úzkej súčinnosti s príslušnými ústrednými orgánmi štátnej správy, obvodnými úradmi, obcami a vyššími územnými celkami.</w:t>
      </w:r>
    </w:p>
    <w:p>
      <w:pPr>
        <w:ind w:firstLine="708"/>
        <w:jc w:val="both"/>
        <w:rPr>
          <w:szCs w:val="24"/>
        </w:rPr>
      </w:pPr>
      <w:r>
        <w:rPr>
          <w:szCs w:val="24"/>
        </w:rPr>
        <w:t xml:space="preserve"> Základným predpokladom realizácie štatistického zisťovania takéhoto obsahu (množstvo zisťovaných údajov) a rozsahu (dotýka sa  všetkých obyvateľov) v podmienkach Slovenskej republiky je vytvorenie právneho rámca prijatím nového zákona o sčítaní, ako aj ďalších právnych predpisov, ktoré bližšie upravia podrobnosti pri samotnej realizácii tohto štatistického zisťovania. </w:t>
      </w:r>
    </w:p>
    <w:p>
      <w:pPr>
        <w:pStyle w:val="BodyTextIndent3"/>
        <w:rPr>
          <w:szCs w:val="24"/>
        </w:rPr>
      </w:pPr>
      <w:r>
        <w:rPr>
          <w:szCs w:val="24"/>
        </w:rPr>
        <w:t>Nevyhnutnosť prijatia nového zákona je založená na skutočnosti, že štatistické zisťovanie, v rámci ktorého sa vyžadujú od obyvateľstva špecifické štatistické údaje, sa môže realizovať iba na základe osobitného zákona.</w:t>
      </w:r>
    </w:p>
    <w:p>
      <w:pPr>
        <w:pStyle w:val="BodyText2"/>
        <w:ind w:firstLine="708"/>
        <w:jc w:val="both"/>
        <w:rPr>
          <w:b w:val="0"/>
          <w:szCs w:val="24"/>
        </w:rPr>
      </w:pPr>
      <w:r>
        <w:rPr>
          <w:b w:val="0"/>
          <w:szCs w:val="24"/>
        </w:rPr>
        <w:t>Návrh zákona sa predkladá na základe splnomocnenia daného § 15 zákona č. 540/2001 Z. z. o štátnej štatistike v znení neskorších predpisov.</w:t>
      </w:r>
    </w:p>
    <w:p>
      <w:pPr>
        <w:ind w:firstLine="708"/>
        <w:jc w:val="both"/>
        <w:rPr>
          <w:szCs w:val="24"/>
        </w:rPr>
      </w:pPr>
      <w:r>
        <w:rPr>
          <w:szCs w:val="24"/>
        </w:rPr>
        <w:t>Týmto zákonom sa zároveň zruší zákon č. 165/1998 Z. z. o sčítaní obyvateľov, domov a bytov v roku 2001, ktorý sa stal obsolentným.</w:t>
      </w:r>
    </w:p>
    <w:p>
      <w:pPr>
        <w:ind w:firstLine="708"/>
        <w:jc w:val="both"/>
        <w:rPr>
          <w:i/>
          <w:szCs w:val="24"/>
          <w:highlight w:val="lightGray"/>
          <w:u w:val="single"/>
        </w:rPr>
      </w:pPr>
      <w:r>
        <w:rPr>
          <w:szCs w:val="24"/>
        </w:rPr>
        <w:t>V návrhu zákona sa jasne formuluje úprava spolupráce pri sčítaní na úseku všeobecnej vnútornej správy obvodných úradov, príslušných ministerstiev a ostatných ústredných orgánov štátnej správy so Štatistickým úradom Slovenskej republiky. Taktiež spolupráca medzi Štatistickým úradom Slovenskej republiky, obcami a vyššími územnými celkami v rámci týmto zákonom preneseného výkonu štátnej správy pri príprave, priebehu a vykonaní sčítania.</w:t>
      </w:r>
    </w:p>
    <w:p>
      <w:pPr>
        <w:pStyle w:val="BodyText2"/>
        <w:jc w:val="both"/>
        <w:rPr>
          <w:b w:val="0"/>
          <w:szCs w:val="24"/>
        </w:rPr>
      </w:pPr>
      <w:r>
        <w:rPr>
          <w:b w:val="0"/>
          <w:szCs w:val="24"/>
        </w:rPr>
        <w:t xml:space="preserve">          Čas vlastného sčítania bude v rozsahu troch týždňov a ustanoví ho vláda svojim nariadením, tak aby bol známy najneskôr 120 dní pred jeho vykonaním.</w:t>
      </w:r>
    </w:p>
    <w:p>
      <w:pPr>
        <w:ind w:firstLine="708"/>
        <w:jc w:val="both"/>
        <w:rPr>
          <w:szCs w:val="24"/>
        </w:rPr>
      </w:pPr>
      <w:r>
        <w:rPr>
          <w:szCs w:val="24"/>
        </w:rPr>
        <w:t>Na základe tohto zákona Štatistický úrad Slovenskej republiky uzatvorí osobitné medzirezortné dohody na zabezpečenie úloh súvisiacich s prípravou a realizáciou sčítania s Ministerstvom vnútra Slovenskej republiky, Ministerstvom obrany Slovenskej republiky, Ministerstvom spravodlivosti Slovenskej republiky, Ministerstvom zahraničných vecí Slovenskej republiky, Ministerstvom životného prostredia Slovenskej republiky a Úradom geodézie, kartografie a katastra Slovenskej republiky.</w:t>
      </w:r>
    </w:p>
    <w:p>
      <w:pPr>
        <w:pStyle w:val="BodyText2"/>
        <w:ind w:firstLine="708"/>
        <w:jc w:val="both"/>
        <w:rPr>
          <w:b w:val="0"/>
          <w:szCs w:val="24"/>
        </w:rPr>
      </w:pPr>
      <w:r>
        <w:rPr>
          <w:b w:val="0"/>
          <w:szCs w:val="24"/>
        </w:rPr>
        <w:t xml:space="preserve">Navrhovaná právna úprava vzhľadom na zmenu spoločenských a medzinárodných podmienok bude jasne a zrozumiteľne upravovať spôsob zabezpečenia prípravy, priebehu a využitia údajov získaných zo sčítania v roku 2011. </w:t>
      </w:r>
    </w:p>
    <w:p>
      <w:pPr>
        <w:pStyle w:val="BodyText2"/>
        <w:ind w:firstLine="708"/>
        <w:jc w:val="both"/>
        <w:rPr>
          <w:b w:val="0"/>
          <w:i/>
          <w:szCs w:val="24"/>
          <w:u w:val="single"/>
        </w:rPr>
      </w:pPr>
      <w:r>
        <w:rPr>
          <w:b w:val="0"/>
          <w:szCs w:val="24"/>
        </w:rPr>
        <w:t>Realizácia vnútroštátneho štatistického zisťovania bude zároveň zohľadňovať všetky požiadavky kladené na členské štáty Európskej únie v pripravovanom nariadení Európskeho parlamentu a Rady o sčítaní obyvateľov, domov a bytov.</w:t>
      </w:r>
    </w:p>
    <w:p>
      <w:pPr>
        <w:ind w:firstLine="708"/>
        <w:jc w:val="both"/>
        <w:rPr>
          <w:szCs w:val="24"/>
        </w:rPr>
      </w:pPr>
      <w:r>
        <w:rPr>
          <w:szCs w:val="24"/>
        </w:rPr>
        <w:t>Návrh zákona ustanovuje, že sčítanie je osobitný druh štatistického zisťovania, jeho prípravu, priebeh a vykonanie, súčinnosť príslušných ústredných orgánov štátnej správy, obvodných úradov, obcí a vyšších územných celkov a spôsob úhrady nákladov súvisiacich so sčítaním.</w:t>
      </w:r>
    </w:p>
    <w:p>
      <w:pPr>
        <w:pStyle w:val="BodyText2"/>
        <w:ind w:firstLine="708"/>
        <w:jc w:val="both"/>
        <w:rPr>
          <w:b w:val="0"/>
          <w:szCs w:val="24"/>
        </w:rPr>
      </w:pPr>
      <w:r>
        <w:rPr>
          <w:b w:val="0"/>
          <w:szCs w:val="24"/>
        </w:rPr>
        <w:t>Rozsah úloh, ktoré je nevyhnutné zabezpečiť pred samotným sčítaním si vyžaduje, aby zákon o sčítaní bol prijatý už v roku 2008 a jeho účinnosť bola od 1.októbra 2008, tak ako sa v návrhu navrhuje.</w:t>
      </w:r>
    </w:p>
    <w:p>
      <w:pPr>
        <w:pStyle w:val="BodyText2"/>
        <w:ind w:firstLine="708"/>
        <w:jc w:val="both"/>
        <w:rPr>
          <w:b w:val="0"/>
          <w:szCs w:val="24"/>
        </w:rPr>
      </w:pPr>
      <w:r>
        <w:rPr>
          <w:b w:val="0"/>
          <w:szCs w:val="24"/>
        </w:rPr>
        <w:t>V pláne legislatívnych úloh vlády Slovenskej republiky na rok 2008 má návrh zákona o sčítaní ustanovený termín predloženia na rokovanie vlády do 31. marca 2008.</w:t>
      </w:r>
    </w:p>
    <w:p>
      <w:pPr>
        <w:ind w:firstLine="708"/>
        <w:jc w:val="both"/>
        <w:rPr>
          <w:szCs w:val="24"/>
        </w:rPr>
      </w:pPr>
      <w:r>
        <w:rPr>
          <w:szCs w:val="24"/>
        </w:rPr>
        <w:t xml:space="preserve">Požiadavka na realizáciu takéhoto rozsiahleho štatistického zisťovania je daná aj predmetným návrhom nariadenia Európskeho parlamentu a Rady, ktoré bolo prerokované v Európskom parlamente vo februári 2008 v prvom čítaní. </w:t>
      </w:r>
    </w:p>
    <w:p>
      <w:pPr>
        <w:ind w:firstLine="708"/>
        <w:jc w:val="both"/>
        <w:rPr>
          <w:szCs w:val="24"/>
        </w:rPr>
      </w:pPr>
      <w:r>
        <w:rPr>
          <w:szCs w:val="24"/>
        </w:rPr>
        <w:t>Všeobecný právny rámec tohto návrhu nariadenia Európskeho parlamentu a Rady ustanovuje nariadenie Rady č. 322/97 zo 17. februára 1997 o štatistike Spoločenstva.</w:t>
      </w:r>
    </w:p>
    <w:p>
      <w:pPr>
        <w:pStyle w:val="BodyText2"/>
        <w:ind w:firstLine="708"/>
        <w:jc w:val="both"/>
        <w:rPr>
          <w:b w:val="0"/>
          <w:szCs w:val="24"/>
        </w:rPr>
      </w:pPr>
      <w:r>
        <w:rPr>
          <w:b w:val="0"/>
          <w:szCs w:val="24"/>
        </w:rPr>
        <w:t xml:space="preserve">Vypracovanie návrhu nariadenia Európskeho parlamentu a Rady bolo zdôvodnené tým, že medzinárodné, európske a vnútroštátne inštitúcie potrebujú mať dostatočne  spoľahlivé informácie o obyvateľoch, domoch a bytoch v Európskej únii.           </w:t>
      </w:r>
    </w:p>
    <w:p>
      <w:pPr>
        <w:pStyle w:val="BodyText2"/>
        <w:ind w:firstLine="708"/>
        <w:jc w:val="both"/>
        <w:rPr>
          <w:b w:val="0"/>
          <w:szCs w:val="24"/>
        </w:rPr>
      </w:pPr>
      <w:r>
        <w:rPr>
          <w:b w:val="0"/>
          <w:szCs w:val="24"/>
        </w:rPr>
        <w:t>Takmer v každej oblasti, v ktorej pôsobí Európska únia, či už ide o hospodársku, sociálnu alebo environmentálnu oblasť, sú potrebné kvalitné údaje o obyvateľstve, ktoré pomáhajú formulovať operačné ciele a hodnotiť dosiahnutý pokrok. Údaje získané zo sčítania umožňujú vykonať reálne presvedčivé porovnania medzi členskými štátmi Európskej únie.</w:t>
      </w:r>
    </w:p>
    <w:p>
      <w:pPr>
        <w:pStyle w:val="BodyText"/>
        <w:rPr>
          <w:b w:val="0"/>
          <w:szCs w:val="24"/>
        </w:rPr>
      </w:pPr>
      <w:r>
        <w:rPr>
          <w:b w:val="0"/>
          <w:szCs w:val="24"/>
        </w:rPr>
        <w:tab/>
        <w:t>Sčítanie v štátoch Európskej únie pred vstupom Slovenskej republiky bolo vykonané okolo roku 2001. Nebolo založené na žiadnych európskych právnych predpisoch, ale na „džentlmenskej dohode“. Toto riešenie však ukázalo, že takáto forma nezabezpečila kvalitu údajov, ktorá je potrebná na účely, na ktoré majú údaje v budúcnosti slúžiť. Značné odchýlky v referenčných obdobiach obmedzili porovnateľnosť údajov, nebola zabezpečená včasnosť poskytnutia spracovaných údajov, údaje neboli v plnom rozsahu metodicky medzinárodne porovnateľné.</w:t>
      </w:r>
    </w:p>
    <w:p>
      <w:pPr>
        <w:jc w:val="both"/>
        <w:rPr>
          <w:szCs w:val="24"/>
        </w:rPr>
      </w:pPr>
      <w:r>
        <w:rPr>
          <w:szCs w:val="24"/>
        </w:rPr>
        <w:tab/>
        <w:t xml:space="preserve">Návrh nariadenia Európskeho parlamentu a Rady objasňuje povinnosti a úlohy týkajúce sa poskytovania komplexných údajov o obyvateľoch, domoch a bytoch v desaťročných intervaloch, ako aj spoločné požiadavky týkajúce sa kvality a transparentnosti výsledkov a metód ich získavania. </w:t>
      </w:r>
    </w:p>
    <w:p>
      <w:pPr>
        <w:jc w:val="both"/>
        <w:rPr>
          <w:szCs w:val="24"/>
        </w:rPr>
      </w:pPr>
      <w:r>
        <w:rPr>
          <w:szCs w:val="24"/>
        </w:rPr>
        <w:t xml:space="preserve">          Ponecháva členským štátom voľnosť vybrať si taký spôsob tvorby potrebných údajov, ktorý považujú za najlepší vo svojej krajine, je ponechané na rozhodnutí každej krajiny, aby si vybrala zdroj údajov, z ktorého chcú údaje získať.</w:t>
      </w:r>
    </w:p>
    <w:p>
      <w:pPr>
        <w:jc w:val="both"/>
        <w:rPr>
          <w:szCs w:val="24"/>
        </w:rPr>
      </w:pPr>
      <w:r>
        <w:rPr>
          <w:szCs w:val="24"/>
        </w:rPr>
        <w:t xml:space="preserve">          Návrh nariadenia Európskeho parlamentu a Rady súčasne zaručuje kvalitu údajov, najmä porovnateľnosť v celom Európskom hospodárskom priestore.</w:t>
      </w:r>
    </w:p>
    <w:p>
      <w:pPr>
        <w:pStyle w:val="BodyText2"/>
        <w:jc w:val="both"/>
        <w:rPr>
          <w:b w:val="0"/>
          <w:szCs w:val="24"/>
        </w:rPr>
      </w:pPr>
      <w:r>
        <w:rPr>
          <w:b w:val="0"/>
          <w:szCs w:val="24"/>
        </w:rPr>
        <w:tab/>
        <w:t>Pripravované nariadenie Európskeho parlamentu a Rady zaväzuje všetky členské štáty uskutočniť sčítanie v referenčnom roku 2011, zabezpečiť kvalitu poskytnutých údajov a metaúdajov tak, aby údaje v plnej miere spĺňali základné charakteristiky sčítania, najmä individuálne sčítanie, simultánnosť, univerzálnosť v rámci vymedzeného územia, dostupnosť údajov v podrobnej územnej štruktúre, poskytnúť informácie o zdrojoch údajov použitých na splnenie záväzkov a informácie o tom, či použité zdroje údajov a metodika spĺňajú základné charakteristiky sčítania, zabezpečiť zber, spracovanie a poskytnutie údajov v požadovanom obsahu a rozsahu, zabezpečiť zber údajov v dohodnutom referenčnom roku a poskytnúť Eurostatu, štatistickému orgánu Európskej únie, požadované údaje do 27 mesiacov od skončenia referenčného obdobia.</w:t>
      </w:r>
    </w:p>
    <w:p>
      <w:pPr>
        <w:ind w:firstLine="708"/>
        <w:jc w:val="both"/>
        <w:rPr>
          <w:szCs w:val="24"/>
        </w:rPr>
      </w:pPr>
      <w:r>
        <w:rPr>
          <w:szCs w:val="24"/>
        </w:rPr>
        <w:t xml:space="preserve">Odporúčania Konferencie európskych štatistikov pre sčítania obyvateľov, domov a bytov vypracoval Eurostat s EHK OSN. Účelom týchto odporúčaní je poskytnúť poradenstvo a pomoc krajinám, ktoré sú členmi Konferencie európskych štatistikov pri plánovaní a vykonaní sčítania obyvateľov, domov a bytov; umožniť a zlepšiť porovnateľnosť údajov na regionálnej úrovni pomocou výberu základných ukazovateľov a harmonizovať použité definície a klasifikácie. </w:t>
      </w:r>
    </w:p>
    <w:p>
      <w:pPr>
        <w:ind w:firstLine="708"/>
        <w:jc w:val="both"/>
        <w:rPr>
          <w:szCs w:val="24"/>
        </w:rPr>
      </w:pPr>
      <w:r>
        <w:rPr>
          <w:szCs w:val="24"/>
        </w:rPr>
        <w:t>Tieto odporúčania budú rovnako využité ako základná koncepcia pre program sčítania v roku 2011 vo všetkých štátoch Európskej únie.</w:t>
      </w:r>
    </w:p>
    <w:p>
      <w:pPr>
        <w:jc w:val="both"/>
        <w:rPr>
          <w:szCs w:val="24"/>
        </w:rPr>
      </w:pPr>
      <w:r>
        <w:rPr>
          <w:szCs w:val="24"/>
        </w:rPr>
        <w:t xml:space="preserve">          Nakoľko nariadenie Európskeho parlamentu a Rady bude priamo vykonateľné na území Slovenskej republiky, návrhom zákona je už teraz potrebné upraviť tie otázky, ktoré toto nariadenie nerieši a na ktorých úpravu priamo splnomocňuje.</w:t>
      </w:r>
      <w:r>
        <w:rPr>
          <w:rFonts w:ascii="Arial Narrow" w:hAnsi="Arial Narrow" w:cs="Arial Narrow"/>
          <w:sz w:val="20"/>
          <w:szCs w:val="24"/>
        </w:rPr>
        <w:t xml:space="preserve"> </w:t>
      </w:r>
      <w:r>
        <w:rPr>
          <w:szCs w:val="24"/>
        </w:rPr>
        <w:t xml:space="preserve">Vzhľadom na neexistenciu našej právnej úpravy pri niektorých používaných pojmoch pri zisťovaní údajov uvádzaných v nariadení, je nutné už teraz prijať príslušné legislatívne opatrenia pre zabezpečenie ich </w:t>
      </w:r>
      <w:r>
        <w:rPr>
          <w:szCs w:val="24"/>
          <w:lang w:val="cs-CZ"/>
        </w:rPr>
        <w:t>aplikácie na vnútroštátnej úrovni.</w:t>
      </w:r>
    </w:p>
    <w:p>
      <w:pPr>
        <w:jc w:val="both"/>
        <w:rPr>
          <w:rFonts w:ascii="Times New Roman" w:hAnsi="Times New Roman" w:cs="Times New Roman"/>
          <w:szCs w:val="24"/>
        </w:rPr>
      </w:pPr>
      <w:r>
        <w:rPr>
          <w:szCs w:val="24"/>
        </w:rPr>
        <w:t xml:space="preserve">           Návrh zákona je v súlade s Ústavou Slovenskej republiky, ústavnými zákonmi a zákonmi Slovenskej republiky, ako aj medzinárodnými zmluvami a inými dokumentmi, ktorými je Slovenská republika viazaná.</w:t>
      </w:r>
    </w:p>
    <w:p>
      <w:pPr>
        <w:pStyle w:val="BodyText2"/>
        <w:jc w:val="both"/>
        <w:rPr>
          <w:rFonts w:ascii="Times New Roman" w:hAnsi="Times New Roman" w:cs="Times New Roman"/>
          <w:b w:val="0"/>
          <w:szCs w:val="24"/>
        </w:rPr>
      </w:pPr>
      <w:r>
        <w:rPr>
          <w:b w:val="0"/>
          <w:szCs w:val="24"/>
        </w:rPr>
        <w:tab/>
        <w:t>Vzhľadom na obsah doložky zlučiteľnosti nie je potrebné vypracovať tabuľku zhody.</w:t>
      </w:r>
    </w:p>
    <w:p>
      <w:pPr>
        <w:pStyle w:val="BodyTextIndent3"/>
        <w:rPr>
          <w:szCs w:val="24"/>
        </w:rPr>
      </w:pPr>
      <w:r>
        <w:rPr>
          <w:szCs w:val="24"/>
        </w:rPr>
        <w:t>Prijatie návrhu zákona o sčítaní obyvateľov, domov a bytov v roku 2011 bude mať dopad na štátny rozpočet a zamestnanosť vo výške a v počte, tak ako bolo schválené uznesením vlády č. 827/2007 k návrhu legislatívneho zámeru zákona o sčítaní v Doložke finančných, ekonomických, environmentálnych vplyvov, vplyvov na zamestnanosť a podnikateľské prostredie, ku ktorej vydalo kladné stanovisko Ministerstvo financií Slovenskej republiky listom č. 600-0125/2007 z 15. 8. 2007. Rovnako Ministerstvo financií Slovenskej republiky vydalo dňa 27. 2. 2008 súhlasné stanovisko č. MF/10815/2008-81 k finančným dôsledkom návrhu zákona na štátny rozpočet, rozpočty obcí a rozpočty vyšších územných celkov. Vyčíslenie finančných prostriedkov na zabezpečenie prípravy sčítania pre vyššie územné celky bolo do doložky finančných, ekonomických, environmentálnych vplyvov, vplyvov na zamestnanosť a podnikateľské prostredie podľa požiadavky Ministerstva financií Slovenskej republiky doplnené, a to tým spôsobom, že tieto činnosti budú financované zo zdrojov Štatistického úradu Slovenskej republiky, čo legislatívny a rozpočtový odbor Ministerstva financií Slovenskej republiky aj následne potvrdil.</w:t>
      </w:r>
    </w:p>
    <w:p>
      <w:pPr>
        <w:pStyle w:val="BodyText2"/>
        <w:tabs>
          <w:tab w:val="left" w:pos="851"/>
        </w:tabs>
        <w:jc w:val="both"/>
        <w:rPr>
          <w:rFonts w:ascii="Times New Roman" w:hAnsi="Times New Roman" w:cs="Times New Roman"/>
          <w:b w:val="0"/>
          <w:szCs w:val="24"/>
        </w:rPr>
      </w:pPr>
      <w:r>
        <w:rPr>
          <w:b w:val="0"/>
          <w:szCs w:val="24"/>
        </w:rPr>
        <w:t xml:space="preserve">          Aplikácia zákona nebude mať finančný dopad na vlastné rozpočty obvodných úradov, obcí a vyšších územných celkov, nakoľko ich výdavky súvisiace so sčítaním budú kryte z pridelených rozpočtových prostriedkov na každý jednotlivý rok počas priebehu vykonávania sčítania.</w:t>
      </w:r>
    </w:p>
    <w:p>
      <w:pPr>
        <w:jc w:val="center"/>
        <w:rPr>
          <w:szCs w:val="24"/>
        </w:rPr>
      </w:pPr>
    </w:p>
    <w:p>
      <w:pPr>
        <w:pStyle w:val="BodyText3"/>
        <w:jc w:val="both"/>
        <w:rPr>
          <w:color w:val="auto"/>
          <w:szCs w:val="24"/>
        </w:rPr>
      </w:pPr>
      <w:r>
        <w:rPr>
          <w:color w:val="auto"/>
          <w:szCs w:val="24"/>
        </w:rPr>
        <w:t xml:space="preserve">Osobitná časť: </w:t>
      </w:r>
    </w:p>
    <w:p>
      <w:pPr>
        <w:pStyle w:val="BodyText3"/>
        <w:jc w:val="both"/>
        <w:rPr>
          <w:b w:val="0"/>
          <w:color w:val="auto"/>
          <w:szCs w:val="24"/>
        </w:rPr>
      </w:pPr>
    </w:p>
    <w:p>
      <w:pPr>
        <w:pStyle w:val="Heading1"/>
        <w:outlineLvl w:val="0"/>
        <w:rPr>
          <w:szCs w:val="24"/>
          <w:u w:val="single"/>
        </w:rPr>
      </w:pPr>
      <w:r>
        <w:rPr>
          <w:szCs w:val="24"/>
        </w:rPr>
        <w:t xml:space="preserve">K § 1  </w:t>
      </w:r>
    </w:p>
    <w:p>
      <w:pPr>
        <w:pStyle w:val="Heading1"/>
        <w:outlineLvl w:val="0"/>
        <w:rPr>
          <w:b w:val="0"/>
          <w:szCs w:val="24"/>
        </w:rPr>
      </w:pPr>
      <w:r>
        <w:rPr>
          <w:b w:val="0"/>
          <w:szCs w:val="24"/>
        </w:rPr>
        <w:t xml:space="preserve">V ustanovení je definovaný predmet úpravy zákona, ako osobitný druh štatistického zisťovania. Návrh vytvára podmienky na organizačné a technické zabezpečenie sčítania a na ochranu a spôsob použitia zistených údajov, pôsobnosť ústredných orgánov štátnej správy, obvodných úradov, obcí a vyšších územných celkov a povinnosti iných osôb súvisiacich so sčítaním a využitie získaných údajov, iba v súlade s osobitnými zákonmi. </w:t>
      </w:r>
    </w:p>
    <w:p>
      <w:pPr>
        <w:pStyle w:val="Heading1"/>
        <w:outlineLvl w:val="0"/>
        <w:rPr>
          <w:b w:val="0"/>
          <w:szCs w:val="24"/>
        </w:rPr>
      </w:pPr>
      <w:r>
        <w:rPr>
          <w:b w:val="0"/>
          <w:szCs w:val="24"/>
        </w:rPr>
        <w:t>Sú v ňom zohľadnené požiadavky Európskej únie na zosúladenie metodického vymedzenia zisťovaných údajov, termínu uskutočnenia a obsahu sčítania. Jeho realizáciou sa vytvorí komplexná údajová základňa, potrebná na analýzu životnej úrovne obyvateľstva a úrovne jeho bývania, ako aj prognózovanie ďalšieho rozvoja, ktorá bude použitá aj na medzinárodné porovnávanie.</w:t>
      </w:r>
    </w:p>
    <w:p>
      <w:pPr>
        <w:ind w:left="360"/>
        <w:jc w:val="both"/>
        <w:rPr>
          <w:szCs w:val="24"/>
        </w:rPr>
      </w:pPr>
    </w:p>
    <w:p>
      <w:pPr>
        <w:pStyle w:val="odrkaa"/>
        <w:spacing w:line="240" w:lineRule="auto"/>
        <w:rPr>
          <w:rFonts w:ascii="Arial" w:hAnsi="Arial" w:cs="Arial"/>
          <w:b/>
          <w:szCs w:val="24"/>
        </w:rPr>
      </w:pPr>
      <w:r>
        <w:rPr>
          <w:rFonts w:ascii="Arial" w:hAnsi="Arial" w:cs="Arial"/>
          <w:b/>
          <w:szCs w:val="24"/>
          <w:lang w:val="sk-SK"/>
        </w:rPr>
        <w:t>K § 2</w:t>
      </w:r>
    </w:p>
    <w:p>
      <w:pPr>
        <w:jc w:val="both"/>
        <w:rPr>
          <w:i/>
          <w:szCs w:val="24"/>
        </w:rPr>
      </w:pPr>
      <w:r>
        <w:rPr>
          <w:szCs w:val="24"/>
        </w:rPr>
        <w:t xml:space="preserve">Ustanovenie vymedzuje obsah sčítania a údaje, ktoré budú pri sčítaní zisťované tak, aby bolo možné súčasne zisťovať údaje o obyvateľoch, údaje o domovom a bytovom fonde, ako podmienok bývania. Za osoby s obvyklým bydliskom sa považujú len štátni občania alebo cudzinci, ktorí </w:t>
      </w:r>
      <w:r>
        <w:rPr>
          <w:rStyle w:val="italic1"/>
          <w:i w:val="0"/>
          <w:szCs w:val="24"/>
        </w:rPr>
        <w:t xml:space="preserve">žijú v mieste svojho trvalého pobytu nepretržite najmenej dvanásť mesiacov pred referenčným dátumom; a prišli na miesto svojho trvalého pobytu počas 12 mesiacov pred referenčným dátumom sčítania, s cieľom pobytu v trvaní najmenej jedného roka. </w:t>
      </w:r>
    </w:p>
    <w:p>
      <w:pPr>
        <w:pStyle w:val="odrkaa"/>
        <w:spacing w:line="240" w:lineRule="auto"/>
        <w:rPr>
          <w:rFonts w:ascii="Arial" w:hAnsi="Arial" w:cs="Arial"/>
          <w:szCs w:val="24"/>
          <w:lang w:val="sk-SK"/>
        </w:rPr>
      </w:pPr>
      <w:r>
        <w:rPr>
          <w:rFonts w:ascii="Arial" w:hAnsi="Arial" w:cs="Arial"/>
          <w:szCs w:val="24"/>
          <w:lang w:val="sk-SK"/>
        </w:rPr>
        <w:t xml:space="preserve">Obsah zisťovaných údajov uvedených v zozname, ktorý tvorí prílohu zákona, je porovnateľný s odporúčaným obsahom sčítania Konferenciou európskych štatistikov, orgánmi Európskej únie a OSN. Je doplnený o ďalšie údaje, ktoré sú potrebné a budú využiteľné používateľmi v Slovenskej republike, ktorých zisťovanie nie je možné alebo efektívne zabezpečiť iným spôsobom. Zohľadňuje aj zásadu porovnateľnosti s údajmi z minulých sčítaní. </w:t>
      </w:r>
    </w:p>
    <w:p>
      <w:pPr>
        <w:pStyle w:val="BodyText2"/>
        <w:jc w:val="both"/>
        <w:rPr>
          <w:b w:val="0"/>
          <w:szCs w:val="24"/>
        </w:rPr>
      </w:pPr>
      <w:r>
        <w:rPr>
          <w:b w:val="0"/>
          <w:szCs w:val="24"/>
        </w:rPr>
        <w:t>V ustanovení sú definovaní obyvatelia, domy a byty, na ktoré sa sčítanie vzťahuje. Tým sú vytvorené predpoklady na zistenie údajov o trvalo bývajúcom obyvateľstve, obvykle bývajúcom obyvateľstve a údaje o prítomnom obyvateľstve Slovenskej republiky, ako aj  údaje o úrovni bývania obyvateľstva.</w:t>
      </w:r>
    </w:p>
    <w:p>
      <w:pPr>
        <w:pStyle w:val="Heading1"/>
        <w:outlineLvl w:val="0"/>
        <w:rPr>
          <w:b w:val="0"/>
          <w:szCs w:val="24"/>
        </w:rPr>
      </w:pPr>
    </w:p>
    <w:p>
      <w:pPr>
        <w:pStyle w:val="Heading1"/>
        <w:outlineLvl w:val="0"/>
        <w:rPr>
          <w:color w:val="008080"/>
          <w:szCs w:val="24"/>
        </w:rPr>
      </w:pPr>
      <w:r>
        <w:rPr>
          <w:szCs w:val="24"/>
        </w:rPr>
        <w:t>K § 3</w:t>
      </w:r>
    </w:p>
    <w:p>
      <w:pPr>
        <w:pStyle w:val="odrkaa"/>
        <w:spacing w:line="240" w:lineRule="auto"/>
        <w:rPr>
          <w:rFonts w:ascii="Arial" w:hAnsi="Arial" w:cs="Arial"/>
          <w:szCs w:val="24"/>
          <w:lang w:val="sk-SK"/>
        </w:rPr>
      </w:pPr>
      <w:r>
        <w:rPr>
          <w:rFonts w:ascii="Arial" w:hAnsi="Arial" w:cs="Arial"/>
          <w:szCs w:val="24"/>
          <w:lang w:val="sk-SK"/>
        </w:rPr>
        <w:t xml:space="preserve">Je definovaná povinnosť pre občanov Slovenskej republiky poskytnúť požadované údaje zisťované pri sčítaní, ako aj pre cudzincov, ktorí majú na území Slovenskej republiky pobyt kratší ako 90 dní. Títo sú povinní poskytnúť údaje len v obmedzenom rozsahu. Účelom ich získania je poznať počet a základné údaje o tejto skupine dočasných obyvateľov. Rovnako sa ustanovuje povinnosť poskytnúť údaje za domy a byty právnickým osobám a fyzickým osobám (vlastníkom, správcom, užívateľom a  nájomcom), ako aj povinnosť poskytnúť požadované údaje za osoby nespôsobilé na právne úkony zákonným zástupcom (za závislé osoby, maloleté deti, zdravotne postihnutých a podobne). </w:t>
      </w:r>
    </w:p>
    <w:p>
      <w:pPr>
        <w:pStyle w:val="BodyText2"/>
        <w:jc w:val="both"/>
        <w:rPr>
          <w:b w:val="0"/>
          <w:szCs w:val="24"/>
        </w:rPr>
      </w:pPr>
      <w:r>
        <w:rPr>
          <w:b w:val="0"/>
          <w:szCs w:val="24"/>
        </w:rPr>
        <w:t>Práva a slobody občanov sú v tomto zákone upravené v súlade s článkom 16 ods. 1, 19 ods. 3, 21 ods. 1 a 22 ods. 1 Ústavy Slovenskej republiky.</w:t>
      </w:r>
    </w:p>
    <w:p>
      <w:pPr>
        <w:pStyle w:val="Heading1"/>
        <w:outlineLvl w:val="0"/>
        <w:rPr>
          <w:b w:val="0"/>
          <w:szCs w:val="24"/>
        </w:rPr>
      </w:pPr>
    </w:p>
    <w:p>
      <w:pPr>
        <w:pStyle w:val="Heading1"/>
        <w:outlineLvl w:val="0"/>
        <w:rPr>
          <w:color w:val="008080"/>
          <w:szCs w:val="24"/>
        </w:rPr>
      </w:pPr>
      <w:r>
        <w:rPr>
          <w:szCs w:val="24"/>
        </w:rPr>
        <w:t>K § 4</w:t>
      </w:r>
    </w:p>
    <w:p>
      <w:pPr>
        <w:jc w:val="both"/>
        <w:rPr>
          <w:szCs w:val="24"/>
        </w:rPr>
      </w:pPr>
      <w:r>
        <w:rPr>
          <w:szCs w:val="24"/>
        </w:rPr>
        <w:t xml:space="preserve">Určuje sa rozhodujúci okamih a spôsob vyhlásenia doby sčítania. Rozhodujúci okamih je v súlade s návrhom nariadenia Európskeho parlamentu a Rady o sčítaní obyvateľov, domov a bytov, podľa ktorého rozhodujúci okamih (referenčný dátum) musí spadať do referenčného roku 2011. Každý členský štát Európskej únie si ustanoví referenčný dátum podľa svojich podmienok. Je určený podľa skúseností z realizácie predchádzajúcich sčítaní. </w:t>
      </w:r>
    </w:p>
    <w:p>
      <w:pPr>
        <w:jc w:val="both"/>
        <w:rPr>
          <w:szCs w:val="24"/>
        </w:rPr>
      </w:pPr>
      <w:r>
        <w:rPr>
          <w:szCs w:val="24"/>
        </w:rPr>
        <w:t xml:space="preserve">Rozhodujúci okamih je určený na deň pred dňom pracovného voľna (noc z piatku na sobotu), čo je ovplyvnené skutočnosťou, že v tomto  čase sa najviac obyvateľov zdržiava v mieste trvalého (obvyklého) bydliska. </w:t>
      </w:r>
    </w:p>
    <w:p>
      <w:pPr>
        <w:pStyle w:val="BodyText"/>
        <w:rPr>
          <w:b w:val="0"/>
          <w:szCs w:val="24"/>
        </w:rPr>
      </w:pPr>
      <w:r>
        <w:rPr>
          <w:b w:val="0"/>
          <w:szCs w:val="24"/>
        </w:rPr>
        <w:t xml:space="preserve">Čas sčítania je definovaný ako obdobie, počas ktorého sčítací komisári budú navštevovať domácnosti a uskutočňovať zber údajov. Bude začínať približne  týždeň pred rozhodujúcim okamihom a bude ukončený približne dva týždne po rozhodujúcom okamihu sčítania. </w:t>
      </w:r>
    </w:p>
    <w:p>
      <w:pPr>
        <w:pStyle w:val="BodyText2"/>
        <w:jc w:val="both"/>
        <w:rPr>
          <w:b w:val="0"/>
          <w:szCs w:val="24"/>
        </w:rPr>
      </w:pPr>
      <w:r>
        <w:rPr>
          <w:b w:val="0"/>
          <w:szCs w:val="24"/>
        </w:rPr>
        <w:t xml:space="preserve">Čas sčítania bude upravený nariadením vlády Slovenskej republiky, tak aby bol známy najneskôr 120 dní pred rozhodujúcim okamihom sčítania. Spôsob vyhlásenia času sčítania nariadením vlády umožní dobu sčítania v prípade potreby upraviť podľa konkrétnych podmienok v ustanovenom referenčnom roku. </w:t>
      </w:r>
    </w:p>
    <w:p>
      <w:pPr>
        <w:pStyle w:val="BodyText2"/>
        <w:jc w:val="both"/>
        <w:rPr>
          <w:b w:val="0"/>
          <w:szCs w:val="24"/>
        </w:rPr>
      </w:pPr>
    </w:p>
    <w:p>
      <w:pPr>
        <w:pStyle w:val="Heading1"/>
        <w:outlineLvl w:val="0"/>
        <w:rPr>
          <w:color w:val="008080"/>
          <w:szCs w:val="24"/>
        </w:rPr>
      </w:pPr>
      <w:r>
        <w:rPr>
          <w:szCs w:val="24"/>
        </w:rPr>
        <w:t>K § 5</w:t>
      </w:r>
    </w:p>
    <w:p>
      <w:pPr>
        <w:pStyle w:val="BodyText2"/>
        <w:jc w:val="both"/>
        <w:rPr>
          <w:b w:val="0"/>
          <w:szCs w:val="24"/>
        </w:rPr>
      </w:pPr>
      <w:r>
        <w:rPr>
          <w:b w:val="0"/>
          <w:szCs w:val="24"/>
        </w:rPr>
        <w:t>Ustanovuje metódu sebasčítania, kedy obyvatelia sami vypĺňajú sčítacie tlačivá, čo sa osvedčilo aj pri predchádzajúcich sčítaniach. Takýto spôsob sčítania zabezpečí objektivitu zistených údajov, urýchli činnosti spojené so zisťovaním údajov a uľahčí prácu sčítacích komisárov. Po prvýkrát sa uvažuje aj s využitím rovnocennej elektronickej formy vyplňovania a podávania</w:t>
      </w:r>
      <w:r>
        <w:rPr>
          <w:b w:val="0"/>
          <w:color w:val="008080"/>
          <w:szCs w:val="24"/>
        </w:rPr>
        <w:t xml:space="preserve"> </w:t>
      </w:r>
      <w:r>
        <w:rPr>
          <w:b w:val="0"/>
          <w:szCs w:val="24"/>
        </w:rPr>
        <w:t xml:space="preserve">sčítacieho tlačiva, ktorého obsah bude totožný s jeho listovou podobou. Použitie elektronickej formy sčítacieho tlačiva sa bude realizovať podľa technických možností a podmienok na jej uplatnenie v období pred samotnou prípravou  na sčítanie. </w:t>
      </w:r>
    </w:p>
    <w:p>
      <w:pPr>
        <w:pStyle w:val="BodyText3"/>
        <w:jc w:val="both"/>
        <w:rPr>
          <w:b w:val="0"/>
          <w:color w:val="auto"/>
          <w:szCs w:val="24"/>
        </w:rPr>
      </w:pPr>
    </w:p>
    <w:p>
      <w:pPr>
        <w:pStyle w:val="Heading1"/>
        <w:outlineLvl w:val="0"/>
        <w:rPr>
          <w:color w:val="008080"/>
          <w:szCs w:val="24"/>
          <w:u w:val="single"/>
        </w:rPr>
      </w:pPr>
      <w:r>
        <w:rPr>
          <w:szCs w:val="24"/>
        </w:rPr>
        <w:t>K § 6</w:t>
      </w:r>
    </w:p>
    <w:p>
      <w:pPr>
        <w:pStyle w:val="BodyText2"/>
        <w:jc w:val="both"/>
        <w:rPr>
          <w:b w:val="0"/>
          <w:szCs w:val="24"/>
        </w:rPr>
      </w:pPr>
      <w:r>
        <w:rPr>
          <w:b w:val="0"/>
          <w:szCs w:val="24"/>
        </w:rPr>
        <w:t xml:space="preserve">Ustanovuje sa vytvorenie sčítacích obvodov a osobitných sčítacích obvodov, čo je z hľadiska organizačného zabezpečenia prípravy a uskutočnenia sčítania nevyhnutnou podmienkou jeho efektívneho zabezpečenia. </w:t>
      </w:r>
    </w:p>
    <w:p>
      <w:pPr>
        <w:pStyle w:val="BodyText2"/>
        <w:jc w:val="both"/>
        <w:rPr>
          <w:b w:val="0"/>
          <w:szCs w:val="24"/>
        </w:rPr>
      </w:pPr>
      <w:r>
        <w:rPr>
          <w:b w:val="0"/>
          <w:szCs w:val="24"/>
        </w:rPr>
        <w:t>Územie obcí sa rozčlení podľa vopred určených kritérií (počtu obyvateľov a počtu bytov) na sčítacie obvody, v ktorých vykonajú sčítanie sčítací komisári. Sčítacie obvody pokryjú v rámci základných sídelných jednotiek celé územie obce, pričom bude rešpektovať hranice obce, zohľadňovať jej členenie na časti a hranice katastra obce.</w:t>
      </w:r>
    </w:p>
    <w:p>
      <w:pPr>
        <w:jc w:val="both"/>
        <w:rPr>
          <w:szCs w:val="24"/>
        </w:rPr>
      </w:pPr>
      <w:r>
        <w:rPr>
          <w:szCs w:val="24"/>
        </w:rPr>
        <w:t>V ustanovení sú definované pôsobnosti ústredných orgánov štátnej správy, obvodných úradov a obcí na vytvorenie sčítacích obvodov a určenie ich územného vymedzenia.</w:t>
      </w:r>
    </w:p>
    <w:p>
      <w:pPr>
        <w:pStyle w:val="Heading1"/>
        <w:outlineLvl w:val="0"/>
        <w:rPr>
          <w:b w:val="0"/>
          <w:szCs w:val="24"/>
        </w:rPr>
      </w:pPr>
    </w:p>
    <w:p>
      <w:pPr>
        <w:pStyle w:val="Heading1"/>
        <w:outlineLvl w:val="0"/>
        <w:rPr>
          <w:color w:val="008080"/>
          <w:szCs w:val="24"/>
        </w:rPr>
      </w:pPr>
      <w:r>
        <w:rPr>
          <w:szCs w:val="24"/>
        </w:rPr>
        <w:t>K § 7</w:t>
      </w:r>
    </w:p>
    <w:p>
      <w:pPr>
        <w:jc w:val="both"/>
        <w:rPr>
          <w:szCs w:val="24"/>
          <w:u w:val="single"/>
        </w:rPr>
      </w:pPr>
      <w:r>
        <w:rPr>
          <w:szCs w:val="24"/>
        </w:rPr>
        <w:t xml:space="preserve">Určuje sa spôsob vymenovania sčítacích komisárov a vymedzujú sa ich povinnosti pri sčítaní. Sčítací komisári uskutočnia sčítanie v určených sčítacích obvodoch. Na túto činnosť budú osobitne vyškolení. Pri výkone svojej činnosti budú postupovať podľa metodických pokynov, ktoré  vypracuje Štatistický úrad Slovenskej republiky. Počet sčítacích komisárov bude závisieť od počtu vytvorených sčítacích obvodov. Predpokladá sa, že jeden sčítací komisár uskutoční sčítanie v jednom sčítacom obvode. </w:t>
      </w:r>
    </w:p>
    <w:p>
      <w:pPr>
        <w:pStyle w:val="BodyText2"/>
        <w:jc w:val="both"/>
        <w:rPr>
          <w:b w:val="0"/>
          <w:szCs w:val="24"/>
        </w:rPr>
      </w:pPr>
      <w:r>
        <w:rPr>
          <w:b w:val="0"/>
          <w:szCs w:val="24"/>
        </w:rPr>
        <w:t>Ustanovenie ďalej určuje podmienky výkonu funkcie sčítacieho komisára, definuje povinnosť chrániť zistené údaje, zachovávať mlčanlivosť o zistených skutočnostiach a spôsob ich odmeňovania.</w:t>
      </w:r>
    </w:p>
    <w:p>
      <w:pPr>
        <w:ind w:left="360"/>
        <w:jc w:val="both"/>
        <w:rPr>
          <w:szCs w:val="24"/>
        </w:rPr>
      </w:pPr>
    </w:p>
    <w:p>
      <w:pPr>
        <w:pStyle w:val="Heading1"/>
        <w:outlineLvl w:val="0"/>
        <w:rPr>
          <w:color w:val="008080"/>
          <w:szCs w:val="24"/>
          <w:u w:val="single"/>
        </w:rPr>
      </w:pPr>
      <w:r>
        <w:rPr>
          <w:szCs w:val="24"/>
        </w:rPr>
        <w:t>K § 8</w:t>
      </w:r>
    </w:p>
    <w:p>
      <w:pPr>
        <w:pStyle w:val="BodyText2"/>
        <w:jc w:val="both"/>
        <w:rPr>
          <w:b w:val="0"/>
          <w:szCs w:val="24"/>
        </w:rPr>
      </w:pPr>
      <w:r>
        <w:rPr>
          <w:b w:val="0"/>
          <w:szCs w:val="24"/>
        </w:rPr>
        <w:t xml:space="preserve">Ustanovuje povinnosti vyplývajúce z prípravy, priebehu a uskutočnenia sčítania pre ústredné orgány štátnej správy. Pri zabezpečení sčítania je nevyhnutná spolupráca v rámci pôsobností zverených príslušným ministerstvám a ostatným ústredným orgánom štátnej správy. </w:t>
      </w:r>
    </w:p>
    <w:p>
      <w:pPr>
        <w:pStyle w:val="BodyText2"/>
        <w:jc w:val="both"/>
        <w:rPr>
          <w:b w:val="0"/>
          <w:szCs w:val="24"/>
          <w:u w:val="single"/>
        </w:rPr>
      </w:pPr>
      <w:r>
        <w:rPr>
          <w:b w:val="0"/>
          <w:szCs w:val="24"/>
        </w:rPr>
        <w:t xml:space="preserve">Štatistický úrad Slovenskej republiky bude koordinovať všetky hlavné činnosti pri príprave, priebehu a vykonaní sčítania. K tomu vydá osobitné metodické pokyny, ktorými sa ustanoví forma a spôsob zberu údajov, odborné školenie sčítacích komisárov, tlač a distribúcia sčítacích tlačív. Zabezpečí spracovanie, publikovanie a poskytovanie údajov používateľom tak na národnej, ako aj na medzinárodnej úrovni. V spolupráci s Ministerstvom financií Slovenskej republiky vydá Štatistický úrad Slovenskej republiky metodické pokyny na financovanie prípravy, odmeňovanie sčítacích komisárov a na vykonanie sčítania. Zabezpečí informovanie verejnosti o príprave a vykonaní sčítania, čo je predpokladom na jeho úspešný priebeh a uskutočnenie. Do informačnej kampane k sčítaniu zapojí i obvodné úrady, obce a vyššie územné celky. </w:t>
      </w:r>
    </w:p>
    <w:p>
      <w:pPr>
        <w:jc w:val="both"/>
        <w:rPr>
          <w:szCs w:val="24"/>
        </w:rPr>
      </w:pPr>
      <w:r>
        <w:rPr>
          <w:szCs w:val="24"/>
        </w:rPr>
        <w:t>Povinnosťou zodpovedných ministerstiev bude vytvoriť osobitné sčítacie obvody v nimi riadených hromadných ubytovacích zariadeniach (Ministerstva vnútra Slovenskej republiky, Ministerstva obrany Slovenskej republiky a Ministerstva spravodlivosti Slovenskej republiky) a vykonať sčítanie v  zariadeniach ozbrojených síl Slovenskej republiky, Policajného zboru a v zariadeniach na výkon väzby a výkon trestu odňatia slobody. Ministerstvo zahraničných vecí Slovenskej republiky vykoná sčítanie na veľvyslanectvách a konzulátoch alebo v mieste spoločnej dislokácie členov a zamestnancov diplomatického zboru v zahraničí. Územnú prípravu sčítania, t. j. tvorbu mapových podkladov potrebných pre sčítanie budú v súčinnosti realizovať Ministerstvo životného prostredia Slovenskej republiky a Úrad geodézie, kartografie a katastra Slovenskej republiky.</w:t>
      </w:r>
    </w:p>
    <w:p>
      <w:pPr>
        <w:pStyle w:val="BodyText2"/>
        <w:tabs>
          <w:tab w:val="left" w:pos="720"/>
        </w:tabs>
        <w:jc w:val="both"/>
        <w:rPr>
          <w:b w:val="0"/>
          <w:szCs w:val="24"/>
        </w:rPr>
      </w:pPr>
      <w:r>
        <w:rPr>
          <w:b w:val="0"/>
          <w:szCs w:val="24"/>
        </w:rPr>
        <w:t xml:space="preserve">Ministerstvo vnútra Slovenskej republiky taktiež zabezpečí spracovanie číselných identifikátorov obyvateľov potrebných na umožnenie použitia elektronickej formy sčítacieho tlačiva a ich doručenie na obec podľa miesta trvalého bydliska občana. </w:t>
      </w:r>
    </w:p>
    <w:p>
      <w:pPr>
        <w:pStyle w:val="Heading4"/>
        <w:outlineLvl w:val="3"/>
        <w:rPr>
          <w:b w:val="0"/>
          <w:szCs w:val="24"/>
        </w:rPr>
      </w:pPr>
    </w:p>
    <w:p>
      <w:pPr>
        <w:pStyle w:val="Heading4"/>
        <w:outlineLvl w:val="3"/>
        <w:rPr>
          <w:b w:val="0"/>
          <w:i/>
          <w:color w:val="FF0000"/>
          <w:szCs w:val="24"/>
          <w:u w:val="single"/>
        </w:rPr>
      </w:pPr>
      <w:r>
        <w:rPr>
          <w:szCs w:val="24"/>
        </w:rPr>
        <w:t>K § 9</w:t>
      </w:r>
    </w:p>
    <w:p>
      <w:pPr>
        <w:pStyle w:val="BodyText3"/>
        <w:jc w:val="both"/>
        <w:rPr>
          <w:b w:val="0"/>
          <w:color w:val="auto"/>
          <w:szCs w:val="24"/>
        </w:rPr>
      </w:pPr>
      <w:r>
        <w:rPr>
          <w:b w:val="0"/>
          <w:color w:val="auto"/>
          <w:szCs w:val="24"/>
        </w:rPr>
        <w:t xml:space="preserve">Sú ustanovené povinnosti obvodným úradom pri príprave, priebehu a vykonaní sčítania v súlade s osobitnými zákonmi o organizácii miestnej štátnej správy a o zmene a doplnení niektorých zákonov, o krajských úradoch a obvodných úradoch, o zrušení krajských úradov a o zmene a doplnení niektorých zákonov v súvislosti so zrušením krajských úradov. Obvodné úrady budú vykonávať koordinovanie vzťahov pri sčítaní prostredníctvom svojich úsekov všeobecnej vnútornej správy v súčinnosti s príslušnými ústrednými orgánmi štátnej správy, obcami a vyššími územnými celkami. Tieto povinnosti budú obvodné úrady vykonávať v spolupráci a podľa metodických pokynov Štatistického úradu Slovenskej republiky. </w:t>
      </w:r>
    </w:p>
    <w:p>
      <w:pPr>
        <w:pStyle w:val="BodyText"/>
        <w:rPr>
          <w:b w:val="0"/>
          <w:szCs w:val="24"/>
        </w:rPr>
      </w:pPr>
      <w:r>
        <w:rPr>
          <w:b w:val="0"/>
          <w:szCs w:val="24"/>
        </w:rPr>
        <w:t>Obvodné úrady budú organizačne a technicky zabezpečovať prípravu, priebeh a vykonanie sčítania, ako určenie sčítacích obvodov, distribúcia sčítacích tlačív, zber a ochrana vyplnených sčítacích tlačív a školenie sčítacích komisárov.</w:t>
      </w:r>
    </w:p>
    <w:p>
      <w:pPr>
        <w:jc w:val="center"/>
        <w:rPr>
          <w:szCs w:val="24"/>
        </w:rPr>
      </w:pPr>
    </w:p>
    <w:p>
      <w:pPr>
        <w:pStyle w:val="Heading1"/>
        <w:outlineLvl w:val="0"/>
        <w:rPr>
          <w:color w:val="008080"/>
          <w:szCs w:val="24"/>
          <w:u w:val="single"/>
        </w:rPr>
      </w:pPr>
      <w:r>
        <w:rPr>
          <w:szCs w:val="24"/>
        </w:rPr>
        <w:t>K § 10</w:t>
      </w:r>
    </w:p>
    <w:p>
      <w:pPr>
        <w:pStyle w:val="BodyText"/>
        <w:rPr>
          <w:b w:val="0"/>
          <w:szCs w:val="24"/>
        </w:rPr>
      </w:pPr>
      <w:r>
        <w:rPr>
          <w:b w:val="0"/>
          <w:szCs w:val="24"/>
        </w:rPr>
        <w:t>Určuje povinnosti obcí pri príprave, priebehu a vykonaní sčítania v súlade so zákonom o obecnom zriadení, zákonom o štátnej štatistike a týmto zákonom, ktorými sa všeobecne upravuje koordinovanie vzťahov medzi štátom a obcou, a to aj na úseku sčítania obyvateľov, domov a bytov.</w:t>
      </w:r>
    </w:p>
    <w:p>
      <w:pPr>
        <w:pStyle w:val="BodyText"/>
        <w:rPr>
          <w:b w:val="0"/>
          <w:szCs w:val="24"/>
        </w:rPr>
      </w:pPr>
      <w:r>
        <w:rPr>
          <w:b w:val="0"/>
          <w:szCs w:val="24"/>
        </w:rPr>
        <w:t>V pôsobnosti obce v rámci preneseného výkonu štátnej správy na úseku sčítania bude najmä zabezpečiť prípravu sčítania na svojom území, jeho propagáciu, nábor sčítacích komisárov a spolupracovať pri školení sčítacích komisárov, uskutočniť sčítanie na svojom území, technicky zabezpečiť zber a ochranu zistených údajov pred ich zneužitím a v spolupráci s úradom zabezpečiť preberanie vyplnených sčítacích tlačív od sčítacích komisárov.</w:t>
      </w:r>
    </w:p>
    <w:p>
      <w:pPr>
        <w:tabs>
          <w:tab w:val="left" w:pos="720"/>
        </w:tabs>
        <w:jc w:val="both"/>
        <w:rPr>
          <w:szCs w:val="24"/>
        </w:rPr>
      </w:pPr>
      <w:r>
        <w:rPr>
          <w:szCs w:val="24"/>
        </w:rPr>
        <w:t xml:space="preserve">Osobitnou úlohou obce bude overenie počtu obyvateľov obce, čím sa vytvoria podmienky na odstránenie nezrovnalostí pri porovnaní počtu obyvateľov zistených pri sčítaní s evidenciou obce. </w:t>
      </w:r>
    </w:p>
    <w:p>
      <w:pPr>
        <w:tabs>
          <w:tab w:val="left" w:pos="720"/>
        </w:tabs>
        <w:jc w:val="both"/>
        <w:rPr>
          <w:szCs w:val="24"/>
        </w:rPr>
      </w:pPr>
      <w:r>
        <w:rPr>
          <w:szCs w:val="24"/>
        </w:rPr>
        <w:t xml:space="preserve">Primeranou podmienkou pre elektronické vyplňovania sčítacích tlačív je možnosť prístupu obyvateľov obce k počítaču na miestnom úrade, pripojenému na Internet. </w:t>
      </w:r>
    </w:p>
    <w:p>
      <w:pPr>
        <w:pStyle w:val="BodyText"/>
        <w:rPr>
          <w:b w:val="0"/>
          <w:szCs w:val="24"/>
        </w:rPr>
      </w:pPr>
    </w:p>
    <w:p>
      <w:pPr>
        <w:pStyle w:val="Heading1"/>
        <w:outlineLvl w:val="0"/>
        <w:rPr>
          <w:color w:val="008080"/>
          <w:szCs w:val="24"/>
        </w:rPr>
      </w:pPr>
      <w:r>
        <w:rPr>
          <w:szCs w:val="24"/>
        </w:rPr>
        <w:t>K § 11</w:t>
      </w:r>
    </w:p>
    <w:p>
      <w:pPr>
        <w:pStyle w:val="BodyText3"/>
        <w:jc w:val="both"/>
        <w:rPr>
          <w:b w:val="0"/>
          <w:color w:val="auto"/>
          <w:szCs w:val="24"/>
        </w:rPr>
      </w:pPr>
      <w:r>
        <w:rPr>
          <w:b w:val="0"/>
          <w:color w:val="auto"/>
          <w:szCs w:val="24"/>
        </w:rPr>
        <w:t xml:space="preserve">Ustanovuje sa pôsobnosť vyšších územných celkov pri príprave a vykonaní sčítania obyvateľov, domov a bytov podľa pokynov a v spolupráci so Štatistickým úradom Slovenskej republiky v rozsahu a za podmienok uvedených v zákone o samospráve vyšších územných celkov, zákone o štátnej štatistike a v tomto zákone. </w:t>
      </w:r>
    </w:p>
    <w:p>
      <w:pPr>
        <w:pStyle w:val="BodyText3"/>
        <w:jc w:val="both"/>
        <w:rPr>
          <w:b w:val="0"/>
          <w:color w:val="auto"/>
          <w:szCs w:val="24"/>
          <w:u w:val="single"/>
        </w:rPr>
      </w:pPr>
      <w:r>
        <w:rPr>
          <w:b w:val="0"/>
          <w:color w:val="auto"/>
          <w:szCs w:val="24"/>
        </w:rPr>
        <w:t xml:space="preserve">Vyššie územné celky v rámci preneseného výkonu štátnej správy na úseku sčítania budú spolupracovať so Štatistickým úradom Slovenskej republiky hlavne na propagácii sčítania. </w:t>
      </w:r>
      <w:r>
        <w:rPr>
          <w:b w:val="0"/>
          <w:color w:val="auto"/>
          <w:szCs w:val="24"/>
          <w:u w:val="single"/>
        </w:rPr>
        <w:t xml:space="preserve"> </w:t>
      </w:r>
    </w:p>
    <w:p>
      <w:pPr>
        <w:pStyle w:val="BodyText3"/>
        <w:jc w:val="both"/>
        <w:rPr>
          <w:b w:val="0"/>
          <w:color w:val="auto"/>
          <w:szCs w:val="24"/>
        </w:rPr>
      </w:pPr>
    </w:p>
    <w:p>
      <w:pPr>
        <w:pStyle w:val="Heading1"/>
        <w:outlineLvl w:val="0"/>
        <w:rPr>
          <w:b w:val="0"/>
          <w:i/>
          <w:color w:val="FF0000"/>
          <w:szCs w:val="24"/>
          <w:u w:val="single"/>
        </w:rPr>
      </w:pPr>
      <w:r>
        <w:rPr>
          <w:szCs w:val="24"/>
        </w:rPr>
        <w:t>K § 12</w:t>
      </w:r>
    </w:p>
    <w:p>
      <w:pPr>
        <w:pStyle w:val="BodyText3"/>
        <w:jc w:val="both"/>
        <w:rPr>
          <w:b w:val="0"/>
          <w:color w:val="auto"/>
          <w:szCs w:val="24"/>
        </w:rPr>
      </w:pPr>
      <w:r>
        <w:rPr>
          <w:b w:val="0"/>
          <w:color w:val="auto"/>
          <w:szCs w:val="24"/>
        </w:rPr>
        <w:t>Ústredná komisia pre sčítanie sa zriadi pri Štatistickom úrade Slovenskej republiky rozhodnutím jeho predsedu, ako dočasný poradný orgán pre prípravu a vykonanie sčítania. Jej úlohou bude koordinácia činnosti obecných komisií. Predsedom ústrednej komisie pre sčítanie bude predseda Štatistického úradu Slovenskej republiky, ktorý vymenuje jej ďalších členov zo zástupcov príslušných ministerstiev a ostatných ústredných orgánov štátnej správy, obvodných úradov, obcí, vyšších územných celkov a ich združení.</w:t>
      </w:r>
    </w:p>
    <w:p>
      <w:pPr>
        <w:pStyle w:val="BodyText2"/>
        <w:jc w:val="both"/>
        <w:rPr>
          <w:b w:val="0"/>
          <w:szCs w:val="24"/>
        </w:rPr>
      </w:pPr>
    </w:p>
    <w:p>
      <w:pPr>
        <w:pStyle w:val="Heading1"/>
        <w:outlineLvl w:val="0"/>
        <w:rPr>
          <w:color w:val="008080"/>
          <w:szCs w:val="24"/>
        </w:rPr>
      </w:pPr>
      <w:r>
        <w:rPr>
          <w:szCs w:val="24"/>
        </w:rPr>
        <w:t>K § 13</w:t>
      </w:r>
    </w:p>
    <w:p>
      <w:pPr>
        <w:pStyle w:val="BodyText"/>
        <w:rPr>
          <w:b w:val="0"/>
          <w:szCs w:val="24"/>
        </w:rPr>
      </w:pPr>
      <w:r>
        <w:rPr>
          <w:b w:val="0"/>
          <w:szCs w:val="24"/>
        </w:rPr>
        <w:t>Upravuje možnosti využitia spracovaných štatistických údajov a okruh ich príjemcov v súlade so zákonom o štátnej štatistike a nariadeniami Európskeho spoločenstva o štatistike spoločenstva so zreteľom na prístup k týmto údajom na výskumné a vedecké účely.</w:t>
      </w:r>
    </w:p>
    <w:p>
      <w:pPr>
        <w:pStyle w:val="BodyText"/>
        <w:rPr>
          <w:b w:val="0"/>
          <w:szCs w:val="24"/>
        </w:rPr>
      </w:pPr>
      <w:r>
        <w:rPr>
          <w:b w:val="0"/>
          <w:szCs w:val="24"/>
        </w:rPr>
        <w:t>Definuje pravidlá na využívanie údajov zistených pri sčítaní tak, aby  ich bolo možné využívať nielen na štatistické účely, ale aj na iné ako štatistické účely.</w:t>
      </w:r>
    </w:p>
    <w:p>
      <w:pPr>
        <w:pStyle w:val="BodyText2"/>
        <w:jc w:val="both"/>
        <w:rPr>
          <w:b w:val="0"/>
          <w:szCs w:val="24"/>
        </w:rPr>
      </w:pPr>
      <w:r>
        <w:rPr>
          <w:b w:val="0"/>
          <w:szCs w:val="24"/>
        </w:rPr>
        <w:t xml:space="preserve">Sú ustanovené podmienky, za ktorých bude možné poskytnúť získané údaje na iné ako štatistické účely, na výskumné a vedecké práce a pre orgány a organizácie Európskej únie, osobitne pre Eurostat a medzinárodné organizácie, napríklad OSN, WHO a OECD. </w:t>
      </w:r>
    </w:p>
    <w:p>
      <w:pPr>
        <w:pStyle w:val="BodyText2"/>
        <w:jc w:val="both"/>
        <w:rPr>
          <w:b w:val="0"/>
          <w:szCs w:val="24"/>
          <w:u w:val="single"/>
        </w:rPr>
      </w:pPr>
      <w:r>
        <w:rPr>
          <w:b w:val="0"/>
          <w:szCs w:val="24"/>
        </w:rPr>
        <w:t xml:space="preserve">Pri poskytovaní údajov získaných zo sčítania sa bude postupovať tak, že prístup k týmto štatistickým údajom môže byť orgánmi vykonávajúcimi štátnu štatistiku poskytnutý výskumným a vedeckým inštitúciám. </w:t>
      </w:r>
    </w:p>
    <w:p>
      <w:pPr>
        <w:jc w:val="center"/>
        <w:rPr>
          <w:szCs w:val="24"/>
          <w:u w:val="single"/>
        </w:rPr>
      </w:pPr>
    </w:p>
    <w:p>
      <w:pPr>
        <w:pStyle w:val="Heading1"/>
        <w:outlineLvl w:val="0"/>
        <w:rPr>
          <w:b w:val="0"/>
          <w:i/>
          <w:color w:val="FF0000"/>
          <w:szCs w:val="24"/>
          <w:u w:val="single"/>
        </w:rPr>
      </w:pPr>
      <w:r>
        <w:rPr>
          <w:szCs w:val="24"/>
        </w:rPr>
        <w:t>K § 14</w:t>
      </w:r>
    </w:p>
    <w:p>
      <w:pPr>
        <w:pStyle w:val="BodyText"/>
        <w:rPr>
          <w:b w:val="0"/>
          <w:szCs w:val="24"/>
        </w:rPr>
      </w:pPr>
      <w:r>
        <w:rPr>
          <w:b w:val="0"/>
          <w:szCs w:val="24"/>
        </w:rPr>
        <w:t xml:space="preserve">Určujú sa povinnosti obciam a Štatistickému úradu Slovenskej republiky pri uložení a uchovaní vyplnených sčítacích tlačív v súlade s osobitným zákonom </w:t>
      </w:r>
      <w:r>
        <w:rPr>
          <w:rStyle w:val="HTMLTypewriter"/>
          <w:rFonts w:ascii="Arial" w:hint="default"/>
          <w:b w:val="0"/>
          <w:sz w:val="24"/>
          <w:szCs w:val="24"/>
        </w:rPr>
        <w:t>o archí</w:t>
      </w:r>
      <w:r>
        <w:rPr>
          <w:rStyle w:val="HTMLTypewriter"/>
          <w:rFonts w:ascii="Arial" w:hint="default"/>
          <w:b w:val="0"/>
          <w:sz w:val="24"/>
          <w:szCs w:val="24"/>
        </w:rPr>
        <w:t>voch a </w:t>
      </w:r>
      <w:r>
        <w:rPr>
          <w:rStyle w:val="HTMLTypewriter"/>
          <w:rFonts w:ascii="Arial" w:hint="default"/>
          <w:b w:val="0"/>
          <w:sz w:val="24"/>
          <w:szCs w:val="24"/>
        </w:rPr>
        <w:t>registratú</w:t>
      </w:r>
      <w:r>
        <w:rPr>
          <w:rStyle w:val="HTMLTypewriter"/>
          <w:rFonts w:ascii="Arial" w:hint="default"/>
          <w:b w:val="0"/>
          <w:sz w:val="24"/>
          <w:szCs w:val="24"/>
        </w:rPr>
        <w:t xml:space="preserve">rach, </w:t>
      </w:r>
      <w:r>
        <w:rPr>
          <w:b w:val="0"/>
          <w:szCs w:val="24"/>
        </w:rPr>
        <w:t xml:space="preserve">napríklad osobitný režim spracovania údajov získaných zo sčítania alebo likvidácia sčítacích tlačív priemyselným spracovaním podľa registratúrneho plánu Štatistického úradu Slovenskej republiky. </w:t>
      </w:r>
    </w:p>
    <w:p>
      <w:pPr>
        <w:pStyle w:val="BodyText"/>
        <w:rPr>
          <w:szCs w:val="24"/>
        </w:rPr>
      </w:pPr>
    </w:p>
    <w:p>
      <w:pPr>
        <w:pStyle w:val="BodyText"/>
        <w:rPr>
          <w:szCs w:val="24"/>
        </w:rPr>
      </w:pPr>
      <w:r>
        <w:rPr>
          <w:szCs w:val="24"/>
        </w:rPr>
        <w:t>K § 15</w:t>
      </w:r>
    </w:p>
    <w:p>
      <w:pPr>
        <w:pStyle w:val="Heading1"/>
        <w:outlineLvl w:val="0"/>
        <w:rPr>
          <w:b w:val="0"/>
          <w:szCs w:val="24"/>
        </w:rPr>
      </w:pPr>
      <w:r>
        <w:rPr>
          <w:b w:val="0"/>
          <w:szCs w:val="24"/>
        </w:rPr>
        <w:t xml:space="preserve">Výdavky spojené s prípravou, priebehom a vykonaním sčítania budú hradené zo štátneho rozpočtu v rokoch 2008 až 2014. Štruktúra, výška a časové rozloženie výdavkov, ktoré súvisia s prípravou, priebehom a vykonaním sčítania a so zabezpečením spracovania výsledkov sčítania, sú uvedené v návrhu rozpočtového zabezpečenia sčítania v tabuľkovej časti doložky finančných vplyvov v súlade s uznesením vlády č. 827/2007, ktorým bol schválený legislatívny zámer tohto zákona. </w:t>
      </w:r>
    </w:p>
    <w:p>
      <w:pPr>
        <w:pStyle w:val="Heading1"/>
        <w:outlineLvl w:val="0"/>
        <w:rPr>
          <w:b w:val="0"/>
          <w:szCs w:val="24"/>
        </w:rPr>
      </w:pPr>
      <w:r>
        <w:rPr>
          <w:b w:val="0"/>
          <w:szCs w:val="24"/>
        </w:rPr>
        <w:t xml:space="preserve">Pri spracovaní požiadaviek na finančné zabezpečenie krytia výdavkov na sčítanie v príslušných ústredných orgánov štátnej správy, obciach a vyšších územných celkoch sa vychádzalo z ich efektívneho využitia a z potreby zabezpečiť časovú postupnosť úloh pri príprave a realizácii tohto zisťovania. </w:t>
      </w:r>
    </w:p>
    <w:p>
      <w:pPr>
        <w:pStyle w:val="odrkaa"/>
        <w:spacing w:line="240" w:lineRule="auto"/>
        <w:rPr>
          <w:rFonts w:ascii="Arial" w:hAnsi="Arial" w:cs="Arial"/>
          <w:szCs w:val="24"/>
          <w:lang w:val="sk-SK"/>
        </w:rPr>
      </w:pPr>
    </w:p>
    <w:p>
      <w:pPr>
        <w:pStyle w:val="BodyText"/>
        <w:rPr>
          <w:szCs w:val="24"/>
        </w:rPr>
      </w:pPr>
      <w:r>
        <w:rPr>
          <w:szCs w:val="24"/>
        </w:rPr>
        <w:t>K § 16</w:t>
      </w:r>
    </w:p>
    <w:p>
      <w:pPr>
        <w:jc w:val="both"/>
        <w:rPr>
          <w:szCs w:val="24"/>
        </w:rPr>
      </w:pPr>
      <w:r>
        <w:rPr>
          <w:szCs w:val="24"/>
        </w:rPr>
        <w:t>Rozpočtové prostriedky štátu pridelené Štatistickému úradu Slovenskej republiky budú použité predovšetkým na zakúpenie technických a programových prostriedkov potrebných na zabezpečenie realizácie informačnej a propagačnej kampane o sčítaní, tlače sčítacích tlačív, zber údajov, spracovanie výsledkov sčítania a zistených údajov, spracovanie projektov, pokynov a usmernení, prevodu údajov do elektronickej formy, spracovanie a publikovanie výsledkov sčítania.</w:t>
      </w:r>
    </w:p>
    <w:p>
      <w:pPr>
        <w:pStyle w:val="BodyText2"/>
        <w:jc w:val="both"/>
        <w:rPr>
          <w:b w:val="0"/>
          <w:szCs w:val="24"/>
        </w:rPr>
      </w:pPr>
      <w:r>
        <w:rPr>
          <w:b w:val="0"/>
          <w:szCs w:val="24"/>
        </w:rPr>
        <w:t>Hnuteľný majetok vo vlastníctve štátu obstaraný na prípravu, priebeh a vykonanie sčítania zostane po ukončení sčítania v správe Štatistickému úradu Slovenskej republiky na ďalšie štatistické využitie.</w:t>
      </w:r>
    </w:p>
    <w:p>
      <w:pPr>
        <w:pStyle w:val="odrkaa"/>
        <w:spacing w:line="240" w:lineRule="auto"/>
        <w:rPr>
          <w:rFonts w:ascii="Arial" w:hAnsi="Arial" w:cs="Arial"/>
          <w:szCs w:val="24"/>
          <w:lang w:val="sk-SK"/>
        </w:rPr>
      </w:pPr>
    </w:p>
    <w:p>
      <w:pPr>
        <w:pStyle w:val="BodyText"/>
        <w:rPr>
          <w:szCs w:val="24"/>
        </w:rPr>
      </w:pPr>
      <w:r>
        <w:rPr>
          <w:szCs w:val="24"/>
        </w:rPr>
        <w:t>K § 17</w:t>
      </w:r>
    </w:p>
    <w:p>
      <w:pPr>
        <w:pStyle w:val="odrkaa"/>
        <w:spacing w:line="240" w:lineRule="auto"/>
        <w:rPr>
          <w:rFonts w:ascii="Arial" w:hAnsi="Arial" w:cs="Arial"/>
          <w:szCs w:val="24"/>
          <w:lang w:val="sk-SK"/>
        </w:rPr>
      </w:pPr>
      <w:r>
        <w:rPr>
          <w:rFonts w:ascii="Arial" w:hAnsi="Arial" w:cs="Arial"/>
          <w:szCs w:val="24"/>
          <w:lang w:val="sk-SK"/>
        </w:rPr>
        <w:t>Toto ustanovenie upravuje, že ak tento zákon neustanovuje inak, na postup a konanie v ňom neupravené sa použijú príslušné ustanovenia zákona o štátnej štatistike.</w:t>
      </w:r>
    </w:p>
    <w:p>
      <w:pPr>
        <w:pStyle w:val="BodyText"/>
        <w:rPr>
          <w:color w:val="008080"/>
          <w:szCs w:val="24"/>
        </w:rPr>
      </w:pPr>
    </w:p>
    <w:p>
      <w:pPr>
        <w:pStyle w:val="Heading1"/>
        <w:outlineLvl w:val="0"/>
        <w:rPr>
          <w:szCs w:val="24"/>
        </w:rPr>
      </w:pPr>
      <w:r>
        <w:rPr>
          <w:szCs w:val="24"/>
        </w:rPr>
        <w:t xml:space="preserve">K § 18 </w:t>
      </w:r>
    </w:p>
    <w:p>
      <w:pPr>
        <w:pStyle w:val="Heading1"/>
        <w:outlineLvl w:val="0"/>
        <w:rPr>
          <w:b w:val="0"/>
          <w:szCs w:val="24"/>
          <w:u w:val="single"/>
        </w:rPr>
      </w:pPr>
      <w:r>
        <w:rPr>
          <w:b w:val="0"/>
          <w:szCs w:val="24"/>
        </w:rPr>
        <w:t>Ustanovenie ruší právne predpisy (zákon, nariadenie vlády a opatrenia Štatistického úradu Slovenskej republiky), ktoré zabezpečovali sčítanie realizované v Slovenskej republike v roku 2001.</w:t>
      </w:r>
    </w:p>
    <w:p>
      <w:pPr>
        <w:jc w:val="center"/>
        <w:rPr>
          <w:szCs w:val="24"/>
        </w:rPr>
      </w:pPr>
    </w:p>
    <w:p>
      <w:pPr>
        <w:pStyle w:val="Heading3"/>
        <w:outlineLvl w:val="2"/>
        <w:rPr>
          <w:i w:val="0"/>
          <w:szCs w:val="24"/>
        </w:rPr>
      </w:pPr>
      <w:r>
        <w:rPr>
          <w:i w:val="0"/>
          <w:szCs w:val="24"/>
        </w:rPr>
        <w:t xml:space="preserve">K § 19 </w:t>
      </w:r>
    </w:p>
    <w:p>
      <w:pPr>
        <w:jc w:val="both"/>
        <w:rPr>
          <w:szCs w:val="24"/>
        </w:rPr>
      </w:pPr>
      <w:r>
        <w:rPr>
          <w:szCs w:val="24"/>
        </w:rPr>
        <w:t>Účinnosť je navrhnutá od 1. októbra 2008, čím sa zabezpečí dostatočné časové obdobie nevyhnutné na organizačnú a technickú prípravu sčítania v roku 2011.</w:t>
      </w:r>
    </w:p>
    <w:p>
      <w:pPr>
        <w:jc w:val="both"/>
        <w:rPr>
          <w:szCs w:val="24"/>
        </w:rPr>
      </w:pPr>
    </w:p>
    <w:p>
      <w:pPr>
        <w:pStyle w:val="Heading4"/>
        <w:outlineLvl w:val="3"/>
        <w:rPr>
          <w:szCs w:val="24"/>
          <w:lang w:val="cs-CZ"/>
        </w:rPr>
      </w:pPr>
      <w:r>
        <w:rPr>
          <w:szCs w:val="24"/>
          <w:lang w:val="cs-CZ"/>
        </w:rPr>
        <w:t xml:space="preserve">K prílohe zákona </w:t>
      </w:r>
    </w:p>
    <w:p>
      <w:pPr>
        <w:pStyle w:val="BodyText2"/>
        <w:jc w:val="both"/>
        <w:rPr>
          <w:b w:val="0"/>
          <w:szCs w:val="24"/>
        </w:rPr>
      </w:pPr>
      <w:r>
        <w:rPr>
          <w:b w:val="0"/>
          <w:szCs w:val="24"/>
        </w:rPr>
        <w:t>Podrobnosti o charakteristikách, základných znakoch a štruktúre zisťovaných údajov uvedených v zozname budú uvedené v opatrení, ktoré vydá Štatistický úrad Slovenskej republiky a ktoré sa vyhlasuje v Zbierke zákonov Slovenskej republiky.</w:t>
      </w: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jc w:val="center"/>
        <w:rPr>
          <w:rFonts w:ascii="Times New Roman" w:hAnsi="Times New Roman" w:cs="Times New Roman"/>
          <w:b/>
          <w:sz w:val="28"/>
          <w:szCs w:val="24"/>
        </w:rPr>
      </w:pPr>
      <w:r>
        <w:rPr>
          <w:b/>
          <w:sz w:val="28"/>
          <w:szCs w:val="24"/>
        </w:rPr>
        <w:t>Doložka finančných, ekonomických, environmentálnych vplyvov, vplyvov na zamestnanosť a podnikateľské prostredie</w:t>
      </w:r>
    </w:p>
    <w:p>
      <w:pPr>
        <w:pStyle w:val="odrkaa"/>
        <w:spacing w:line="240" w:lineRule="auto"/>
        <w:rPr>
          <w:rFonts w:ascii="Arial" w:hAnsi="Arial" w:cs="Arial"/>
          <w:szCs w:val="24"/>
          <w:lang w:val="sk-SK"/>
        </w:rPr>
      </w:pPr>
      <w:r>
        <w:rPr>
          <w:rFonts w:ascii="Arial" w:hAnsi="Arial" w:cs="Arial"/>
          <w:szCs w:val="24"/>
          <w:lang w:val="sk-SK"/>
        </w:rPr>
        <w:t> </w:t>
      </w:r>
    </w:p>
    <w:p>
      <w:pPr>
        <w:ind w:firstLine="708"/>
        <w:jc w:val="both"/>
        <w:rPr>
          <w:szCs w:val="24"/>
        </w:rPr>
      </w:pPr>
      <w:r>
        <w:rPr>
          <w:szCs w:val="24"/>
        </w:rPr>
        <w:t>Pri prepočte nákladov na sčítanie sa vychádzalo z analýzy činností, ktoré bolo potrebné zabezpečiť pri príprave, priebehu a realizácii sčítania v roku 2001. Zároveň boli zohľadnené zmeny v kompetenciách orgánov štátnej správy, obcí a vyšších územných celkov ako aj nárast miezd zamestnancov štátnej správy a cien tovarov a služieb od roku 2001.</w:t>
      </w:r>
    </w:p>
    <w:p>
      <w:pPr>
        <w:pStyle w:val="BodyText"/>
        <w:ind w:firstLine="708"/>
        <w:rPr>
          <w:b w:val="0"/>
          <w:szCs w:val="24"/>
        </w:rPr>
      </w:pPr>
      <w:r>
        <w:rPr>
          <w:b w:val="0"/>
          <w:szCs w:val="24"/>
        </w:rPr>
        <w:t>Požadované prostriedky sú podrobne kvantifikované podľa platnej rozpočtovej klasifikácie. V období realizácie sčítania budú upresňované podľa jednotlivých rokov pri príprave návrhu štátneho rozpočtu na príslušný finančný rok.</w:t>
      </w:r>
    </w:p>
    <w:p>
      <w:pPr>
        <w:pStyle w:val="BodyTextIndent2"/>
        <w:ind w:firstLine="720"/>
        <w:rPr>
          <w:b w:val="0"/>
          <w:szCs w:val="24"/>
        </w:rPr>
      </w:pPr>
      <w:r>
        <w:rPr>
          <w:b w:val="0"/>
          <w:szCs w:val="24"/>
        </w:rPr>
        <w:t xml:space="preserve">Zákon predpokladá v období rokov 2008 až 2014 vytvoriť iba dočasne a prechodne obmedzené zvýšenie počtov pracovných miest na jednotlivých odborných útvaroch a ôsmich stálych pracoviskách Štatistického úradu Slovenskej republiky, určených na priamy výkon činností súvisiacich s prípravou, priebehom  a realizáciou sčítania a so zabezpečením spracovania výsledkov sčítania. </w:t>
      </w:r>
    </w:p>
    <w:p>
      <w:pPr>
        <w:pStyle w:val="BodyTextIndent2"/>
        <w:ind w:firstLine="720"/>
        <w:rPr>
          <w:b w:val="0"/>
          <w:szCs w:val="24"/>
        </w:rPr>
      </w:pPr>
      <w:r>
        <w:rPr>
          <w:b w:val="0"/>
          <w:szCs w:val="24"/>
        </w:rPr>
        <w:t>Z prepočtov nákladov na predpokladaný rozsah činností súvisiacich s prípravou, priebehom a realizáciou sčítania, ako aj spracovania a publikovania výsledkov vyplýva, že výdavky štátneho rozpočtu budú predstavovať viac ako 900  mil. Sk. Tieto výdavky budú rozložené na obdobie rokov 2008 až 2014 a určené predovšetkým na zabezpečenie sčítania na Štatistickom úrade Slovenskej republiky a na úhradu nákladov spojených so sčítaním pre orgány miestnej</w:t>
      </w:r>
      <w:r>
        <w:rPr>
          <w:szCs w:val="24"/>
        </w:rPr>
        <w:t xml:space="preserve"> </w:t>
      </w:r>
      <w:r>
        <w:rPr>
          <w:b w:val="0"/>
          <w:szCs w:val="24"/>
        </w:rPr>
        <w:t xml:space="preserve">štátnej správy a obce. </w:t>
      </w:r>
    </w:p>
    <w:p>
      <w:pPr>
        <w:pStyle w:val="BodyText2"/>
        <w:ind w:firstLine="708"/>
        <w:jc w:val="both"/>
        <w:rPr>
          <w:rFonts w:ascii="Times New Roman" w:hAnsi="Times New Roman" w:cs="Times New Roman"/>
          <w:b w:val="0"/>
          <w:szCs w:val="24"/>
        </w:rPr>
      </w:pPr>
      <w:r>
        <w:rPr>
          <w:b w:val="0"/>
          <w:szCs w:val="24"/>
        </w:rPr>
        <w:t>Navrhovaný zákon nemá vplyv na životné prostredie.</w:t>
      </w:r>
    </w:p>
    <w:p>
      <w:pPr>
        <w:ind w:firstLine="708"/>
        <w:jc w:val="both"/>
        <w:rPr>
          <w:szCs w:val="24"/>
        </w:rPr>
      </w:pPr>
      <w:r>
        <w:rPr>
          <w:szCs w:val="24"/>
        </w:rPr>
        <w:t>Zákon nemá vplyv na podnikateľské prostredie.</w:t>
      </w:r>
    </w:p>
    <w:p>
      <w:pPr>
        <w:jc w:val="both"/>
        <w:rPr>
          <w:rFonts w:ascii="Times New Roman" w:hAnsi="Times New Roman" w:cs="Times New Roman"/>
          <w:szCs w:val="24"/>
        </w:rPr>
      </w:pPr>
    </w:p>
    <w:p>
      <w:pPr>
        <w:jc w:val="both"/>
        <w:rPr>
          <w:rFonts w:ascii="Times New Roman" w:hAnsi="Times New Roman" w:cs="Times New Roman"/>
          <w:b/>
          <w:szCs w:val="24"/>
        </w:rPr>
      </w:pPr>
      <w:r>
        <w:rPr>
          <w:b/>
          <w:szCs w:val="24"/>
        </w:rPr>
        <w:t>1. Odhad dopadov na verejné financie</w:t>
      </w:r>
    </w:p>
    <w:p>
      <w:pPr>
        <w:pStyle w:val="BodyText2"/>
        <w:ind w:firstLine="708"/>
        <w:jc w:val="both"/>
        <w:rPr>
          <w:b w:val="0"/>
          <w:szCs w:val="24"/>
        </w:rPr>
      </w:pPr>
      <w:r>
        <w:rPr>
          <w:b w:val="0"/>
          <w:szCs w:val="24"/>
        </w:rPr>
        <w:t>Rozpočtové prostriedky v priebehu sčítania budú použité predovšetkým na  zabezpečenie a prípravu technológie a technického vybavenia spracovania výsledkov sčítania,  zabezpečenie tlače sčítacích tlačív, zber údajov, spracovanie údajov, realizáciu informačnej a propagačnej kampane o sčítaní, spracovanie technických projektov a následného programového vybavenia nevyhnutného pri spracovaní údajov zo sčítania, zabezpečenie prevodu údajov do elektronickej formy (optické snímanie), spracovanie a publikovanie kompletných definitívnych výsledkov zo sčítania.</w:t>
      </w:r>
    </w:p>
    <w:p>
      <w:pPr>
        <w:ind w:firstLine="708"/>
        <w:jc w:val="both"/>
        <w:rPr>
          <w:szCs w:val="24"/>
        </w:rPr>
      </w:pPr>
      <w:r>
        <w:rPr>
          <w:b/>
          <w:szCs w:val="24"/>
        </w:rPr>
        <w:t>Bežné výdavky Štatistického úradu Slovenskej republiky</w:t>
      </w:r>
      <w:r>
        <w:rPr>
          <w:szCs w:val="24"/>
        </w:rPr>
        <w:t xml:space="preserve"> spojené s prípravou, priebehom a realizáciou sčítania budú určené na zabezpečenie personálnej prípravy a na zabezpečenie materiálových a odborných predpokladov realizácie sčítania.</w:t>
      </w:r>
    </w:p>
    <w:p>
      <w:pPr>
        <w:jc w:val="both"/>
        <w:rPr>
          <w:szCs w:val="24"/>
        </w:rPr>
      </w:pPr>
      <w:r>
        <w:rPr>
          <w:szCs w:val="24"/>
        </w:rPr>
        <w:tab/>
        <w:t xml:space="preserve">Postupný a dočasný  nárast počtu zamestnancov v ôsmich odborných útvaroch Štatistického úradu Slovenskej republiky, ktorí budú zabezpečovať prípravu sčítania, priebeh a jeho realizáciu i spracovanie výsledkov je odôvodnený jednorazovým charakterom sčítania (raz za 10 rokov) a potrebou zabezpečiť koordináciu širokého okruhu spolupracovníkov (sčítací komisári, zainteresované ústredné a miestne štátne orgány, obce a vyššie územné celky). Ich priebežné prijímanie je odôvodnené postupným nárastom rozsahu prác pri príprave, priebehu a realizácie sčítania a potrebou ich odborného vyškolenia. </w:t>
      </w:r>
    </w:p>
    <w:p>
      <w:pPr>
        <w:pStyle w:val="BodyText"/>
        <w:rPr>
          <w:b w:val="0"/>
          <w:szCs w:val="24"/>
        </w:rPr>
      </w:pPr>
      <w:r>
        <w:rPr>
          <w:b w:val="0"/>
          <w:szCs w:val="24"/>
        </w:rPr>
        <w:t xml:space="preserve">         Po ukončení úloh súvisiacich s prípravou a realizáciou sčítania budú pracovné miesta zrušené. </w:t>
      </w:r>
    </w:p>
    <w:p>
      <w:pPr>
        <w:pStyle w:val="BodyText"/>
        <w:ind w:firstLine="708"/>
        <w:rPr>
          <w:b w:val="0"/>
          <w:szCs w:val="24"/>
        </w:rPr>
      </w:pPr>
      <w:r>
        <w:rPr>
          <w:b w:val="0"/>
          <w:szCs w:val="24"/>
        </w:rPr>
        <w:t>Personálne a finančné zabezpečenie sa bude realizovať v rámci záväzných limitov štátneho rozpočtu kapitoly Štatistického úradu Slovenskej republiky, resp. dotknutých kapitol na rok 2008 a nasledujúce roky.</w:t>
      </w:r>
    </w:p>
    <w:p>
      <w:pPr>
        <w:jc w:val="both"/>
        <w:rPr>
          <w:szCs w:val="24"/>
        </w:rPr>
      </w:pPr>
      <w:r>
        <w:rPr>
          <w:szCs w:val="24"/>
        </w:rPr>
        <w:tab/>
        <w:t>Určenie výšky miezd vychádza z priemerných miezd na Štatistickom úrade Slovenskej republiky v roku 2007 a z predpokladaného nárastu výšky miezd v priemere o 5 % ročne.</w:t>
      </w:r>
    </w:p>
    <w:p>
      <w:pPr>
        <w:jc w:val="both"/>
        <w:rPr>
          <w:szCs w:val="24"/>
        </w:rPr>
      </w:pPr>
    </w:p>
    <w:p>
      <w:pPr>
        <w:pStyle w:val="BodyText2"/>
        <w:rPr>
          <w:szCs w:val="24"/>
        </w:rPr>
      </w:pPr>
      <w:r>
        <w:rPr>
          <w:szCs w:val="24"/>
        </w:rPr>
        <w:t>Rozpis zamestnancov a mzdových nákladov Štatistického úradu Slovenskej republiky v  rokoch 2008 - 2014</w:t>
      </w:r>
    </w:p>
    <w:p>
      <w:pPr>
        <w:rPr>
          <w:szCs w:val="24"/>
        </w:rPr>
      </w:pPr>
    </w:p>
    <w:tbl>
      <w:tblPr>
        <w:tblW w:w="9219" w:type="dxa"/>
        <w:tblCellMar>
          <w:left w:w="0" w:type="dxa"/>
          <w:right w:w="0" w:type="dxa"/>
        </w:tblCellMar>
      </w:tblPr>
      <w:tblGrid>
        <w:gridCol w:w="2259"/>
        <w:gridCol w:w="860"/>
        <w:gridCol w:w="880"/>
        <w:gridCol w:w="960"/>
        <w:gridCol w:w="980"/>
        <w:gridCol w:w="800"/>
        <w:gridCol w:w="800"/>
        <w:gridCol w:w="760"/>
        <w:gridCol w:w="920"/>
      </w:tblGrid>
      <w:tr>
        <w:tblPrEx>
          <w:tblW w:w="9219" w:type="dxa"/>
          <w:tblCellMar>
            <w:left w:w="0" w:type="dxa"/>
            <w:right w:w="0" w:type="dxa"/>
          </w:tblCellMar>
        </w:tblPrEx>
        <w:trPr>
          <w:cantSplit/>
          <w:trHeight w:val="285"/>
        </w:trPr>
        <w:tc>
          <w:tcPr>
            <w:tcW w:w="2259" w:type="dxa"/>
            <w:vMerge w:val="restart"/>
            <w:tcBorders>
              <w:top w:val="single" w:sz="4" w:space="0" w:color="auto"/>
              <w:left w:val="single" w:sz="4" w:space="0" w:color="auto"/>
              <w:bottom w:val="single" w:sz="4" w:space="0" w:color="000000"/>
              <w:right w:val="single" w:sz="4" w:space="0" w:color="000000"/>
            </w:tcBorders>
            <w:tcMar>
              <w:top w:w="19" w:type="dxa"/>
              <w:left w:w="19" w:type="dxa"/>
              <w:bottom w:w="0" w:type="dxa"/>
              <w:right w:w="19" w:type="dxa"/>
            </w:tcMar>
            <w:textDirection w:val="lrTb"/>
            <w:vAlign w:val="top"/>
          </w:tcPr>
          <w:p>
            <w:pPr>
              <w:jc w:val="both"/>
              <w:rPr>
                <w:b/>
                <w:sz w:val="22"/>
                <w:szCs w:val="24"/>
              </w:rPr>
            </w:pPr>
            <w:r>
              <w:rPr>
                <w:b/>
                <w:sz w:val="22"/>
                <w:szCs w:val="24"/>
              </w:rPr>
              <w:t>Zamestnanci,</w:t>
            </w:r>
          </w:p>
          <w:p>
            <w:pPr>
              <w:jc w:val="both"/>
              <w:rPr>
                <w:rFonts w:eastAsia="Arial Unicode MS"/>
                <w:b/>
                <w:sz w:val="22"/>
                <w:szCs w:val="24"/>
              </w:rPr>
            </w:pPr>
            <w:r>
              <w:rPr>
                <w:b/>
                <w:sz w:val="22"/>
                <w:szCs w:val="24"/>
              </w:rPr>
              <w:t>mzdové výdavky</w:t>
            </w:r>
          </w:p>
        </w:tc>
        <w:tc>
          <w:tcPr>
            <w:tcW w:w="6040" w:type="dxa"/>
            <w:gridSpan w:val="7"/>
            <w:tcBorders>
              <w:top w:val="single" w:sz="4" w:space="0" w:color="auto"/>
              <w:left w:val="nil"/>
              <w:bottom w:val="single" w:sz="4" w:space="0" w:color="auto"/>
              <w:right w:val="single" w:sz="4" w:space="0" w:color="000000"/>
            </w:tcBorders>
            <w:noWrap/>
            <w:tcMar>
              <w:top w:w="19" w:type="dxa"/>
              <w:left w:w="19" w:type="dxa"/>
              <w:bottom w:w="0" w:type="dxa"/>
              <w:right w:w="19" w:type="dxa"/>
            </w:tcMar>
            <w:textDirection w:val="lrTb"/>
            <w:vAlign w:val="bottom"/>
          </w:tcPr>
          <w:p>
            <w:pPr>
              <w:jc w:val="center"/>
              <w:rPr>
                <w:rFonts w:eastAsia="Arial Unicode MS"/>
                <w:b/>
                <w:sz w:val="22"/>
                <w:szCs w:val="24"/>
              </w:rPr>
            </w:pPr>
            <w:r>
              <w:rPr>
                <w:b/>
                <w:sz w:val="22"/>
                <w:szCs w:val="24"/>
              </w:rPr>
              <w:t>Rok</w:t>
            </w:r>
          </w:p>
        </w:tc>
        <w:tc>
          <w:tcPr>
            <w:tcW w:w="920" w:type="dxa"/>
            <w:vMerge w:val="restart"/>
            <w:tcBorders>
              <w:top w:val="single" w:sz="4" w:space="0" w:color="auto"/>
              <w:left w:val="nil"/>
              <w:bottom w:val="single" w:sz="4" w:space="0" w:color="000000"/>
              <w:right w:val="single" w:sz="4" w:space="0" w:color="auto"/>
            </w:tcBorders>
            <w:tcMar>
              <w:top w:w="19" w:type="dxa"/>
              <w:left w:w="19" w:type="dxa"/>
              <w:bottom w:w="0" w:type="dxa"/>
              <w:right w:w="19" w:type="dxa"/>
            </w:tcMar>
            <w:textDirection w:val="lrTb"/>
            <w:vAlign w:val="top"/>
          </w:tcPr>
          <w:p>
            <w:pPr>
              <w:pStyle w:val="Heading1"/>
              <w:outlineLvl w:val="0"/>
              <w:rPr>
                <w:rFonts w:eastAsia="Arial Unicode MS"/>
                <w:szCs w:val="24"/>
              </w:rPr>
            </w:pPr>
            <w:r>
              <w:rPr>
                <w:szCs w:val="24"/>
              </w:rPr>
              <w:t>Úhrn</w:t>
            </w:r>
          </w:p>
        </w:tc>
      </w:tr>
      <w:tr>
        <w:tblPrEx>
          <w:tblW w:w="9219" w:type="dxa"/>
          <w:tblInd w:w="-14" w:type="dxa"/>
          <w:tblCellMar>
            <w:left w:w="0" w:type="dxa"/>
            <w:right w:w="0" w:type="dxa"/>
          </w:tblCellMar>
        </w:tblPrEx>
        <w:trPr>
          <w:cantSplit/>
          <w:trHeight w:val="435"/>
        </w:trPr>
        <w:tc>
          <w:tcPr>
            <w:tcW w:w="0" w:type="auto"/>
            <w:vMerge/>
            <w:tcBorders>
              <w:top w:val="single" w:sz="4" w:space="0" w:color="auto"/>
              <w:left w:val="single" w:sz="4" w:space="0" w:color="auto"/>
              <w:bottom w:val="single" w:sz="4" w:space="0" w:color="000000"/>
              <w:right w:val="single" w:sz="4" w:space="0" w:color="000000"/>
            </w:tcBorders>
            <w:textDirection w:val="lrTb"/>
            <w:vAlign w:val="center"/>
          </w:tcPr>
          <w:p>
            <w:pPr>
              <w:rPr>
                <w:rFonts w:eastAsia="Arial Unicode MS"/>
                <w:b/>
                <w:sz w:val="22"/>
                <w:szCs w:val="24"/>
              </w:rPr>
            </w:pPr>
          </w:p>
        </w:tc>
        <w:tc>
          <w:tcPr>
            <w:tcW w:w="860" w:type="dxa"/>
            <w:tcBorders>
              <w:top w:val="nil"/>
              <w:left w:val="nil"/>
              <w:bottom w:val="single" w:sz="4" w:space="0" w:color="auto"/>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2008</w:t>
            </w:r>
          </w:p>
        </w:tc>
        <w:tc>
          <w:tcPr>
            <w:tcW w:w="880" w:type="dxa"/>
            <w:tcBorders>
              <w:top w:val="nil"/>
              <w:left w:val="nil"/>
              <w:bottom w:val="single" w:sz="4" w:space="0" w:color="auto"/>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2009</w:t>
            </w:r>
          </w:p>
        </w:tc>
        <w:tc>
          <w:tcPr>
            <w:tcW w:w="960" w:type="dxa"/>
            <w:tcBorders>
              <w:top w:val="nil"/>
              <w:left w:val="nil"/>
              <w:bottom w:val="single" w:sz="4" w:space="0" w:color="auto"/>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2010</w:t>
            </w:r>
          </w:p>
        </w:tc>
        <w:tc>
          <w:tcPr>
            <w:tcW w:w="980" w:type="dxa"/>
            <w:tcBorders>
              <w:top w:val="nil"/>
              <w:left w:val="nil"/>
              <w:bottom w:val="single" w:sz="4" w:space="0" w:color="auto"/>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2011</w:t>
            </w:r>
          </w:p>
        </w:tc>
        <w:tc>
          <w:tcPr>
            <w:tcW w:w="800" w:type="dxa"/>
            <w:tcBorders>
              <w:top w:val="nil"/>
              <w:left w:val="nil"/>
              <w:bottom w:val="single" w:sz="4" w:space="0" w:color="auto"/>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2012</w:t>
            </w:r>
          </w:p>
        </w:tc>
        <w:tc>
          <w:tcPr>
            <w:tcW w:w="800" w:type="dxa"/>
            <w:tcBorders>
              <w:top w:val="nil"/>
              <w:left w:val="nil"/>
              <w:bottom w:val="single" w:sz="4" w:space="0" w:color="auto"/>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2013</w:t>
            </w:r>
          </w:p>
        </w:tc>
        <w:tc>
          <w:tcPr>
            <w:tcW w:w="760" w:type="dxa"/>
            <w:tcBorders>
              <w:top w:val="nil"/>
              <w:left w:val="nil"/>
              <w:bottom w:val="single" w:sz="4" w:space="0" w:color="auto"/>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2014</w:t>
            </w:r>
          </w:p>
        </w:tc>
        <w:tc>
          <w:tcPr>
            <w:tcW w:w="920" w:type="dxa"/>
            <w:vMerge/>
            <w:tcBorders>
              <w:top w:val="single" w:sz="4" w:space="0" w:color="auto"/>
              <w:left w:val="single" w:sz="4" w:space="0" w:color="auto"/>
              <w:bottom w:val="single" w:sz="4" w:space="0" w:color="000000"/>
              <w:right w:val="single" w:sz="4" w:space="0" w:color="auto"/>
            </w:tcBorders>
            <w:textDirection w:val="lrTb"/>
            <w:vAlign w:val="center"/>
          </w:tcPr>
          <w:p>
            <w:pPr>
              <w:rPr>
                <w:rFonts w:eastAsia="Arial Unicode MS"/>
                <w:b/>
                <w:sz w:val="22"/>
                <w:szCs w:val="24"/>
              </w:rPr>
            </w:pPr>
          </w:p>
        </w:tc>
      </w:tr>
      <w:tr>
        <w:tblPrEx>
          <w:tblW w:w="9219" w:type="dxa"/>
          <w:tblCellMar>
            <w:left w:w="0" w:type="dxa"/>
            <w:right w:w="0" w:type="dxa"/>
          </w:tblCellMar>
        </w:tblPrEx>
        <w:trPr>
          <w:trHeight w:val="300"/>
        </w:trPr>
        <w:tc>
          <w:tcPr>
            <w:tcW w:w="9219" w:type="dxa"/>
            <w:gridSpan w:val="9"/>
            <w:tcBorders>
              <w:top w:val="single" w:sz="4" w:space="0" w:color="auto"/>
              <w:left w:val="single" w:sz="4" w:space="0" w:color="auto"/>
              <w:bottom w:val="single" w:sz="4" w:space="0" w:color="auto"/>
              <w:right w:val="single" w:sz="4" w:space="0" w:color="000000"/>
            </w:tcBorders>
            <w:noWrap/>
            <w:tcMar>
              <w:top w:w="19" w:type="dxa"/>
              <w:left w:w="19" w:type="dxa"/>
              <w:bottom w:w="0" w:type="dxa"/>
              <w:right w:w="19" w:type="dxa"/>
            </w:tcMar>
            <w:textDirection w:val="lrTb"/>
            <w:vAlign w:val="bottom"/>
          </w:tcPr>
          <w:p>
            <w:pPr>
              <w:rPr>
                <w:rFonts w:eastAsia="Arial Unicode MS"/>
                <w:b/>
                <w:sz w:val="22"/>
                <w:szCs w:val="24"/>
              </w:rPr>
            </w:pPr>
            <w:r>
              <w:rPr>
                <w:sz w:val="22"/>
                <w:szCs w:val="24"/>
              </w:rPr>
              <w:t> </w:t>
            </w:r>
          </w:p>
        </w:tc>
      </w:tr>
      <w:tr>
        <w:tblPrEx>
          <w:tblW w:w="9219"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Počet zamestnancov </w:t>
            </w:r>
            <w:r>
              <w:rPr>
                <w:sz w:val="22"/>
                <w:szCs w:val="24"/>
                <w:vertAlign w:val="superscript"/>
              </w:rPr>
              <w:t>1/</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3</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16</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60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100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60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20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8</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X</w:t>
            </w:r>
          </w:p>
        </w:tc>
      </w:tr>
      <w:tr>
        <w:tblPrEx>
          <w:tblW w:w="9219"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sz w:val="22"/>
                <w:szCs w:val="24"/>
              </w:rPr>
            </w:pPr>
            <w:r>
              <w:rPr>
                <w:sz w:val="22"/>
                <w:szCs w:val="24"/>
              </w:rPr>
              <w:t xml:space="preserve">  Mzdové náklady </w:t>
            </w:r>
            <w:r>
              <w:rPr>
                <w:sz w:val="22"/>
                <w:szCs w:val="24"/>
                <w:vertAlign w:val="superscript"/>
              </w:rPr>
              <w:t>2/</w:t>
            </w:r>
          </w:p>
          <w:p>
            <w:pPr>
              <w:rPr>
                <w:rFonts w:eastAsia="Arial Unicode MS"/>
                <w:sz w:val="22"/>
                <w:szCs w:val="24"/>
              </w:rPr>
            </w:pPr>
            <w:r>
              <w:rPr>
                <w:sz w:val="22"/>
                <w:szCs w:val="24"/>
              </w:rPr>
              <w:t>(vrátane poistného)</w:t>
            </w:r>
          </w:p>
        </w:tc>
        <w:tc>
          <w:tcPr>
            <w:tcW w:w="0" w:type="auto"/>
            <w:tcBorders>
              <w:top w:val="single" w:sz="4" w:space="0" w:color="auto"/>
              <w:left w:val="nil"/>
              <w:bottom w:val="single" w:sz="4" w:space="0" w:color="auto"/>
              <w:right w:val="single" w:sz="4" w:space="0" w:color="auto"/>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1 296</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7 821</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27 103</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46 079</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29 882</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11 946</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5 121</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center"/>
              <w:rPr>
                <w:rFonts w:eastAsia="Arial Unicode MS"/>
                <w:sz w:val="22"/>
                <w:szCs w:val="24"/>
              </w:rPr>
            </w:pPr>
            <w:r>
              <w:rPr>
                <w:rFonts w:eastAsia="Arial Unicode MS"/>
                <w:sz w:val="22"/>
                <w:szCs w:val="24"/>
              </w:rPr>
              <w:t>129 248</w:t>
            </w:r>
          </w:p>
        </w:tc>
      </w:tr>
    </w:tbl>
    <w:p>
      <w:pPr>
        <w:pStyle w:val="odrkaa"/>
        <w:spacing w:line="240" w:lineRule="auto"/>
        <w:rPr>
          <w:rFonts w:ascii="Arial" w:hAnsi="Arial" w:cs="Arial"/>
          <w:sz w:val="20"/>
          <w:szCs w:val="24"/>
          <w:lang w:val="sk-SK"/>
        </w:rPr>
      </w:pPr>
      <w:r>
        <w:rPr>
          <w:rFonts w:ascii="Arial" w:hAnsi="Arial" w:cs="Arial"/>
          <w:sz w:val="20"/>
          <w:szCs w:val="24"/>
          <w:vertAlign w:val="superscript"/>
          <w:lang w:val="sk-SK"/>
        </w:rPr>
        <w:t>1/</w:t>
      </w:r>
      <w:r>
        <w:rPr>
          <w:rFonts w:ascii="Arial" w:hAnsi="Arial" w:cs="Arial"/>
          <w:sz w:val="20"/>
          <w:szCs w:val="24"/>
          <w:lang w:val="sk-SK"/>
        </w:rPr>
        <w:t xml:space="preserve"> prepočítané počty</w:t>
      </w:r>
    </w:p>
    <w:p>
      <w:pPr>
        <w:pStyle w:val="odrkaa"/>
        <w:spacing w:line="240" w:lineRule="auto"/>
        <w:rPr>
          <w:rFonts w:ascii="Arial" w:hAnsi="Arial" w:cs="Arial"/>
          <w:sz w:val="20"/>
          <w:szCs w:val="24"/>
          <w:lang w:val="sk-SK"/>
        </w:rPr>
      </w:pPr>
      <w:r>
        <w:rPr>
          <w:rFonts w:ascii="Arial" w:hAnsi="Arial" w:cs="Arial"/>
          <w:sz w:val="20"/>
          <w:szCs w:val="24"/>
          <w:vertAlign w:val="superscript"/>
          <w:lang w:val="sk-SK"/>
        </w:rPr>
        <w:t xml:space="preserve">2/ </w:t>
      </w:r>
      <w:r>
        <w:rPr>
          <w:rFonts w:ascii="Arial" w:hAnsi="Arial" w:cs="Arial"/>
          <w:sz w:val="20"/>
          <w:szCs w:val="24"/>
          <w:lang w:val="sk-SK"/>
        </w:rPr>
        <w:t>v tis. Sk</w:t>
      </w:r>
    </w:p>
    <w:p>
      <w:pPr>
        <w:pStyle w:val="odrkaa"/>
        <w:spacing w:line="240" w:lineRule="auto"/>
        <w:rPr>
          <w:rFonts w:ascii="Arial" w:hAnsi="Arial" w:cs="Arial"/>
          <w:szCs w:val="24"/>
          <w:lang w:val="sk-SK"/>
        </w:rPr>
      </w:pPr>
    </w:p>
    <w:p>
      <w:pPr>
        <w:ind w:firstLine="708"/>
        <w:jc w:val="both"/>
        <w:rPr>
          <w:szCs w:val="24"/>
        </w:rPr>
      </w:pPr>
      <w:r>
        <w:rPr>
          <w:szCs w:val="24"/>
        </w:rPr>
        <w:t>Postupné a prechodné zvýšenie počtu zamestnancov v jednotlivých rokoch 2008 až 2014 spôsobí nevyhnutné prijatie nových odborných zamestnancov na ôsmich stálych pracoviskách Štatistického úradu</w:t>
      </w:r>
      <w:r>
        <w:rPr>
          <w:i/>
          <w:szCs w:val="24"/>
        </w:rPr>
        <w:t xml:space="preserve"> </w:t>
      </w:r>
      <w:r>
        <w:rPr>
          <w:szCs w:val="24"/>
        </w:rPr>
        <w:t xml:space="preserve">Slovenskej republiky. Títo zamestnanci budú prijatí na dobu určitú, budú realizovať vlastnú prípravu sčítania, jeho uskutočnenie a spracovanie získaných údajov. Najviac ich bude v čase zabezpečenia priameho výkonu sčítania v období júl 2010 až jún 2012. </w:t>
      </w:r>
    </w:p>
    <w:p>
      <w:pPr>
        <w:jc w:val="both"/>
        <w:rPr>
          <w:szCs w:val="24"/>
        </w:rPr>
      </w:pPr>
      <w:r>
        <w:rPr>
          <w:szCs w:val="24"/>
        </w:rPr>
        <w:tab/>
        <w:t>Výdavky na cestovné sú</w:t>
      </w:r>
      <w:r>
        <w:rPr>
          <w:i/>
          <w:szCs w:val="24"/>
        </w:rPr>
        <w:t xml:space="preserve"> </w:t>
      </w:r>
      <w:r>
        <w:rPr>
          <w:szCs w:val="24"/>
        </w:rPr>
        <w:t>spojené so zabezpečením odborného školenia sčítacích komisárov.</w:t>
      </w:r>
    </w:p>
    <w:p>
      <w:pPr>
        <w:jc w:val="both"/>
        <w:rPr>
          <w:szCs w:val="24"/>
        </w:rPr>
      </w:pPr>
      <w:r>
        <w:rPr>
          <w:szCs w:val="24"/>
        </w:rPr>
        <w:tab/>
        <w:t>Podstatnú časť výdavkov na materiál a dodávky predstavujú výdavky na výrobu sčítacích tlačív.</w:t>
      </w:r>
    </w:p>
    <w:p>
      <w:pPr>
        <w:jc w:val="both"/>
        <w:rPr>
          <w:szCs w:val="24"/>
        </w:rPr>
      </w:pPr>
      <w:r>
        <w:rPr>
          <w:szCs w:val="24"/>
        </w:rPr>
        <w:tab/>
        <w:t>V položke ostatné tovary a služby sú výdavky určené na zabezpečenie spracovania odborných podkladov, analýz a auditov súvisiacich s koncepčnou prípravou sčítania, ako aj so zabezpečením jednotlivých etáp uskutočnenia samotného sčítania a spracovania jeho výsledkov. Ďalej sú tu zahrnuté výdavky na školenie pracovníkov uskutočňujúcich sčítanie, odmeny sčítacím komisárom a pre obsluhu potrebnej techniky a na kontrolu sčítacieho materiálu. V rámci tejto položky sú zahrnuté aj prostriedky na propagáciu sčítania obyvateľov, domov a bytov.</w:t>
      </w:r>
    </w:p>
    <w:p>
      <w:pPr>
        <w:jc w:val="both"/>
        <w:rPr>
          <w:szCs w:val="24"/>
        </w:rPr>
      </w:pPr>
    </w:p>
    <w:p>
      <w:pPr>
        <w:jc w:val="both"/>
        <w:rPr>
          <w:szCs w:val="24"/>
        </w:rPr>
      </w:pPr>
      <w:r>
        <w:rPr>
          <w:szCs w:val="24"/>
        </w:rPr>
        <w:tab/>
      </w:r>
      <w:r>
        <w:rPr>
          <w:b/>
          <w:szCs w:val="24"/>
        </w:rPr>
        <w:t>Kapitálové výdavky v rezorte Štatistického úradu Slovenskej republiky</w:t>
      </w:r>
      <w:r>
        <w:rPr>
          <w:szCs w:val="24"/>
        </w:rPr>
        <w:t xml:space="preserve"> sú určené tak na zabezpečenie technológie záznamu, kontroly a spracovania údajov zo sčítania, ako aj na zabezpečenie prezentácie výsledkov sčítania.</w:t>
      </w:r>
    </w:p>
    <w:p>
      <w:pPr>
        <w:jc w:val="both"/>
        <w:rPr>
          <w:szCs w:val="24"/>
        </w:rPr>
      </w:pPr>
      <w:r>
        <w:rPr>
          <w:szCs w:val="24"/>
        </w:rPr>
        <w:tab/>
        <w:t>V rokoch 2008 až 2010 sú kapitálové výdavky určené predovšetkým na zabezpečenie testovania technológií na záznam údajov zo sčítania (potreba zabezpečiť technológiu, ktorou je možné v krátkom časovom období zabezpečiť záznam veľkého objemu údajov), testovanie technológií spracovania údajov (záznam a kontrola údajov), testovanie technológií súvisiacich s prezentáciou výsledkov sčítania (geografický informačný systém, záznam údajov na CD a pod.), ako aj na zabezpečenie potrebných technológií pre záznam a spracovanie údajov zo sčítania.</w:t>
      </w:r>
    </w:p>
    <w:p>
      <w:pPr>
        <w:ind w:firstLine="708"/>
        <w:jc w:val="both"/>
        <w:rPr>
          <w:szCs w:val="24"/>
        </w:rPr>
      </w:pPr>
      <w:r>
        <w:rPr>
          <w:szCs w:val="24"/>
        </w:rPr>
        <w:t>V rokoch 2011 a 2012 sú výdavky spojené so zabezpečením technológie na prezentáciu a poskytovanie výsledkov sčítania.</w:t>
      </w:r>
    </w:p>
    <w:p>
      <w:pPr>
        <w:pStyle w:val="BodyText"/>
        <w:ind w:firstLine="708"/>
        <w:rPr>
          <w:b w:val="0"/>
          <w:szCs w:val="24"/>
        </w:rPr>
      </w:pPr>
      <w:r>
        <w:rPr>
          <w:b w:val="0"/>
          <w:szCs w:val="24"/>
        </w:rPr>
        <w:t>Kapitálové výdavky sú proporcionálne rozdelené na nákup potrebnej techniky, ako aj nevyhnutných špeciálnych softvérových produktov na zabezpečenie štatistických činností a bezpečnosti informačných systémov súvisiacich so spracovaním údajov zo sčítania.</w:t>
      </w:r>
    </w:p>
    <w:p>
      <w:pPr>
        <w:pStyle w:val="BodyText2"/>
        <w:ind w:firstLine="708"/>
        <w:jc w:val="both"/>
        <w:rPr>
          <w:b w:val="0"/>
          <w:szCs w:val="24"/>
        </w:rPr>
      </w:pPr>
      <w:r>
        <w:rPr>
          <w:b w:val="0"/>
          <w:szCs w:val="24"/>
        </w:rPr>
        <w:t>Technológia zakúpená na spracovanie a publikovanie výsledkov zostane po sčítaní na Štatistickom úrade Slovenskej republiky. Bude využitá na</w:t>
      </w:r>
      <w:r>
        <w:rPr>
          <w:szCs w:val="24"/>
        </w:rPr>
        <w:t xml:space="preserve"> </w:t>
      </w:r>
      <w:r>
        <w:rPr>
          <w:b w:val="0"/>
          <w:szCs w:val="24"/>
        </w:rPr>
        <w:t xml:space="preserve">spracovanie údajov plánovaných štatistických zisťovaní. </w:t>
      </w:r>
    </w:p>
    <w:p>
      <w:pPr>
        <w:ind w:firstLine="708"/>
        <w:jc w:val="both"/>
        <w:rPr>
          <w:szCs w:val="24"/>
        </w:rPr>
      </w:pPr>
    </w:p>
    <w:p>
      <w:pPr>
        <w:ind w:firstLine="708"/>
        <w:jc w:val="both"/>
        <w:rPr>
          <w:szCs w:val="24"/>
        </w:rPr>
      </w:pPr>
      <w:r>
        <w:rPr>
          <w:szCs w:val="24"/>
        </w:rPr>
        <w:t xml:space="preserve">Výdavky pre </w:t>
      </w:r>
      <w:r>
        <w:rPr>
          <w:b/>
          <w:szCs w:val="24"/>
        </w:rPr>
        <w:t>Ministerstvo životného prostredia Slovenskej republiky</w:t>
      </w:r>
      <w:r>
        <w:rPr>
          <w:szCs w:val="24"/>
        </w:rPr>
        <w:t xml:space="preserve"> sú určené na zabezpečenie revízie základných sídelných jednotiek ako nevyhnutného predpokladu pre realizáciu tohto zisťovania.</w:t>
      </w:r>
    </w:p>
    <w:p>
      <w:pPr>
        <w:jc w:val="both"/>
        <w:rPr>
          <w:b/>
          <w:szCs w:val="24"/>
        </w:rPr>
      </w:pPr>
    </w:p>
    <w:p>
      <w:pPr>
        <w:ind w:firstLine="708"/>
        <w:jc w:val="both"/>
        <w:rPr>
          <w:szCs w:val="24"/>
        </w:rPr>
      </w:pPr>
      <w:r>
        <w:rPr>
          <w:szCs w:val="24"/>
        </w:rPr>
        <w:t xml:space="preserve">Rozpočtové prostriedky </w:t>
      </w:r>
      <w:r>
        <w:rPr>
          <w:b/>
          <w:szCs w:val="24"/>
        </w:rPr>
        <w:t>Úradu geodézie, kartografie a katastra Slovenskej republiky</w:t>
      </w:r>
      <w:r>
        <w:rPr>
          <w:szCs w:val="24"/>
        </w:rPr>
        <w:t xml:space="preserve"> sú spojené s úlohami súvisiacimi s prípravou mapových podkladov pre revíziu základných sídelných jednotiek.</w:t>
      </w:r>
    </w:p>
    <w:p>
      <w:pPr>
        <w:ind w:firstLine="708"/>
        <w:jc w:val="both"/>
        <w:rPr>
          <w:szCs w:val="24"/>
        </w:rPr>
      </w:pPr>
    </w:p>
    <w:p>
      <w:pPr>
        <w:pStyle w:val="BodyText2"/>
        <w:ind w:firstLine="708"/>
        <w:jc w:val="both"/>
        <w:rPr>
          <w:b w:val="0"/>
          <w:szCs w:val="24"/>
        </w:rPr>
      </w:pPr>
      <w:r>
        <w:rPr>
          <w:b w:val="0"/>
          <w:szCs w:val="24"/>
        </w:rPr>
        <w:t xml:space="preserve">Výdavky pre </w:t>
      </w:r>
      <w:r>
        <w:rPr>
          <w:szCs w:val="24"/>
        </w:rPr>
        <w:t>obvodné úrady</w:t>
      </w:r>
      <w:r>
        <w:rPr>
          <w:b w:val="0"/>
          <w:szCs w:val="24"/>
        </w:rPr>
        <w:t xml:space="preserve"> sú určené na nevyhnutné materiálové náklady a služby spojené s prípravou a vykonaním sčítania. </w:t>
      </w:r>
    </w:p>
    <w:p>
      <w:pPr>
        <w:ind w:firstLine="708"/>
        <w:jc w:val="both"/>
        <w:rPr>
          <w:szCs w:val="24"/>
        </w:rPr>
      </w:pPr>
    </w:p>
    <w:p>
      <w:pPr>
        <w:pStyle w:val="BodyText2"/>
        <w:ind w:firstLine="708"/>
        <w:jc w:val="both"/>
        <w:rPr>
          <w:b w:val="0"/>
          <w:szCs w:val="24"/>
        </w:rPr>
      </w:pPr>
      <w:r>
        <w:rPr>
          <w:b w:val="0"/>
          <w:szCs w:val="24"/>
        </w:rPr>
        <w:t xml:space="preserve">Výdavky </w:t>
      </w:r>
      <w:r>
        <w:rPr>
          <w:szCs w:val="24"/>
        </w:rPr>
        <w:t>vyšších územných celkov</w:t>
      </w:r>
      <w:r>
        <w:rPr>
          <w:b w:val="0"/>
          <w:szCs w:val="24"/>
        </w:rPr>
        <w:t xml:space="preserve"> sú určené na zabezpečenie propagačnej a informačnej kampane sčítania. </w:t>
      </w:r>
    </w:p>
    <w:p>
      <w:pPr>
        <w:ind w:firstLine="708"/>
        <w:jc w:val="both"/>
        <w:rPr>
          <w:szCs w:val="24"/>
        </w:rPr>
      </w:pPr>
    </w:p>
    <w:p>
      <w:pPr>
        <w:ind w:firstLine="708"/>
        <w:jc w:val="both"/>
        <w:rPr>
          <w:szCs w:val="24"/>
        </w:rPr>
      </w:pPr>
      <w:r>
        <w:rPr>
          <w:szCs w:val="24"/>
        </w:rPr>
        <w:t xml:space="preserve">Rozpočtové prostriedky pre </w:t>
      </w:r>
      <w:r>
        <w:rPr>
          <w:b/>
          <w:szCs w:val="24"/>
        </w:rPr>
        <w:t>obce</w:t>
      </w:r>
      <w:r>
        <w:rPr>
          <w:szCs w:val="24"/>
        </w:rPr>
        <w:t xml:space="preserve"> sú určené na odmeny pre sčítacích komisárov a na úhradu nevyhnutných nákladov spojených so zabezpečením prípravy a vykonania sčítania.</w:t>
      </w:r>
    </w:p>
    <w:p>
      <w:pPr>
        <w:jc w:val="both"/>
        <w:rPr>
          <w:szCs w:val="24"/>
        </w:rPr>
      </w:pPr>
    </w:p>
    <w:p>
      <w:pPr>
        <w:ind w:firstLine="708"/>
        <w:jc w:val="both"/>
        <w:rPr>
          <w:szCs w:val="24"/>
        </w:rPr>
      </w:pPr>
      <w:r>
        <w:rPr>
          <w:szCs w:val="24"/>
        </w:rPr>
        <w:t>Celkové predpokladané náklady na zabezpečenie prípravy, priebehu a realizácie sčítania ako aj spracovania a publikovania výsledkov v prepočte na jedného obyvateľa predstavujú cca 170 Sk.</w:t>
      </w:r>
    </w:p>
    <w:p>
      <w:pPr>
        <w:jc w:val="both"/>
        <w:rPr>
          <w:szCs w:val="24"/>
        </w:rPr>
      </w:pPr>
    </w:p>
    <w:p>
      <w:pPr>
        <w:jc w:val="both"/>
        <w:rPr>
          <w:szCs w:val="24"/>
        </w:rPr>
      </w:pPr>
    </w:p>
    <w:p>
      <w:pPr>
        <w:jc w:val="both"/>
        <w:rPr>
          <w:szCs w:val="24"/>
        </w:rPr>
      </w:pPr>
    </w:p>
    <w:p>
      <w:pPr>
        <w:jc w:val="both"/>
        <w:rPr>
          <w:szCs w:val="24"/>
        </w:rPr>
      </w:pPr>
    </w:p>
    <w:p>
      <w:pPr>
        <w:jc w:val="both"/>
        <w:rPr>
          <w:szCs w:val="24"/>
        </w:rPr>
      </w:pPr>
    </w:p>
    <w:p>
      <w:pPr>
        <w:jc w:val="both"/>
        <w:rPr>
          <w:szCs w:val="24"/>
        </w:rPr>
      </w:pPr>
    </w:p>
    <w:p>
      <w:pPr>
        <w:jc w:val="both"/>
        <w:rPr>
          <w:szCs w:val="24"/>
        </w:rPr>
      </w:pPr>
    </w:p>
    <w:p>
      <w:pPr>
        <w:jc w:val="both"/>
        <w:rPr>
          <w:szCs w:val="24"/>
        </w:rPr>
      </w:pPr>
    </w:p>
    <w:p>
      <w:pPr>
        <w:jc w:val="both"/>
        <w:rPr>
          <w:szCs w:val="24"/>
        </w:rPr>
      </w:pPr>
    </w:p>
    <w:p>
      <w:pPr>
        <w:pStyle w:val="odrkaa"/>
        <w:spacing w:line="240" w:lineRule="auto"/>
        <w:rPr>
          <w:rFonts w:ascii="Arial" w:hAnsi="Arial" w:cs="Arial"/>
          <w:szCs w:val="24"/>
          <w:lang w:val="sk-SK"/>
        </w:rPr>
      </w:pPr>
    </w:p>
    <w:p>
      <w:pPr>
        <w:jc w:val="both"/>
        <w:rPr>
          <w:szCs w:val="24"/>
        </w:rPr>
      </w:pPr>
    </w:p>
    <w:p>
      <w:pPr>
        <w:jc w:val="both"/>
        <w:rPr>
          <w:szCs w:val="24"/>
        </w:rPr>
      </w:pPr>
    </w:p>
    <w:p>
      <w:pPr>
        <w:jc w:val="both"/>
        <w:rPr>
          <w:szCs w:val="24"/>
        </w:rPr>
      </w:pPr>
    </w:p>
    <w:p>
      <w:pPr>
        <w:jc w:val="both"/>
        <w:rPr>
          <w:szCs w:val="24"/>
        </w:rPr>
      </w:pPr>
    </w:p>
    <w:p>
      <w:pPr>
        <w:jc w:val="both"/>
        <w:rPr>
          <w:szCs w:val="24"/>
        </w:rPr>
      </w:pPr>
    </w:p>
    <w:p>
      <w:pPr>
        <w:jc w:val="both"/>
        <w:rPr>
          <w:szCs w:val="24"/>
        </w:rPr>
      </w:pPr>
    </w:p>
    <w:p>
      <w:pPr>
        <w:jc w:val="both"/>
        <w:rPr>
          <w:szCs w:val="24"/>
        </w:rPr>
      </w:pPr>
    </w:p>
    <w:p>
      <w:pPr>
        <w:jc w:val="both"/>
        <w:rPr>
          <w:szCs w:val="24"/>
        </w:rPr>
      </w:pPr>
    </w:p>
    <w:p>
      <w:pPr>
        <w:pStyle w:val="Heading9"/>
        <w:jc w:val="center"/>
        <w:outlineLvl w:val="8"/>
        <w:rPr>
          <w:color w:val="auto"/>
          <w:szCs w:val="24"/>
        </w:rPr>
      </w:pPr>
      <w:r>
        <w:rPr>
          <w:color w:val="auto"/>
          <w:szCs w:val="24"/>
        </w:rPr>
        <w:t>Návrh rozpočtového zabezpečenia</w:t>
      </w:r>
    </w:p>
    <w:p>
      <w:pPr>
        <w:jc w:val="right"/>
        <w:rPr>
          <w:szCs w:val="24"/>
        </w:rPr>
      </w:pPr>
      <w:r>
        <w:rPr>
          <w:b/>
          <w:szCs w:val="24"/>
        </w:rPr>
        <w:t>sčítania obyvateľov, domov a bytov v rokoch 2008 – 2014</w:t>
        <w:tab/>
      </w:r>
      <w:r>
        <w:rPr>
          <w:szCs w:val="24"/>
        </w:rPr>
        <w:tab/>
      </w:r>
    </w:p>
    <w:p>
      <w:pPr>
        <w:jc w:val="right"/>
        <w:rPr>
          <w:szCs w:val="24"/>
        </w:rPr>
      </w:pPr>
      <w:r>
        <w:rPr>
          <w:szCs w:val="24"/>
        </w:rPr>
        <w:tab/>
        <w:t xml:space="preserve">           v tis. Sk</w:t>
      </w:r>
    </w:p>
    <w:tbl>
      <w:tblPr>
        <w:tblW w:w="9140" w:type="dxa"/>
        <w:tblCellMar>
          <w:left w:w="0" w:type="dxa"/>
          <w:right w:w="0" w:type="dxa"/>
        </w:tblCellMar>
      </w:tblPr>
      <w:tblGrid>
        <w:gridCol w:w="2180"/>
        <w:gridCol w:w="860"/>
        <w:gridCol w:w="880"/>
        <w:gridCol w:w="960"/>
        <w:gridCol w:w="980"/>
        <w:gridCol w:w="800"/>
        <w:gridCol w:w="800"/>
        <w:gridCol w:w="760"/>
        <w:gridCol w:w="920"/>
      </w:tblGrid>
      <w:tr>
        <w:tblPrEx>
          <w:tblW w:w="9140" w:type="dxa"/>
          <w:tblCellMar>
            <w:left w:w="0" w:type="dxa"/>
            <w:right w:w="0" w:type="dxa"/>
          </w:tblCellMar>
        </w:tblPrEx>
        <w:trPr>
          <w:cantSplit/>
          <w:trHeight w:val="285"/>
        </w:trPr>
        <w:tc>
          <w:tcPr>
            <w:tcW w:w="2180" w:type="dxa"/>
            <w:vMerge w:val="restart"/>
            <w:tcBorders>
              <w:top w:val="single" w:sz="4" w:space="0" w:color="auto"/>
              <w:left w:val="single" w:sz="4" w:space="0" w:color="auto"/>
              <w:bottom w:val="single" w:sz="4" w:space="0" w:color="000000"/>
              <w:right w:val="single" w:sz="4" w:space="0" w:color="000000"/>
            </w:tcBorders>
            <w:tcMar>
              <w:top w:w="19" w:type="dxa"/>
              <w:left w:w="19" w:type="dxa"/>
              <w:bottom w:w="0" w:type="dxa"/>
              <w:right w:w="19" w:type="dxa"/>
            </w:tcMar>
            <w:textDirection w:val="lrTb"/>
            <w:vAlign w:val="top"/>
          </w:tcPr>
          <w:p>
            <w:pPr>
              <w:jc w:val="both"/>
              <w:rPr>
                <w:rFonts w:eastAsia="Arial Unicode MS"/>
                <w:b/>
                <w:sz w:val="22"/>
                <w:szCs w:val="24"/>
              </w:rPr>
            </w:pPr>
            <w:r>
              <w:rPr>
                <w:b/>
                <w:sz w:val="22"/>
                <w:szCs w:val="24"/>
              </w:rPr>
              <w:t>Výdavkové položky, rezort</w:t>
            </w:r>
          </w:p>
        </w:tc>
        <w:tc>
          <w:tcPr>
            <w:tcW w:w="6040" w:type="dxa"/>
            <w:gridSpan w:val="7"/>
            <w:tcBorders>
              <w:top w:val="single" w:sz="4" w:space="0" w:color="auto"/>
              <w:left w:val="nil"/>
              <w:bottom w:val="single" w:sz="4" w:space="0" w:color="auto"/>
              <w:right w:val="single" w:sz="4" w:space="0" w:color="000000"/>
            </w:tcBorders>
            <w:noWrap/>
            <w:tcMar>
              <w:top w:w="19" w:type="dxa"/>
              <w:left w:w="19" w:type="dxa"/>
              <w:bottom w:w="0" w:type="dxa"/>
              <w:right w:w="19" w:type="dxa"/>
            </w:tcMar>
            <w:textDirection w:val="lrTb"/>
            <w:vAlign w:val="bottom"/>
          </w:tcPr>
          <w:p>
            <w:pPr>
              <w:jc w:val="center"/>
              <w:rPr>
                <w:rFonts w:eastAsia="Arial Unicode MS"/>
                <w:b/>
                <w:sz w:val="22"/>
                <w:szCs w:val="24"/>
              </w:rPr>
            </w:pPr>
            <w:r>
              <w:rPr>
                <w:b/>
                <w:sz w:val="22"/>
                <w:szCs w:val="24"/>
              </w:rPr>
              <w:t>Rok</w:t>
            </w:r>
          </w:p>
        </w:tc>
        <w:tc>
          <w:tcPr>
            <w:tcW w:w="920" w:type="dxa"/>
            <w:vMerge w:val="restart"/>
            <w:tcBorders>
              <w:top w:val="single" w:sz="4" w:space="0" w:color="auto"/>
              <w:left w:val="nil"/>
              <w:bottom w:val="single" w:sz="4" w:space="0" w:color="000000"/>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Úhrn</w:t>
            </w:r>
          </w:p>
        </w:tc>
      </w:tr>
      <w:tr>
        <w:tblPrEx>
          <w:tblW w:w="9140" w:type="dxa"/>
          <w:tblInd w:w="-14" w:type="dxa"/>
          <w:tblCellMar>
            <w:left w:w="0" w:type="dxa"/>
            <w:right w:w="0" w:type="dxa"/>
          </w:tblCellMar>
        </w:tblPrEx>
        <w:trPr>
          <w:cantSplit/>
          <w:trHeight w:val="435"/>
        </w:trPr>
        <w:tc>
          <w:tcPr>
            <w:tcW w:w="0" w:type="auto"/>
            <w:vMerge/>
            <w:tcBorders>
              <w:top w:val="single" w:sz="4" w:space="0" w:color="auto"/>
              <w:left w:val="single" w:sz="4" w:space="0" w:color="auto"/>
              <w:bottom w:val="single" w:sz="4" w:space="0" w:color="000000"/>
              <w:right w:val="single" w:sz="4" w:space="0" w:color="000000"/>
            </w:tcBorders>
            <w:textDirection w:val="lrTb"/>
            <w:vAlign w:val="center"/>
          </w:tcPr>
          <w:p>
            <w:pPr>
              <w:rPr>
                <w:rFonts w:eastAsia="Arial Unicode MS"/>
                <w:b/>
                <w:sz w:val="22"/>
                <w:szCs w:val="24"/>
              </w:rPr>
            </w:pPr>
          </w:p>
        </w:tc>
        <w:tc>
          <w:tcPr>
            <w:tcW w:w="860" w:type="dxa"/>
            <w:tcBorders>
              <w:top w:val="nil"/>
              <w:left w:val="nil"/>
              <w:bottom w:val="single" w:sz="4" w:space="0" w:color="auto"/>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2008</w:t>
            </w:r>
          </w:p>
        </w:tc>
        <w:tc>
          <w:tcPr>
            <w:tcW w:w="880" w:type="dxa"/>
            <w:tcBorders>
              <w:top w:val="nil"/>
              <w:left w:val="nil"/>
              <w:bottom w:val="single" w:sz="4" w:space="0" w:color="auto"/>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2009</w:t>
            </w:r>
          </w:p>
        </w:tc>
        <w:tc>
          <w:tcPr>
            <w:tcW w:w="960" w:type="dxa"/>
            <w:tcBorders>
              <w:top w:val="nil"/>
              <w:left w:val="nil"/>
              <w:bottom w:val="single" w:sz="4" w:space="0" w:color="auto"/>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2010</w:t>
            </w:r>
          </w:p>
        </w:tc>
        <w:tc>
          <w:tcPr>
            <w:tcW w:w="980" w:type="dxa"/>
            <w:tcBorders>
              <w:top w:val="nil"/>
              <w:left w:val="nil"/>
              <w:bottom w:val="single" w:sz="4" w:space="0" w:color="auto"/>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2011</w:t>
            </w:r>
          </w:p>
        </w:tc>
        <w:tc>
          <w:tcPr>
            <w:tcW w:w="800" w:type="dxa"/>
            <w:tcBorders>
              <w:top w:val="nil"/>
              <w:left w:val="nil"/>
              <w:bottom w:val="single" w:sz="4" w:space="0" w:color="auto"/>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2012</w:t>
            </w:r>
          </w:p>
        </w:tc>
        <w:tc>
          <w:tcPr>
            <w:tcW w:w="800" w:type="dxa"/>
            <w:tcBorders>
              <w:top w:val="nil"/>
              <w:left w:val="nil"/>
              <w:bottom w:val="single" w:sz="4" w:space="0" w:color="auto"/>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2013</w:t>
            </w:r>
          </w:p>
        </w:tc>
        <w:tc>
          <w:tcPr>
            <w:tcW w:w="760" w:type="dxa"/>
            <w:tcBorders>
              <w:top w:val="nil"/>
              <w:left w:val="nil"/>
              <w:bottom w:val="single" w:sz="4" w:space="0" w:color="auto"/>
              <w:right w:val="single" w:sz="4" w:space="0" w:color="auto"/>
            </w:tcBorders>
            <w:tcMar>
              <w:top w:w="19" w:type="dxa"/>
              <w:left w:w="19" w:type="dxa"/>
              <w:bottom w:w="0" w:type="dxa"/>
              <w:right w:w="19" w:type="dxa"/>
            </w:tcMar>
            <w:textDirection w:val="lrTb"/>
            <w:vAlign w:val="top"/>
          </w:tcPr>
          <w:p>
            <w:pPr>
              <w:jc w:val="center"/>
              <w:rPr>
                <w:rFonts w:eastAsia="Arial Unicode MS"/>
                <w:b/>
                <w:sz w:val="22"/>
                <w:szCs w:val="24"/>
              </w:rPr>
            </w:pPr>
            <w:r>
              <w:rPr>
                <w:b/>
                <w:sz w:val="22"/>
                <w:szCs w:val="24"/>
              </w:rPr>
              <w:t>2014</w:t>
            </w:r>
          </w:p>
        </w:tc>
        <w:tc>
          <w:tcPr>
            <w:tcW w:w="920" w:type="dxa"/>
            <w:vMerge/>
            <w:tcBorders>
              <w:top w:val="single" w:sz="4" w:space="0" w:color="auto"/>
              <w:left w:val="single" w:sz="4" w:space="0" w:color="auto"/>
              <w:bottom w:val="single" w:sz="4" w:space="0" w:color="000000"/>
              <w:right w:val="single" w:sz="4" w:space="0" w:color="auto"/>
            </w:tcBorders>
            <w:textDirection w:val="lrTb"/>
            <w:vAlign w:val="center"/>
          </w:tcPr>
          <w:p>
            <w:pPr>
              <w:rPr>
                <w:rFonts w:eastAsia="Arial Unicode MS"/>
                <w:b/>
                <w:sz w:val="22"/>
                <w:szCs w:val="24"/>
              </w:rPr>
            </w:pPr>
          </w:p>
        </w:tc>
      </w:tr>
      <w:tr>
        <w:tblPrEx>
          <w:tblW w:w="9140" w:type="dxa"/>
          <w:tblCellMar>
            <w:left w:w="0" w:type="dxa"/>
            <w:right w:w="0" w:type="dxa"/>
          </w:tblCellMar>
        </w:tblPrEx>
        <w:trPr>
          <w:trHeight w:val="300"/>
        </w:trPr>
        <w:tc>
          <w:tcPr>
            <w:tcW w:w="9140" w:type="dxa"/>
            <w:gridSpan w:val="9"/>
            <w:tcBorders>
              <w:top w:val="single" w:sz="4" w:space="0" w:color="auto"/>
              <w:left w:val="single" w:sz="4" w:space="0" w:color="auto"/>
              <w:bottom w:val="single" w:sz="4" w:space="0" w:color="auto"/>
              <w:right w:val="single" w:sz="4" w:space="0" w:color="000000"/>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b/>
                <w:sz w:val="22"/>
                <w:szCs w:val="24"/>
              </w:rPr>
            </w:pPr>
            <w:r>
              <w:rPr>
                <w:b/>
                <w:sz w:val="22"/>
                <w:szCs w:val="24"/>
              </w:rPr>
              <w:t>Výdavky úhrnom</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5 000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148 300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301 400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376 400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61 000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24 000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8 000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924 100</w:t>
            </w:r>
          </w:p>
        </w:tc>
      </w:tr>
      <w:tr>
        <w:tblPrEx>
          <w:tblW w:w="9140" w:type="dxa"/>
          <w:tblCellMar>
            <w:left w:w="0" w:type="dxa"/>
            <w:right w:w="0" w:type="dxa"/>
          </w:tblCellMar>
        </w:tblPrEx>
        <w:trPr>
          <w:trHeight w:val="285"/>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v tom:</w:t>
            </w:r>
          </w:p>
        </w:tc>
        <w:tc>
          <w:tcPr>
            <w:tcW w:w="6960" w:type="dxa"/>
            <w:gridSpan w:val="8"/>
            <w:tcBorders>
              <w:top w:val="single" w:sz="4" w:space="0" w:color="auto"/>
              <w:left w:val="nil"/>
              <w:bottom w:val="single" w:sz="4" w:space="0" w:color="auto"/>
              <w:right w:val="single" w:sz="4" w:space="0" w:color="000000"/>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bežné výdavky</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2 500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36 300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179 000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365 400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53 000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24 000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8 000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668 200</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kapitálové výdavky</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2 500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112 000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122 400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11 000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8 000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255 900</w:t>
            </w:r>
          </w:p>
        </w:tc>
      </w:tr>
      <w:tr>
        <w:tblPrEx>
          <w:tblW w:w="9140" w:type="dxa"/>
          <w:tblCellMar>
            <w:left w:w="0" w:type="dxa"/>
            <w:right w:w="0" w:type="dxa"/>
          </w:tblCellMar>
        </w:tblPrEx>
        <w:trPr>
          <w:trHeight w:hRule="exact" w:val="397"/>
        </w:trPr>
        <w:tc>
          <w:tcPr>
            <w:tcW w:w="9140" w:type="dxa"/>
            <w:gridSpan w:val="9"/>
            <w:tcBorders>
              <w:top w:val="single" w:sz="4" w:space="0" w:color="auto"/>
              <w:left w:val="single" w:sz="4" w:space="0" w:color="auto"/>
              <w:bottom w:val="single" w:sz="4" w:space="0" w:color="auto"/>
              <w:right w:val="single" w:sz="4" w:space="0" w:color="000000"/>
            </w:tcBorders>
            <w:noWrap/>
            <w:tcMar>
              <w:top w:w="19" w:type="dxa"/>
              <w:left w:w="19" w:type="dxa"/>
              <w:bottom w:w="0" w:type="dxa"/>
              <w:right w:w="19" w:type="dxa"/>
            </w:tcMar>
            <w:textDirection w:val="lrTb"/>
            <w:vAlign w:val="bottom"/>
          </w:tcPr>
          <w:p>
            <w:pPr>
              <w:pStyle w:val="Heading7"/>
              <w:outlineLvl w:val="6"/>
              <w:rPr>
                <w:rFonts w:eastAsia="Arial Unicode MS"/>
                <w:color w:val="auto"/>
                <w:szCs w:val="24"/>
              </w:rPr>
            </w:pPr>
            <w:r>
              <w:rPr>
                <w:color w:val="auto"/>
                <w:szCs w:val="24"/>
              </w:rPr>
              <w:t>Štatistický úrad Slovenskej republiky</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Výdavky spolu</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5 000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133 000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297 000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194 000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61 000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24 000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8 000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722 000</w:t>
            </w:r>
          </w:p>
        </w:tc>
      </w:tr>
      <w:tr>
        <w:tblPrEx>
          <w:tblW w:w="9140" w:type="dxa"/>
          <w:tblCellMar>
            <w:left w:w="0" w:type="dxa"/>
            <w:right w:w="0" w:type="dxa"/>
          </w:tblCellMar>
        </w:tblPrEx>
        <w:trPr>
          <w:trHeight w:val="285"/>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v tom:</w:t>
            </w:r>
          </w:p>
        </w:tc>
        <w:tc>
          <w:tcPr>
            <w:tcW w:w="6960" w:type="dxa"/>
            <w:gridSpan w:val="8"/>
            <w:tcBorders>
              <w:top w:val="single" w:sz="4" w:space="0" w:color="auto"/>
              <w:left w:val="nil"/>
              <w:bottom w:val="single" w:sz="4" w:space="0" w:color="auto"/>
              <w:right w:val="single" w:sz="4" w:space="0" w:color="000000"/>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bežné výdavky</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2 500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30 000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175 000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183 000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53 000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24 000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8 000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475 500</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kapitálové výdavky</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2 500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103 000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122 000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11 000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8 000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246 500</w:t>
            </w:r>
          </w:p>
        </w:tc>
      </w:tr>
      <w:tr>
        <w:tblPrEx>
          <w:tblW w:w="9140" w:type="dxa"/>
          <w:tblCellMar>
            <w:left w:w="0" w:type="dxa"/>
            <w:right w:w="0" w:type="dxa"/>
          </w:tblCellMar>
        </w:tblPrEx>
        <w:trPr>
          <w:trHeight w:hRule="exact" w:val="397"/>
        </w:trPr>
        <w:tc>
          <w:tcPr>
            <w:tcW w:w="9140" w:type="dxa"/>
            <w:gridSpan w:val="9"/>
            <w:tcBorders>
              <w:top w:val="single" w:sz="4" w:space="0" w:color="auto"/>
              <w:left w:val="single" w:sz="4" w:space="0" w:color="auto"/>
              <w:bottom w:val="single" w:sz="4" w:space="0" w:color="auto"/>
              <w:right w:val="single" w:sz="4" w:space="0" w:color="000000"/>
            </w:tcBorders>
            <w:tcMar>
              <w:top w:w="19" w:type="dxa"/>
              <w:left w:w="19" w:type="dxa"/>
              <w:bottom w:w="0" w:type="dxa"/>
              <w:right w:w="19" w:type="dxa"/>
            </w:tcMar>
            <w:textDirection w:val="lrTb"/>
            <w:vAlign w:val="top"/>
          </w:tcPr>
          <w:p>
            <w:pPr>
              <w:pStyle w:val="Heading7"/>
              <w:spacing w:before="60"/>
              <w:outlineLvl w:val="6"/>
              <w:rPr>
                <w:rFonts w:eastAsia="Arial Unicode MS"/>
                <w:color w:val="auto"/>
                <w:szCs w:val="24"/>
              </w:rPr>
            </w:pPr>
            <w:r>
              <w:rPr>
                <w:color w:val="auto"/>
                <w:szCs w:val="24"/>
              </w:rPr>
              <w:t>Ministerstvo životného prostredia Slovenskej republiky</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Výdavky spolu</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800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1 600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400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2 800</w:t>
            </w:r>
          </w:p>
        </w:tc>
      </w:tr>
      <w:tr>
        <w:tblPrEx>
          <w:tblW w:w="9140" w:type="dxa"/>
          <w:tblCellMar>
            <w:left w:w="0" w:type="dxa"/>
            <w:right w:w="0" w:type="dxa"/>
          </w:tblCellMar>
        </w:tblPrEx>
        <w:trPr>
          <w:trHeight w:val="285"/>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v tom:</w:t>
            </w:r>
          </w:p>
        </w:tc>
        <w:tc>
          <w:tcPr>
            <w:tcW w:w="6960" w:type="dxa"/>
            <w:gridSpan w:val="8"/>
            <w:tcBorders>
              <w:top w:val="single" w:sz="4" w:space="0" w:color="auto"/>
              <w:left w:val="nil"/>
              <w:bottom w:val="single" w:sz="4" w:space="0" w:color="auto"/>
              <w:right w:val="single" w:sz="4" w:space="0" w:color="000000"/>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bežné výdavky</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600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1 200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400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2 200</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kapitálové výdavky</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200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400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600</w:t>
            </w:r>
          </w:p>
        </w:tc>
      </w:tr>
      <w:tr>
        <w:tblPrEx>
          <w:tblW w:w="9140" w:type="dxa"/>
          <w:tblCellMar>
            <w:left w:w="0" w:type="dxa"/>
            <w:right w:w="0" w:type="dxa"/>
          </w:tblCellMar>
        </w:tblPrEx>
        <w:trPr>
          <w:trHeight w:hRule="exact" w:val="397"/>
        </w:trPr>
        <w:tc>
          <w:tcPr>
            <w:tcW w:w="9140" w:type="dxa"/>
            <w:gridSpan w:val="9"/>
            <w:tcBorders>
              <w:top w:val="single" w:sz="4" w:space="0" w:color="auto"/>
              <w:left w:val="single" w:sz="4" w:space="0" w:color="auto"/>
              <w:bottom w:val="single" w:sz="4" w:space="0" w:color="auto"/>
              <w:right w:val="single" w:sz="4" w:space="0" w:color="000000"/>
            </w:tcBorders>
            <w:tcMar>
              <w:top w:w="19" w:type="dxa"/>
              <w:left w:w="19" w:type="dxa"/>
              <w:bottom w:w="0" w:type="dxa"/>
              <w:right w:w="19" w:type="dxa"/>
            </w:tcMar>
            <w:textDirection w:val="lrTb"/>
            <w:vAlign w:val="top"/>
          </w:tcPr>
          <w:p>
            <w:pPr>
              <w:pStyle w:val="Heading7"/>
              <w:spacing w:before="60"/>
              <w:outlineLvl w:val="6"/>
              <w:rPr>
                <w:rFonts w:eastAsia="Arial Unicode MS"/>
                <w:color w:val="auto"/>
                <w:szCs w:val="24"/>
              </w:rPr>
            </w:pPr>
            <w:r>
              <w:rPr>
                <w:color w:val="auto"/>
                <w:szCs w:val="24"/>
              </w:rPr>
              <w:t>Úrad geodézie, kartografie a katastra Slovenskej republiky</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Výdavky spolu</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14 500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2 800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200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17 500</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v tom:</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b/>
                <w:sz w:val="22"/>
                <w:szCs w:val="24"/>
              </w:rPr>
            </w:pPr>
            <w:r>
              <w:rPr>
                <w:b/>
                <w:sz w:val="22"/>
                <w:szCs w:val="24"/>
              </w:rPr>
              <w:t> </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bežné výdavky</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5 700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2 800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200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8 700</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kapitálové výdavky</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8 800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8 800</w:t>
            </w:r>
          </w:p>
        </w:tc>
      </w:tr>
      <w:tr>
        <w:tblPrEx>
          <w:tblW w:w="9140" w:type="dxa"/>
          <w:tblCellMar>
            <w:left w:w="0" w:type="dxa"/>
            <w:right w:w="0" w:type="dxa"/>
          </w:tblCellMar>
        </w:tblPrEx>
        <w:trPr>
          <w:trHeight w:hRule="exact" w:val="397"/>
        </w:trPr>
        <w:tc>
          <w:tcPr>
            <w:tcW w:w="9140" w:type="dxa"/>
            <w:gridSpan w:val="9"/>
            <w:tcBorders>
              <w:top w:val="single" w:sz="4" w:space="0" w:color="auto"/>
              <w:left w:val="single" w:sz="4" w:space="0" w:color="auto"/>
              <w:bottom w:val="single" w:sz="4" w:space="0" w:color="auto"/>
              <w:right w:val="single" w:sz="4" w:space="0" w:color="000000"/>
            </w:tcBorders>
            <w:tcMar>
              <w:top w:w="19" w:type="dxa"/>
              <w:left w:w="19" w:type="dxa"/>
              <w:bottom w:w="0" w:type="dxa"/>
              <w:right w:w="19" w:type="dxa"/>
            </w:tcMar>
            <w:textDirection w:val="lrTb"/>
            <w:vAlign w:val="top"/>
          </w:tcPr>
          <w:p>
            <w:pPr>
              <w:pStyle w:val="Heading8"/>
              <w:ind w:left="0"/>
              <w:outlineLvl w:val="7"/>
              <w:rPr>
                <w:rFonts w:eastAsia="Arial Unicode MS"/>
                <w:color w:val="auto"/>
                <w:szCs w:val="24"/>
              </w:rPr>
            </w:pPr>
            <w:r>
              <w:rPr>
                <w:color w:val="auto"/>
                <w:szCs w:val="24"/>
              </w:rPr>
              <w:t>Obvodné úrady</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Výdavky spolu</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10 200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10 200</w:t>
            </w:r>
          </w:p>
        </w:tc>
      </w:tr>
      <w:tr>
        <w:tblPrEx>
          <w:tblW w:w="9140" w:type="dxa"/>
          <w:tblCellMar>
            <w:left w:w="0" w:type="dxa"/>
            <w:right w:w="0" w:type="dxa"/>
          </w:tblCellMar>
        </w:tblPrEx>
        <w:trPr>
          <w:trHeight w:val="285"/>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v tom:</w:t>
            </w:r>
          </w:p>
        </w:tc>
        <w:tc>
          <w:tcPr>
            <w:tcW w:w="6960" w:type="dxa"/>
            <w:gridSpan w:val="8"/>
            <w:tcBorders>
              <w:top w:val="single" w:sz="4" w:space="0" w:color="auto"/>
              <w:left w:val="nil"/>
              <w:bottom w:val="single" w:sz="4" w:space="0" w:color="auto"/>
              <w:right w:val="single" w:sz="4" w:space="0" w:color="000000"/>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bežné výdavky</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10 200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10 200</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kapitálové výdavky</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0</w:t>
            </w:r>
          </w:p>
        </w:tc>
      </w:tr>
      <w:tr>
        <w:tblPrEx>
          <w:tblW w:w="9140" w:type="dxa"/>
          <w:tblCellMar>
            <w:left w:w="0" w:type="dxa"/>
            <w:right w:w="0" w:type="dxa"/>
          </w:tblCellMar>
        </w:tblPrEx>
        <w:trPr>
          <w:trHeight w:hRule="exact" w:val="397"/>
        </w:trPr>
        <w:tc>
          <w:tcPr>
            <w:tcW w:w="9140" w:type="dxa"/>
            <w:gridSpan w:val="9"/>
            <w:tcBorders>
              <w:top w:val="single" w:sz="4" w:space="0" w:color="auto"/>
              <w:left w:val="single" w:sz="4" w:space="0" w:color="auto"/>
              <w:bottom w:val="single" w:sz="4" w:space="0" w:color="auto"/>
              <w:right w:val="single" w:sz="4" w:space="0" w:color="000000"/>
            </w:tcBorders>
            <w:noWrap/>
            <w:tcMar>
              <w:top w:w="19" w:type="dxa"/>
              <w:left w:w="19" w:type="dxa"/>
              <w:bottom w:w="0" w:type="dxa"/>
              <w:right w:w="19" w:type="dxa"/>
            </w:tcMar>
            <w:textDirection w:val="lrTb"/>
            <w:vAlign w:val="bottom"/>
          </w:tcPr>
          <w:p>
            <w:pPr>
              <w:pStyle w:val="Heading7"/>
              <w:spacing w:before="60"/>
              <w:outlineLvl w:val="6"/>
              <w:rPr>
                <w:rFonts w:eastAsia="Arial Unicode MS"/>
                <w:color w:val="auto"/>
                <w:szCs w:val="24"/>
              </w:rPr>
            </w:pPr>
            <w:r>
              <w:rPr>
                <w:color w:val="auto"/>
                <w:szCs w:val="24"/>
              </w:rPr>
              <w:t>Vyššie územné celky</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Výdavky spolu</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1 600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1 600</w:t>
            </w:r>
          </w:p>
        </w:tc>
      </w:tr>
      <w:tr>
        <w:tblPrEx>
          <w:tblW w:w="9140" w:type="dxa"/>
          <w:tblCellMar>
            <w:left w:w="0" w:type="dxa"/>
            <w:right w:w="0" w:type="dxa"/>
          </w:tblCellMar>
        </w:tblPrEx>
        <w:trPr>
          <w:trHeight w:val="285"/>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v tom:</w:t>
            </w:r>
          </w:p>
        </w:tc>
        <w:tc>
          <w:tcPr>
            <w:tcW w:w="6960" w:type="dxa"/>
            <w:gridSpan w:val="8"/>
            <w:tcBorders>
              <w:top w:val="single" w:sz="4" w:space="0" w:color="auto"/>
              <w:left w:val="nil"/>
              <w:bottom w:val="single" w:sz="4" w:space="0" w:color="auto"/>
              <w:right w:val="single" w:sz="4" w:space="0" w:color="000000"/>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bežné výdavky</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1 600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1 600</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kapitálové výdavky</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b/>
                <w:sz w:val="22"/>
                <w:szCs w:val="24"/>
              </w:rPr>
            </w:pPr>
            <w:r>
              <w:rPr>
                <w:b/>
                <w:sz w:val="22"/>
                <w:szCs w:val="24"/>
              </w:rPr>
              <w:t> </w:t>
            </w:r>
          </w:p>
        </w:tc>
      </w:tr>
      <w:tr>
        <w:tblPrEx>
          <w:tblW w:w="9140" w:type="dxa"/>
          <w:tblCellMar>
            <w:left w:w="0" w:type="dxa"/>
            <w:right w:w="0" w:type="dxa"/>
          </w:tblCellMar>
        </w:tblPrEx>
        <w:trPr>
          <w:trHeight w:hRule="exact" w:val="397"/>
        </w:trPr>
        <w:tc>
          <w:tcPr>
            <w:tcW w:w="9140" w:type="dxa"/>
            <w:gridSpan w:val="9"/>
            <w:tcBorders>
              <w:top w:val="single" w:sz="4" w:space="0" w:color="auto"/>
              <w:left w:val="single" w:sz="4" w:space="0" w:color="auto"/>
              <w:bottom w:val="single" w:sz="4" w:space="0" w:color="auto"/>
              <w:right w:val="single" w:sz="4" w:space="0" w:color="000000"/>
            </w:tcBorders>
            <w:noWrap/>
            <w:tcMar>
              <w:top w:w="19" w:type="dxa"/>
              <w:left w:w="19" w:type="dxa"/>
              <w:bottom w:w="0" w:type="dxa"/>
              <w:right w:w="19" w:type="dxa"/>
            </w:tcMar>
            <w:textDirection w:val="lrTb"/>
            <w:vAlign w:val="bottom"/>
          </w:tcPr>
          <w:p>
            <w:pPr>
              <w:pStyle w:val="Heading7"/>
              <w:spacing w:before="60"/>
              <w:outlineLvl w:val="6"/>
              <w:rPr>
                <w:rFonts w:eastAsia="Arial Unicode MS"/>
                <w:color w:val="auto"/>
                <w:szCs w:val="24"/>
              </w:rPr>
            </w:pPr>
            <w:r>
              <w:rPr>
                <w:color w:val="auto"/>
                <w:szCs w:val="24"/>
              </w:rPr>
              <w:t>Obecné úrady</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Výdavky spolu</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170 000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170 000</w:t>
            </w:r>
          </w:p>
        </w:tc>
      </w:tr>
      <w:tr>
        <w:tblPrEx>
          <w:tblW w:w="9140" w:type="dxa"/>
          <w:tblCellMar>
            <w:left w:w="0" w:type="dxa"/>
            <w:right w:w="0" w:type="dxa"/>
          </w:tblCellMar>
        </w:tblPrEx>
        <w:trPr>
          <w:trHeight w:val="285"/>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v tom:</w:t>
            </w:r>
          </w:p>
        </w:tc>
        <w:tc>
          <w:tcPr>
            <w:tcW w:w="6960" w:type="dxa"/>
            <w:gridSpan w:val="8"/>
            <w:tcBorders>
              <w:top w:val="single" w:sz="4" w:space="0" w:color="auto"/>
              <w:left w:val="nil"/>
              <w:bottom w:val="single" w:sz="4" w:space="0" w:color="auto"/>
              <w:right w:val="single" w:sz="4" w:space="0" w:color="000000"/>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bežné výdavky</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170 000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b/>
                <w:sz w:val="22"/>
                <w:szCs w:val="24"/>
              </w:rPr>
            </w:pPr>
            <w:r>
              <w:rPr>
                <w:b/>
                <w:sz w:val="22"/>
                <w:szCs w:val="24"/>
              </w:rPr>
              <w:t>170 000</w:t>
            </w:r>
          </w:p>
        </w:tc>
      </w:tr>
      <w:tr>
        <w:tblPrEx>
          <w:tblW w:w="9140" w:type="dxa"/>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sz w:val="22"/>
                <w:szCs w:val="24"/>
              </w:rPr>
            </w:pPr>
            <w:r>
              <w:rPr>
                <w:sz w:val="22"/>
                <w:szCs w:val="24"/>
              </w:rPr>
              <w:t xml:space="preserve">  kapitálové výdavky</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single" w:sz="4" w:space="0" w:color="auto"/>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0" w:type="auto"/>
            <w:tcBorders>
              <w:top w:val="nil"/>
              <w:left w:val="nil"/>
              <w:bottom w:val="single" w:sz="4" w:space="0" w:color="auto"/>
              <w:right w:val="nil"/>
            </w:tcBorders>
            <w:noWrap/>
            <w:tcMar>
              <w:top w:w="19" w:type="dxa"/>
              <w:left w:w="19" w:type="dxa"/>
              <w:bottom w:w="0" w:type="dxa"/>
              <w:right w:w="19" w:type="dxa"/>
            </w:tcMar>
            <w:textDirection w:val="lrTb"/>
            <w:vAlign w:val="bottom"/>
          </w:tcPr>
          <w:p>
            <w:pPr>
              <w:jc w:val="right"/>
              <w:rPr>
                <w:rFonts w:eastAsia="Arial Unicode MS"/>
                <w:sz w:val="22"/>
                <w:szCs w:val="24"/>
              </w:rPr>
            </w:pPr>
            <w:r>
              <w:rPr>
                <w:sz w:val="22"/>
                <w:szCs w:val="24"/>
              </w:rPr>
              <w:t>0</w:t>
            </w:r>
          </w:p>
        </w:tc>
        <w:tc>
          <w:tcPr>
            <w:tcW w:w="920" w:type="dxa"/>
            <w:tcBorders>
              <w:top w:val="nil"/>
              <w:left w:val="single" w:sz="4" w:space="0" w:color="auto"/>
              <w:bottom w:val="single" w:sz="4" w:space="0" w:color="auto"/>
              <w:right w:val="single" w:sz="4" w:space="0" w:color="auto"/>
            </w:tcBorders>
            <w:noWrap/>
            <w:tcMar>
              <w:top w:w="19" w:type="dxa"/>
              <w:left w:w="19" w:type="dxa"/>
              <w:bottom w:w="0" w:type="dxa"/>
              <w:right w:w="19" w:type="dxa"/>
            </w:tcMar>
            <w:textDirection w:val="lrTb"/>
            <w:vAlign w:val="bottom"/>
          </w:tcPr>
          <w:p>
            <w:pPr>
              <w:rPr>
                <w:rFonts w:eastAsia="Arial Unicode MS"/>
                <w:b/>
                <w:sz w:val="22"/>
                <w:szCs w:val="24"/>
              </w:rPr>
            </w:pPr>
            <w:r>
              <w:rPr>
                <w:b/>
                <w:sz w:val="22"/>
                <w:szCs w:val="24"/>
              </w:rPr>
              <w:t> </w:t>
            </w:r>
          </w:p>
        </w:tc>
      </w:tr>
    </w:tbl>
    <w:p>
      <w:pPr>
        <w:jc w:val="both"/>
        <w:rPr>
          <w:szCs w:val="24"/>
        </w:rPr>
      </w:pPr>
    </w:p>
    <w:p>
      <w:pPr>
        <w:ind w:left="240" w:hanging="240"/>
        <w:rPr>
          <w:rFonts w:ascii="Times New Roman" w:hAnsi="Times New Roman" w:cs="Times New Roman"/>
          <w:b/>
          <w:szCs w:val="24"/>
        </w:rPr>
      </w:pPr>
      <w:r>
        <w:rPr>
          <w:b/>
          <w:szCs w:val="24"/>
        </w:rPr>
        <w:t>2. Odhad dopadov na obyvateľov, hospodárenie podnikateľskej sféry a iných právnických osôb</w:t>
      </w:r>
    </w:p>
    <w:p>
      <w:pPr>
        <w:jc w:val="both"/>
        <w:rPr>
          <w:rFonts w:ascii="Times New Roman" w:hAnsi="Times New Roman" w:cs="Times New Roman"/>
          <w:szCs w:val="24"/>
        </w:rPr>
      </w:pPr>
      <w:r>
        <w:rPr>
          <w:szCs w:val="24"/>
        </w:rPr>
        <w:t> </w:t>
        <w:tab/>
        <w:t>Navrhovaný zákon má vplyv na obyvateľov, pretože sa predpokladá aktívna účasť obyvateľov na štatistickom zisťovaní tým, že bude použitá metóda sebasčítania, pri ktorej obyvatelia sami za seba vyplnia požadované údaje. Navyše sa vyžaduje, aby obyvatelia poskytli aj niektoré iné údaje (napr. údaje o národnosti, náboženskom vyznaní, školskom vzdelaní, vzťahy medzi členmi rodiny a domácností) a informácie o svojich bytových podmienkach.</w:t>
      </w:r>
    </w:p>
    <w:p>
      <w:pPr>
        <w:jc w:val="both"/>
        <w:rPr>
          <w:rFonts w:ascii="Times New Roman" w:hAnsi="Times New Roman" w:cs="Times New Roman"/>
          <w:szCs w:val="24"/>
        </w:rPr>
      </w:pPr>
      <w:r>
        <w:rPr>
          <w:szCs w:val="24"/>
        </w:rPr>
        <w:t> </w:t>
        <w:tab/>
        <w:t>Spôsob zberu údajov, ich spracovanie a publikovanie si vyžaduje zabezpečiť ich ochranu v súlade s platnými právnymi predpismi.</w:t>
      </w:r>
    </w:p>
    <w:p>
      <w:pPr>
        <w:jc w:val="both"/>
        <w:rPr>
          <w:rFonts w:ascii="Times New Roman" w:hAnsi="Times New Roman" w:cs="Times New Roman"/>
          <w:szCs w:val="24"/>
        </w:rPr>
      </w:pPr>
      <w:r>
        <w:rPr>
          <w:szCs w:val="24"/>
        </w:rPr>
        <w:t> </w:t>
        <w:tab/>
        <w:t>Navrhovaný zákon nemá vplyv na hospodárenie podnikateľskej sféry a iných právnických osôb.</w:t>
      </w:r>
    </w:p>
    <w:p>
      <w:pPr>
        <w:jc w:val="both"/>
        <w:rPr>
          <w:rFonts w:ascii="Times New Roman" w:hAnsi="Times New Roman" w:cs="Times New Roman"/>
          <w:szCs w:val="24"/>
        </w:rPr>
      </w:pPr>
      <w:r>
        <w:rPr>
          <w:szCs w:val="24"/>
        </w:rPr>
        <w:t> </w:t>
      </w:r>
    </w:p>
    <w:p>
      <w:pPr>
        <w:jc w:val="both"/>
        <w:rPr>
          <w:rFonts w:ascii="Times New Roman" w:hAnsi="Times New Roman" w:cs="Times New Roman"/>
          <w:b/>
          <w:szCs w:val="24"/>
        </w:rPr>
      </w:pPr>
      <w:r>
        <w:rPr>
          <w:b/>
          <w:szCs w:val="24"/>
        </w:rPr>
        <w:t xml:space="preserve">3. Odhad dopadov na životné prostredie </w:t>
      </w:r>
    </w:p>
    <w:p>
      <w:pPr>
        <w:jc w:val="both"/>
        <w:rPr>
          <w:rFonts w:ascii="Times New Roman" w:hAnsi="Times New Roman" w:cs="Times New Roman"/>
          <w:szCs w:val="24"/>
        </w:rPr>
      </w:pPr>
      <w:r>
        <w:rPr>
          <w:szCs w:val="24"/>
        </w:rPr>
        <w:t> </w:t>
        <w:tab/>
        <w:t>Navrhovaný zákon nemá vplyv na životné prostredie.</w:t>
      </w:r>
    </w:p>
    <w:p>
      <w:pPr>
        <w:jc w:val="both"/>
        <w:rPr>
          <w:rFonts w:ascii="Times New Roman" w:hAnsi="Times New Roman" w:cs="Times New Roman"/>
          <w:szCs w:val="24"/>
        </w:rPr>
      </w:pPr>
      <w:r>
        <w:rPr>
          <w:szCs w:val="24"/>
        </w:rPr>
        <w:t>  </w:t>
      </w:r>
    </w:p>
    <w:p>
      <w:pPr>
        <w:jc w:val="both"/>
        <w:rPr>
          <w:rFonts w:ascii="Times New Roman" w:hAnsi="Times New Roman" w:cs="Times New Roman"/>
          <w:b/>
          <w:szCs w:val="24"/>
        </w:rPr>
      </w:pPr>
      <w:r>
        <w:rPr>
          <w:b/>
          <w:szCs w:val="24"/>
        </w:rPr>
        <w:t>4. Odhad dopadov na zamestnanosť</w:t>
      </w:r>
    </w:p>
    <w:p>
      <w:pPr>
        <w:pStyle w:val="BodyTextIndent2"/>
        <w:ind w:firstLine="720"/>
        <w:rPr>
          <w:b w:val="0"/>
          <w:szCs w:val="24"/>
        </w:rPr>
      </w:pPr>
      <w:r>
        <w:rPr>
          <w:b w:val="0"/>
          <w:szCs w:val="24"/>
        </w:rPr>
        <w:t>Zákon vytvorí iba obmedzené a prechodné (dočasné) zvýšenie počtu pracovných miest na Štatistickom úrade Slovenskej republiky</w:t>
      </w:r>
      <w:r>
        <w:rPr>
          <w:szCs w:val="24"/>
        </w:rPr>
        <w:t xml:space="preserve"> </w:t>
      </w:r>
      <w:r>
        <w:rPr>
          <w:b w:val="0"/>
          <w:szCs w:val="24"/>
        </w:rPr>
        <w:t xml:space="preserve">v rozsahu 3 - 100 zamestnancov v období rokov 2008 až 2014. </w:t>
      </w:r>
    </w:p>
    <w:p>
      <w:pPr>
        <w:pStyle w:val="BodyTextIndent2"/>
        <w:ind w:firstLine="720"/>
        <w:rPr>
          <w:b w:val="0"/>
          <w:szCs w:val="24"/>
        </w:rPr>
      </w:pPr>
      <w:r>
        <w:rPr>
          <w:b w:val="0"/>
          <w:szCs w:val="24"/>
        </w:rPr>
        <w:t xml:space="preserve">Zákon upraví cca 20 tisíc sčítacím komisárom  právnu možnosť uskutočniť nerušený výkon ich funkcie v rozsahu pridelených finančných prostriedkov. Príslušné objemy rozpočtových nákladov budú zohľadnené v rozpočtoch jednotlivých obcí. </w:t>
      </w:r>
    </w:p>
    <w:p>
      <w:pPr>
        <w:pStyle w:val="BodyTextIndent2"/>
        <w:ind w:firstLine="720"/>
        <w:rPr>
          <w:b w:val="0"/>
          <w:szCs w:val="24"/>
        </w:rPr>
      </w:pPr>
      <w:r>
        <w:rPr>
          <w:b w:val="0"/>
          <w:szCs w:val="24"/>
        </w:rPr>
        <w:t>Finančné náklady sú definované v časti 1 Odhad dopadov na verejné financie.</w:t>
      </w:r>
    </w:p>
    <w:p>
      <w:pPr>
        <w:pStyle w:val="BodyTextIndent2"/>
        <w:ind w:firstLine="720"/>
        <w:rPr>
          <w:rFonts w:ascii="Times New Roman" w:hAnsi="Times New Roman" w:cs="Times New Roman"/>
          <w:szCs w:val="24"/>
        </w:rPr>
      </w:pPr>
      <w:r>
        <w:rPr>
          <w:szCs w:val="24"/>
        </w:rPr>
        <w:t> </w:t>
      </w:r>
    </w:p>
    <w:p>
      <w:pPr>
        <w:jc w:val="both"/>
        <w:rPr>
          <w:b/>
          <w:szCs w:val="24"/>
        </w:rPr>
      </w:pPr>
      <w:r>
        <w:rPr>
          <w:szCs w:val="24"/>
        </w:rPr>
        <w:t> </w:t>
      </w:r>
      <w:r>
        <w:rPr>
          <w:b/>
          <w:szCs w:val="24"/>
        </w:rPr>
        <w:t>5. Vplyv na podnikateľské prostredie</w:t>
      </w:r>
    </w:p>
    <w:p>
      <w:pPr>
        <w:jc w:val="both"/>
        <w:rPr>
          <w:rFonts w:ascii="Times New Roman" w:hAnsi="Times New Roman" w:cs="Times New Roman"/>
          <w:szCs w:val="24"/>
        </w:rPr>
      </w:pPr>
      <w:r>
        <w:rPr>
          <w:szCs w:val="24"/>
        </w:rPr>
        <w:t xml:space="preserve"> Zákon nemá vplyv na podnikateľské prostredie. </w:t>
      </w: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Title"/>
        <w:rPr>
          <w:b/>
          <w:sz w:val="28"/>
          <w:szCs w:val="24"/>
        </w:rPr>
      </w:pPr>
      <w:r>
        <w:rPr>
          <w:b/>
          <w:sz w:val="28"/>
          <w:szCs w:val="24"/>
        </w:rPr>
        <w:t xml:space="preserve">Doložka zlučiteľnosti </w:t>
      </w:r>
    </w:p>
    <w:p>
      <w:pPr>
        <w:pStyle w:val="Title"/>
        <w:rPr>
          <w:szCs w:val="24"/>
        </w:rPr>
      </w:pPr>
      <w:r>
        <w:rPr>
          <w:szCs w:val="24"/>
        </w:rPr>
        <w:t>právneho predpisu</w:t>
      </w:r>
    </w:p>
    <w:p>
      <w:pPr>
        <w:jc w:val="center"/>
        <w:rPr>
          <w:szCs w:val="24"/>
        </w:rPr>
      </w:pPr>
      <w:r>
        <w:rPr>
          <w:szCs w:val="24"/>
        </w:rPr>
        <w:t>s právom Európskych spoločenstiev a právom Európskej únie</w:t>
      </w:r>
    </w:p>
    <w:p>
      <w:pPr>
        <w:jc w:val="center"/>
        <w:rPr>
          <w:rFonts w:ascii="Times New Roman" w:hAnsi="Times New Roman" w:cs="Times New Roman"/>
          <w:sz w:val="28"/>
          <w:szCs w:val="24"/>
        </w:rPr>
      </w:pPr>
      <w:r>
        <w:rPr>
          <w:sz w:val="28"/>
          <w:szCs w:val="24"/>
        </w:rPr>
        <w:t> </w:t>
      </w:r>
    </w:p>
    <w:p>
      <w:pPr>
        <w:jc w:val="center"/>
        <w:rPr>
          <w:rFonts w:ascii="Times New Roman" w:hAnsi="Times New Roman" w:cs="Times New Roman"/>
          <w:szCs w:val="24"/>
        </w:rPr>
      </w:pPr>
      <w:r>
        <w:rPr>
          <w:szCs w:val="24"/>
        </w:rPr>
        <w:t> </w:t>
      </w:r>
    </w:p>
    <w:p>
      <w:pPr>
        <w:jc w:val="center"/>
        <w:rPr>
          <w:rFonts w:ascii="Times New Roman" w:hAnsi="Times New Roman" w:cs="Times New Roman"/>
          <w:szCs w:val="24"/>
        </w:rPr>
      </w:pPr>
      <w:r>
        <w:rPr>
          <w:szCs w:val="24"/>
        </w:rPr>
        <w:t> </w:t>
      </w:r>
    </w:p>
    <w:p>
      <w:pPr>
        <w:numPr>
          <w:numId w:val="11"/>
        </w:numPr>
        <w:ind w:left="720"/>
        <w:jc w:val="both"/>
        <w:rPr>
          <w:rFonts w:ascii="Times New Roman" w:hAnsi="Times New Roman" w:cs="Times New Roman"/>
          <w:szCs w:val="24"/>
        </w:rPr>
      </w:pPr>
      <w:r>
        <w:rPr>
          <w:b/>
          <w:szCs w:val="24"/>
        </w:rPr>
        <w:t>Predkladateľ návrhu zákona:</w:t>
      </w:r>
      <w:r>
        <w:rPr>
          <w:szCs w:val="24"/>
        </w:rPr>
        <w:t xml:space="preserve"> </w:t>
      </w:r>
    </w:p>
    <w:p>
      <w:pPr>
        <w:ind w:firstLine="708"/>
        <w:jc w:val="both"/>
        <w:rPr>
          <w:rFonts w:ascii="Times New Roman" w:hAnsi="Times New Roman" w:cs="Times New Roman"/>
          <w:szCs w:val="24"/>
        </w:rPr>
      </w:pPr>
      <w:r>
        <w:rPr>
          <w:szCs w:val="24"/>
        </w:rPr>
        <w:t xml:space="preserve">Štatistický úrad Slovenskej republiky </w:t>
      </w:r>
    </w:p>
    <w:p>
      <w:pPr>
        <w:ind w:left="360"/>
        <w:jc w:val="both"/>
        <w:rPr>
          <w:rFonts w:ascii="Times New Roman" w:hAnsi="Times New Roman" w:cs="Times New Roman"/>
          <w:szCs w:val="24"/>
        </w:rPr>
      </w:pPr>
      <w:r>
        <w:rPr>
          <w:szCs w:val="24"/>
        </w:rPr>
        <w:t> </w:t>
      </w:r>
    </w:p>
    <w:p>
      <w:pPr>
        <w:numPr>
          <w:numId w:val="11"/>
        </w:numPr>
        <w:ind w:left="720"/>
        <w:jc w:val="both"/>
        <w:rPr>
          <w:rFonts w:ascii="Times New Roman" w:hAnsi="Times New Roman" w:cs="Times New Roman"/>
          <w:szCs w:val="24"/>
        </w:rPr>
      </w:pPr>
      <w:r>
        <w:rPr>
          <w:b/>
          <w:szCs w:val="24"/>
        </w:rPr>
        <w:t>Názov návrhu zákona:</w:t>
      </w:r>
      <w:r>
        <w:rPr>
          <w:szCs w:val="24"/>
        </w:rPr>
        <w:t xml:space="preserve"> </w:t>
      </w:r>
    </w:p>
    <w:p>
      <w:pPr>
        <w:ind w:left="360" w:firstLine="348"/>
        <w:jc w:val="both"/>
        <w:rPr>
          <w:rFonts w:ascii="Times New Roman" w:hAnsi="Times New Roman" w:cs="Times New Roman"/>
          <w:szCs w:val="24"/>
        </w:rPr>
      </w:pPr>
      <w:r>
        <w:rPr>
          <w:szCs w:val="24"/>
        </w:rPr>
        <w:t xml:space="preserve">Zákon o sčítaní obyvateľov, domov a bytov v roku 2011 </w:t>
      </w:r>
    </w:p>
    <w:p>
      <w:pPr>
        <w:ind w:left="360"/>
        <w:jc w:val="both"/>
        <w:rPr>
          <w:rFonts w:ascii="Times New Roman" w:hAnsi="Times New Roman" w:cs="Times New Roman"/>
          <w:szCs w:val="24"/>
        </w:rPr>
      </w:pPr>
      <w:r>
        <w:rPr>
          <w:szCs w:val="24"/>
        </w:rPr>
        <w:t> </w:t>
      </w:r>
    </w:p>
    <w:p>
      <w:pPr>
        <w:ind w:left="360"/>
        <w:jc w:val="both"/>
        <w:rPr>
          <w:rFonts w:ascii="Times New Roman" w:hAnsi="Times New Roman" w:cs="Times New Roman"/>
          <w:b/>
          <w:szCs w:val="24"/>
        </w:rPr>
      </w:pPr>
      <w:r>
        <w:rPr>
          <w:szCs w:val="24"/>
        </w:rPr>
        <w:t>3.</w:t>
      </w:r>
      <w:r>
        <w:rPr>
          <w:b/>
          <w:szCs w:val="24"/>
        </w:rPr>
        <w:t xml:space="preserve">   Problematika návrhu zákona:</w:t>
      </w:r>
    </w:p>
    <w:p>
      <w:pPr>
        <w:ind w:left="1080"/>
        <w:jc w:val="both"/>
        <w:rPr>
          <w:rFonts w:ascii="Times New Roman" w:hAnsi="Times New Roman" w:cs="Times New Roman"/>
          <w:b/>
          <w:szCs w:val="24"/>
        </w:rPr>
      </w:pPr>
      <w:r>
        <w:rPr>
          <w:szCs w:val="24"/>
        </w:rPr>
        <w:t>a)</w:t>
      </w:r>
      <w:r>
        <w:rPr>
          <w:b/>
          <w:szCs w:val="24"/>
        </w:rPr>
        <w:t xml:space="preserve">  je</w:t>
      </w:r>
      <w:r>
        <w:rPr>
          <w:szCs w:val="24"/>
        </w:rPr>
        <w:t xml:space="preserve">  upravená v práve Európskych spoločenstiev</w:t>
      </w:r>
    </w:p>
    <w:p>
      <w:pPr>
        <w:ind w:left="1080"/>
        <w:jc w:val="both"/>
        <w:rPr>
          <w:b/>
          <w:szCs w:val="24"/>
        </w:rPr>
      </w:pPr>
      <w:r>
        <w:rPr>
          <w:szCs w:val="24"/>
        </w:rPr>
        <w:t xml:space="preserve">      - v primárnom: </w:t>
      </w:r>
      <w:r>
        <w:rPr>
          <w:b/>
          <w:szCs w:val="24"/>
        </w:rPr>
        <w:t xml:space="preserve">nie je,  </w:t>
      </w:r>
    </w:p>
    <w:p>
      <w:pPr>
        <w:ind w:left="1080"/>
        <w:jc w:val="both"/>
        <w:rPr>
          <w:rFonts w:ascii="Times New Roman" w:hAnsi="Times New Roman" w:cs="Times New Roman"/>
          <w:b/>
          <w:szCs w:val="24"/>
        </w:rPr>
      </w:pPr>
      <w:r>
        <w:rPr>
          <w:szCs w:val="24"/>
        </w:rPr>
        <w:t xml:space="preserve">      - v sekundárnom: </w:t>
      </w:r>
      <w:r>
        <w:rPr>
          <w:b/>
          <w:szCs w:val="24"/>
        </w:rPr>
        <w:t xml:space="preserve">je, </w:t>
      </w:r>
    </w:p>
    <w:p>
      <w:pPr>
        <w:numPr>
          <w:numId w:val="19"/>
        </w:numPr>
        <w:ind w:left="1836"/>
        <w:jc w:val="both"/>
        <w:rPr>
          <w:szCs w:val="24"/>
        </w:rPr>
      </w:pPr>
      <w:r>
        <w:rPr>
          <w:b/>
          <w:szCs w:val="24"/>
        </w:rPr>
        <w:t>v nariadení Rady (ES) č. 322/97 zo 17. februára 1997 o štatistike spoločenstva</w:t>
      </w:r>
      <w:r>
        <w:rPr>
          <w:szCs w:val="24"/>
        </w:rPr>
        <w:t xml:space="preserve"> </w:t>
      </w:r>
      <w:r>
        <w:rPr>
          <w:rStyle w:val="Emphasis"/>
          <w:szCs w:val="24"/>
        </w:rPr>
        <w:t xml:space="preserve">(Ú. v. ES L 52, 22.2.1997), </w:t>
      </w:r>
    </w:p>
    <w:p>
      <w:pPr>
        <w:numPr>
          <w:numId w:val="19"/>
        </w:numPr>
        <w:ind w:left="1836"/>
        <w:jc w:val="both"/>
        <w:rPr>
          <w:b/>
          <w:szCs w:val="24"/>
        </w:rPr>
      </w:pPr>
      <w:r>
        <w:rPr>
          <w:b/>
          <w:szCs w:val="24"/>
        </w:rPr>
        <w:t>v návrhu nariadenia Európskeho parlamentu a Rady o sčítaní obyvateľov domov a bytov,</w:t>
      </w:r>
    </w:p>
    <w:p>
      <w:pPr>
        <w:ind w:left="1080"/>
        <w:jc w:val="both"/>
        <w:rPr>
          <w:szCs w:val="24"/>
        </w:rPr>
      </w:pPr>
      <w:r>
        <w:rPr>
          <w:szCs w:val="24"/>
        </w:rPr>
        <w:t>b)</w:t>
      </w:r>
      <w:r>
        <w:rPr>
          <w:b/>
          <w:szCs w:val="24"/>
        </w:rPr>
        <w:t xml:space="preserve"> </w:t>
      </w:r>
      <w:r>
        <w:rPr>
          <w:szCs w:val="24"/>
        </w:rPr>
        <w:t xml:space="preserve"> </w:t>
      </w:r>
      <w:r>
        <w:rPr>
          <w:b/>
          <w:szCs w:val="24"/>
        </w:rPr>
        <w:t>nie je</w:t>
      </w:r>
      <w:r>
        <w:rPr>
          <w:szCs w:val="24"/>
        </w:rPr>
        <w:t xml:space="preserve"> upravená v práve Európskej únie</w:t>
      </w:r>
    </w:p>
    <w:p>
      <w:pPr>
        <w:ind w:left="1080"/>
        <w:jc w:val="both"/>
        <w:rPr>
          <w:b/>
          <w:szCs w:val="24"/>
        </w:rPr>
      </w:pPr>
      <w:r>
        <w:rPr>
          <w:szCs w:val="24"/>
        </w:rPr>
        <w:t xml:space="preserve">      - v primárnom: </w:t>
      </w:r>
      <w:r>
        <w:rPr>
          <w:b/>
          <w:szCs w:val="24"/>
        </w:rPr>
        <w:t xml:space="preserve">nie je, </w:t>
      </w:r>
    </w:p>
    <w:p>
      <w:pPr>
        <w:ind w:left="1080"/>
        <w:jc w:val="both"/>
        <w:rPr>
          <w:rFonts w:ascii="Times New Roman" w:hAnsi="Times New Roman" w:cs="Times New Roman"/>
          <w:b/>
          <w:szCs w:val="24"/>
        </w:rPr>
      </w:pPr>
      <w:r>
        <w:rPr>
          <w:szCs w:val="24"/>
        </w:rPr>
        <w:t xml:space="preserve">      - v sekundárnom: </w:t>
      </w:r>
      <w:r>
        <w:rPr>
          <w:b/>
          <w:szCs w:val="24"/>
        </w:rPr>
        <w:t xml:space="preserve">nie je, </w:t>
      </w:r>
      <w:r>
        <w:rPr>
          <w:szCs w:val="24"/>
        </w:rPr>
        <w:t xml:space="preserve">          </w:t>
      </w:r>
    </w:p>
    <w:p>
      <w:pPr>
        <w:numPr>
          <w:ilvl w:val="1"/>
          <w:numId w:val="5"/>
        </w:numPr>
        <w:ind w:left="1440"/>
        <w:jc w:val="both"/>
        <w:rPr>
          <w:rFonts w:ascii="Times New Roman" w:hAnsi="Times New Roman" w:cs="Times New Roman"/>
          <w:szCs w:val="24"/>
          <w:u w:val="single"/>
        </w:rPr>
      </w:pPr>
      <w:r>
        <w:rPr>
          <w:b/>
          <w:szCs w:val="24"/>
        </w:rPr>
        <w:t xml:space="preserve">nie je </w:t>
      </w:r>
      <w:r>
        <w:rPr>
          <w:szCs w:val="24"/>
        </w:rPr>
        <w:t>obsiahnutá v judikatúre Súdneho dvora Európskych</w:t>
      </w:r>
    </w:p>
    <w:p>
      <w:pPr>
        <w:ind w:left="1080"/>
        <w:jc w:val="both"/>
        <w:rPr>
          <w:rFonts w:ascii="Times New Roman" w:hAnsi="Times New Roman" w:cs="Times New Roman"/>
          <w:szCs w:val="24"/>
          <w:u w:val="single"/>
        </w:rPr>
      </w:pPr>
      <w:r>
        <w:rPr>
          <w:b/>
          <w:szCs w:val="24"/>
        </w:rPr>
        <w:t xml:space="preserve">    </w:t>
      </w:r>
      <w:r>
        <w:rPr>
          <w:szCs w:val="24"/>
        </w:rPr>
        <w:t xml:space="preserve"> spoločenstiev alebo Súdu prvého stupňa Európskych spoločenstiev.</w:t>
      </w:r>
    </w:p>
    <w:p>
      <w:pPr>
        <w:ind w:left="1080"/>
        <w:jc w:val="both"/>
        <w:rPr>
          <w:rFonts w:ascii="Times New Roman" w:hAnsi="Times New Roman" w:cs="Times New Roman"/>
          <w:i/>
          <w:szCs w:val="24"/>
          <w:u w:val="single"/>
        </w:rPr>
      </w:pPr>
      <w:r>
        <w:rPr>
          <w:i/>
          <w:szCs w:val="24"/>
        </w:rPr>
        <w:t xml:space="preserve">     </w:t>
      </w:r>
      <w:r>
        <w:rPr>
          <w:szCs w:val="24"/>
        </w:rPr>
        <w:t xml:space="preserve">     </w:t>
      </w:r>
    </w:p>
    <w:p>
      <w:pPr>
        <w:ind w:left="360"/>
        <w:jc w:val="both"/>
        <w:rPr>
          <w:b/>
          <w:szCs w:val="24"/>
        </w:rPr>
      </w:pPr>
      <w:r>
        <w:rPr>
          <w:szCs w:val="24"/>
        </w:rPr>
        <w:t xml:space="preserve">4.  </w:t>
      </w:r>
      <w:r>
        <w:rPr>
          <w:b/>
          <w:szCs w:val="24"/>
        </w:rPr>
        <w:t xml:space="preserve">Záväzky Slovenskej republiky vo vzťahu k Európskym spoločenstvám   </w:t>
      </w:r>
    </w:p>
    <w:p>
      <w:pPr>
        <w:ind w:left="360"/>
        <w:jc w:val="both"/>
        <w:rPr>
          <w:b/>
          <w:szCs w:val="24"/>
        </w:rPr>
      </w:pPr>
      <w:r>
        <w:rPr>
          <w:b/>
          <w:szCs w:val="24"/>
        </w:rPr>
        <w:t xml:space="preserve">     a Európskej únii:</w:t>
      </w:r>
    </w:p>
    <w:p>
      <w:pPr>
        <w:numPr>
          <w:numId w:val="16"/>
        </w:numPr>
        <w:ind w:left="1080"/>
        <w:jc w:val="both"/>
        <w:rPr>
          <w:szCs w:val="24"/>
        </w:rPr>
      </w:pPr>
      <w:r>
        <w:rPr>
          <w:szCs w:val="24"/>
        </w:rPr>
        <w:t xml:space="preserve">identifikácia záväzkov vyplývajúcich z Aktu o podmienkach pristúpenia </w:t>
      </w:r>
    </w:p>
    <w:p>
      <w:pPr>
        <w:ind w:left="720"/>
        <w:jc w:val="both"/>
        <w:rPr>
          <w:szCs w:val="24"/>
        </w:rPr>
      </w:pPr>
      <w:r>
        <w:rPr>
          <w:szCs w:val="24"/>
        </w:rPr>
        <w:t xml:space="preserve">     pripojenom k Zmluve o pristúpení Slovenskej republiky k Európskej únii, </w:t>
      </w:r>
    </w:p>
    <w:p>
      <w:pPr>
        <w:ind w:left="720"/>
        <w:jc w:val="both"/>
        <w:rPr>
          <w:b/>
          <w:szCs w:val="24"/>
        </w:rPr>
      </w:pPr>
      <w:r>
        <w:rPr>
          <w:b/>
          <w:szCs w:val="24"/>
        </w:rPr>
        <w:t xml:space="preserve">     - nie sú</w:t>
      </w:r>
    </w:p>
    <w:p>
      <w:pPr>
        <w:numPr>
          <w:numId w:val="16"/>
        </w:numPr>
        <w:ind w:left="1080"/>
        <w:jc w:val="both"/>
        <w:rPr>
          <w:szCs w:val="24"/>
        </w:rPr>
      </w:pPr>
      <w:r>
        <w:rPr>
          <w:szCs w:val="24"/>
        </w:rPr>
        <w:t xml:space="preserve">identifikácia prechodných období vyplývajúcich z Aktu o podmienkach </w:t>
      </w:r>
    </w:p>
    <w:p>
      <w:pPr>
        <w:ind w:left="720"/>
        <w:jc w:val="both"/>
        <w:rPr>
          <w:szCs w:val="24"/>
        </w:rPr>
      </w:pPr>
      <w:r>
        <w:rPr>
          <w:szCs w:val="24"/>
        </w:rPr>
        <w:t xml:space="preserve">     pristúpenia pripojenom k Zmluve o pristúpení Slovenskej republiky  </w:t>
      </w:r>
    </w:p>
    <w:p>
      <w:pPr>
        <w:ind w:left="720"/>
        <w:jc w:val="both"/>
        <w:rPr>
          <w:szCs w:val="24"/>
        </w:rPr>
      </w:pPr>
      <w:r>
        <w:rPr>
          <w:szCs w:val="24"/>
        </w:rPr>
        <w:t xml:space="preserve">     k Európskej únii,</w:t>
      </w:r>
    </w:p>
    <w:p>
      <w:pPr>
        <w:ind w:left="720"/>
        <w:jc w:val="both"/>
        <w:rPr>
          <w:b/>
          <w:szCs w:val="24"/>
        </w:rPr>
      </w:pPr>
      <w:r>
        <w:rPr>
          <w:szCs w:val="24"/>
        </w:rPr>
        <w:t xml:space="preserve">    </w:t>
      </w:r>
      <w:r>
        <w:rPr>
          <w:b/>
          <w:szCs w:val="24"/>
        </w:rPr>
        <w:t xml:space="preserve"> - nie sú</w:t>
      </w:r>
    </w:p>
    <w:p>
      <w:pPr>
        <w:numPr>
          <w:numId w:val="16"/>
        </w:numPr>
        <w:ind w:left="1080"/>
        <w:jc w:val="both"/>
        <w:rPr>
          <w:szCs w:val="24"/>
        </w:rPr>
      </w:pPr>
      <w:r>
        <w:rPr>
          <w:szCs w:val="24"/>
        </w:rPr>
        <w:t xml:space="preserve">lehota na prebratie smernice alebo rámcového rozhodnutia podľa určenia </w:t>
      </w:r>
    </w:p>
    <w:p>
      <w:pPr>
        <w:ind w:left="720"/>
        <w:jc w:val="both"/>
        <w:rPr>
          <w:szCs w:val="24"/>
        </w:rPr>
      </w:pPr>
      <w:r>
        <w:rPr>
          <w:szCs w:val="24"/>
        </w:rPr>
        <w:t xml:space="preserve">     gestorských ústredných orgánov štátnej správy zodpovedných za prebratie</w:t>
      </w:r>
    </w:p>
    <w:p>
      <w:pPr>
        <w:ind w:left="720"/>
        <w:jc w:val="both"/>
        <w:rPr>
          <w:szCs w:val="24"/>
        </w:rPr>
      </w:pPr>
      <w:r>
        <w:rPr>
          <w:szCs w:val="24"/>
        </w:rPr>
        <w:t xml:space="preserve">     smerníc a vypracovanie tabuliek zhody k návrhom všeobecne záväzných </w:t>
      </w:r>
    </w:p>
    <w:p>
      <w:pPr>
        <w:ind w:left="720"/>
        <w:jc w:val="both"/>
        <w:rPr>
          <w:szCs w:val="24"/>
        </w:rPr>
      </w:pPr>
      <w:r>
        <w:rPr>
          <w:szCs w:val="24"/>
        </w:rPr>
        <w:t xml:space="preserve">     právnych predpisov alebo lehota na implementáciu nariadenia alebo </w:t>
      </w:r>
    </w:p>
    <w:p>
      <w:pPr>
        <w:ind w:left="720"/>
        <w:jc w:val="both"/>
        <w:rPr>
          <w:szCs w:val="24"/>
        </w:rPr>
      </w:pPr>
      <w:r>
        <w:rPr>
          <w:szCs w:val="24"/>
        </w:rPr>
        <w:t xml:space="preserve">     rozhodnutia z nich vyplývajúca,</w:t>
      </w:r>
    </w:p>
    <w:p>
      <w:pPr>
        <w:ind w:left="720"/>
        <w:jc w:val="both"/>
        <w:rPr>
          <w:b/>
          <w:szCs w:val="24"/>
        </w:rPr>
      </w:pPr>
      <w:r>
        <w:rPr>
          <w:szCs w:val="24"/>
        </w:rPr>
        <w:t xml:space="preserve">  </w:t>
      </w:r>
      <w:r>
        <w:rPr>
          <w:b/>
          <w:szCs w:val="24"/>
        </w:rPr>
        <w:t xml:space="preserve">   - nie sú</w:t>
      </w:r>
    </w:p>
    <w:p>
      <w:pPr>
        <w:numPr>
          <w:numId w:val="16"/>
        </w:numPr>
        <w:ind w:left="1080"/>
        <w:jc w:val="both"/>
        <w:rPr>
          <w:szCs w:val="24"/>
        </w:rPr>
      </w:pPr>
      <w:r>
        <w:rPr>
          <w:szCs w:val="24"/>
        </w:rPr>
        <w:t xml:space="preserve">informácia o konaní začatom proti Slovenskej republike o porušení Zmluvy </w:t>
      </w:r>
    </w:p>
    <w:p>
      <w:pPr>
        <w:ind w:left="720"/>
        <w:jc w:val="both"/>
        <w:rPr>
          <w:szCs w:val="24"/>
        </w:rPr>
      </w:pPr>
      <w:r>
        <w:rPr>
          <w:szCs w:val="24"/>
        </w:rPr>
        <w:t xml:space="preserve">     o založení Európskych spoločenstiev podľa čl. 226 až 228 Zmluvy</w:t>
      </w:r>
    </w:p>
    <w:p>
      <w:pPr>
        <w:ind w:left="720"/>
        <w:jc w:val="both"/>
        <w:rPr>
          <w:szCs w:val="24"/>
        </w:rPr>
      </w:pPr>
      <w:r>
        <w:rPr>
          <w:szCs w:val="24"/>
        </w:rPr>
        <w:t xml:space="preserve">     o založení Európskych spoločenstiev v platnom znení,</w:t>
      </w:r>
    </w:p>
    <w:p>
      <w:pPr>
        <w:ind w:left="720"/>
        <w:jc w:val="both"/>
        <w:rPr>
          <w:b/>
          <w:szCs w:val="24"/>
        </w:rPr>
      </w:pPr>
      <w:r>
        <w:rPr>
          <w:szCs w:val="24"/>
        </w:rPr>
        <w:t xml:space="preserve">  </w:t>
      </w:r>
      <w:r>
        <w:rPr>
          <w:b/>
          <w:szCs w:val="24"/>
        </w:rPr>
        <w:t xml:space="preserve">   - nie sú</w:t>
      </w:r>
    </w:p>
    <w:p>
      <w:pPr>
        <w:numPr>
          <w:numId w:val="16"/>
        </w:numPr>
        <w:ind w:left="1080"/>
        <w:jc w:val="both"/>
        <w:rPr>
          <w:szCs w:val="24"/>
        </w:rPr>
      </w:pPr>
      <w:r>
        <w:rPr>
          <w:szCs w:val="24"/>
        </w:rPr>
        <w:t xml:space="preserve">informácia o právnych predpisoch, v ktorých sú preberané smernice alebo </w:t>
      </w:r>
    </w:p>
    <w:p>
      <w:pPr>
        <w:ind w:left="720"/>
        <w:jc w:val="both"/>
        <w:rPr>
          <w:szCs w:val="24"/>
        </w:rPr>
      </w:pPr>
      <w:r>
        <w:rPr>
          <w:szCs w:val="24"/>
        </w:rPr>
        <w:t xml:space="preserve">     rámcové rozhodnutia už prebraté spolu s uvedením rozsahu tohto </w:t>
      </w:r>
    </w:p>
    <w:p>
      <w:pPr>
        <w:ind w:left="720"/>
        <w:jc w:val="both"/>
        <w:rPr>
          <w:szCs w:val="24"/>
        </w:rPr>
      </w:pPr>
      <w:r>
        <w:rPr>
          <w:szCs w:val="24"/>
        </w:rPr>
        <w:t xml:space="preserve">     prebratia.</w:t>
      </w:r>
    </w:p>
    <w:p>
      <w:pPr>
        <w:ind w:left="1080"/>
        <w:jc w:val="both"/>
        <w:rPr>
          <w:b/>
          <w:szCs w:val="24"/>
        </w:rPr>
      </w:pPr>
      <w:r>
        <w:rPr>
          <w:b/>
          <w:szCs w:val="24"/>
        </w:rPr>
        <w:t>- nie sú</w:t>
      </w:r>
    </w:p>
    <w:p>
      <w:pPr>
        <w:ind w:left="1080"/>
        <w:jc w:val="both"/>
        <w:rPr>
          <w:i/>
          <w:szCs w:val="24"/>
        </w:rPr>
      </w:pPr>
    </w:p>
    <w:p>
      <w:pPr>
        <w:ind w:left="360"/>
        <w:jc w:val="both"/>
        <w:rPr>
          <w:b/>
          <w:szCs w:val="24"/>
        </w:rPr>
      </w:pPr>
      <w:r>
        <w:rPr>
          <w:szCs w:val="24"/>
        </w:rPr>
        <w:t xml:space="preserve">5. </w:t>
      </w:r>
      <w:r>
        <w:rPr>
          <w:b/>
          <w:szCs w:val="24"/>
        </w:rPr>
        <w:t xml:space="preserve">Stupeň zlučiteľnosti návrhu zákona s právom Európskych spoločenstiev  </w:t>
      </w:r>
    </w:p>
    <w:p>
      <w:pPr>
        <w:ind w:left="360"/>
        <w:jc w:val="both"/>
        <w:rPr>
          <w:b/>
          <w:szCs w:val="24"/>
        </w:rPr>
      </w:pPr>
      <w:r>
        <w:rPr>
          <w:szCs w:val="24"/>
        </w:rPr>
        <w:t xml:space="preserve">  </w:t>
      </w:r>
      <w:r>
        <w:rPr>
          <w:b/>
          <w:szCs w:val="24"/>
        </w:rPr>
        <w:t xml:space="preserve">  alebo právom Európskej únie: </w:t>
      </w:r>
    </w:p>
    <w:p>
      <w:pPr>
        <w:jc w:val="both"/>
        <w:rPr>
          <w:szCs w:val="24"/>
        </w:rPr>
      </w:pPr>
      <w:r>
        <w:rPr>
          <w:szCs w:val="24"/>
        </w:rPr>
        <w:t xml:space="preserve">          - úplný</w:t>
      </w:r>
    </w:p>
    <w:p>
      <w:pPr>
        <w:ind w:left="1080"/>
        <w:jc w:val="both"/>
        <w:rPr>
          <w:rFonts w:ascii="Times New Roman" w:hAnsi="Times New Roman" w:cs="Times New Roman"/>
          <w:b/>
          <w:szCs w:val="24"/>
        </w:rPr>
      </w:pPr>
    </w:p>
    <w:p>
      <w:pPr>
        <w:ind w:left="360"/>
        <w:jc w:val="both"/>
        <w:rPr>
          <w:b/>
          <w:szCs w:val="24"/>
        </w:rPr>
      </w:pPr>
      <w:r>
        <w:rPr>
          <w:szCs w:val="24"/>
        </w:rPr>
        <w:t xml:space="preserve">6. </w:t>
      </w:r>
      <w:r>
        <w:rPr>
          <w:b/>
          <w:szCs w:val="24"/>
        </w:rPr>
        <w:t xml:space="preserve">Gestor a spolupracujúce rezorty (podľa určenia gestorských ústredných </w:t>
      </w:r>
    </w:p>
    <w:p>
      <w:pPr>
        <w:ind w:left="360"/>
        <w:jc w:val="both"/>
        <w:rPr>
          <w:b/>
          <w:szCs w:val="24"/>
        </w:rPr>
      </w:pPr>
      <w:r>
        <w:rPr>
          <w:szCs w:val="24"/>
        </w:rPr>
        <w:t xml:space="preserve">    </w:t>
      </w:r>
      <w:r>
        <w:rPr>
          <w:b/>
          <w:szCs w:val="24"/>
        </w:rPr>
        <w:t xml:space="preserve">orgánov štátnej správy zodpovedných za transpozíciu smerníc </w:t>
      </w:r>
    </w:p>
    <w:p>
      <w:pPr>
        <w:ind w:left="360"/>
        <w:jc w:val="both"/>
        <w:rPr>
          <w:b/>
          <w:szCs w:val="24"/>
        </w:rPr>
      </w:pPr>
      <w:r>
        <w:rPr>
          <w:b/>
          <w:szCs w:val="24"/>
        </w:rPr>
        <w:t xml:space="preserve">    a vypracovanie tabuliek zhody k návrhom všeobecne záväzných </w:t>
      </w:r>
    </w:p>
    <w:p>
      <w:pPr>
        <w:ind w:left="360"/>
        <w:jc w:val="both"/>
        <w:rPr>
          <w:b/>
          <w:szCs w:val="24"/>
        </w:rPr>
      </w:pPr>
      <w:r>
        <w:rPr>
          <w:b/>
          <w:szCs w:val="24"/>
        </w:rPr>
        <w:t xml:space="preserve">    právnych predpisov a podľa návrhu na určenie zodpovednosti </w:t>
      </w:r>
    </w:p>
    <w:p>
      <w:pPr>
        <w:ind w:left="360"/>
        <w:jc w:val="both"/>
        <w:rPr>
          <w:b/>
          <w:szCs w:val="24"/>
        </w:rPr>
      </w:pPr>
      <w:r>
        <w:rPr>
          <w:b/>
          <w:szCs w:val="24"/>
        </w:rPr>
        <w:t xml:space="preserve">    ministerstiev a ostatných ústredných orgánov štátnej správy za aplikáciu </w:t>
      </w:r>
    </w:p>
    <w:p>
      <w:pPr>
        <w:ind w:left="360"/>
        <w:jc w:val="both"/>
        <w:rPr>
          <w:b/>
          <w:szCs w:val="24"/>
        </w:rPr>
      </w:pPr>
      <w:r>
        <w:rPr>
          <w:b/>
          <w:szCs w:val="24"/>
        </w:rPr>
        <w:t xml:space="preserve">    a prijatie opatrení na vnútroštátnej úrovni k nariadeniam a rozhodnutiam </w:t>
      </w:r>
    </w:p>
    <w:p>
      <w:pPr>
        <w:ind w:left="360"/>
        <w:jc w:val="both"/>
        <w:rPr>
          <w:rFonts w:ascii="Times New Roman" w:hAnsi="Times New Roman" w:cs="Times New Roman"/>
          <w:b/>
          <w:szCs w:val="24"/>
        </w:rPr>
      </w:pPr>
      <w:r>
        <w:rPr>
          <w:b/>
          <w:szCs w:val="24"/>
        </w:rPr>
        <w:t xml:space="preserve">    európskych spoločenstiev):</w:t>
      </w:r>
    </w:p>
    <w:p>
      <w:pPr>
        <w:pStyle w:val="BodyText2"/>
        <w:jc w:val="both"/>
        <w:rPr>
          <w:b w:val="0"/>
          <w:szCs w:val="24"/>
        </w:rPr>
      </w:pPr>
      <w:r>
        <w:rPr>
          <w:b w:val="0"/>
          <w:szCs w:val="24"/>
        </w:rPr>
        <w:t xml:space="preserve">          - Štatistický úrad Slovenskej republiky</w:t>
      </w: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r>
        <w:rPr>
          <w:b w:val="0"/>
          <w:szCs w:val="24"/>
        </w:rPr>
        <w:t>Bratislava 23. apríla 2008</w:t>
      </w: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jc w:val="both"/>
        <w:rPr>
          <w:b w:val="0"/>
          <w:szCs w:val="24"/>
        </w:rPr>
      </w:pPr>
    </w:p>
    <w:p>
      <w:pPr>
        <w:pStyle w:val="BodyText2"/>
        <w:rPr>
          <w:b w:val="0"/>
          <w:szCs w:val="24"/>
        </w:rPr>
      </w:pPr>
      <w:r>
        <w:rPr>
          <w:b w:val="0"/>
          <w:szCs w:val="24"/>
        </w:rPr>
        <w:t>Robert  F i c o   v. r.</w:t>
      </w:r>
    </w:p>
    <w:p>
      <w:pPr>
        <w:pStyle w:val="BodyText2"/>
        <w:rPr>
          <w:b w:val="0"/>
          <w:szCs w:val="24"/>
        </w:rPr>
      </w:pPr>
      <w:r>
        <w:rPr>
          <w:b w:val="0"/>
          <w:szCs w:val="24"/>
        </w:rPr>
        <w:t>predseda vlády Slovenskej republiky</w:t>
      </w:r>
    </w:p>
    <w:p>
      <w:pPr>
        <w:pStyle w:val="BodyText2"/>
        <w:rPr>
          <w:b w:val="0"/>
          <w:szCs w:val="24"/>
        </w:rPr>
      </w:pPr>
    </w:p>
    <w:p>
      <w:pPr>
        <w:pStyle w:val="BodyText2"/>
        <w:rPr>
          <w:b w:val="0"/>
          <w:szCs w:val="24"/>
        </w:rPr>
      </w:pPr>
    </w:p>
    <w:p>
      <w:pPr>
        <w:pStyle w:val="BodyText2"/>
        <w:rPr>
          <w:b w:val="0"/>
          <w:szCs w:val="24"/>
        </w:rPr>
      </w:pPr>
    </w:p>
    <w:p>
      <w:pPr>
        <w:pStyle w:val="BodyText2"/>
        <w:rPr>
          <w:b w:val="0"/>
          <w:szCs w:val="24"/>
        </w:rPr>
      </w:pPr>
    </w:p>
    <w:p>
      <w:pPr>
        <w:pStyle w:val="BodyText2"/>
        <w:rPr>
          <w:b w:val="0"/>
          <w:szCs w:val="24"/>
        </w:rPr>
      </w:pPr>
    </w:p>
    <w:p>
      <w:pPr>
        <w:pStyle w:val="BodyText2"/>
        <w:rPr>
          <w:b w:val="0"/>
          <w:szCs w:val="24"/>
        </w:rPr>
      </w:pPr>
    </w:p>
    <w:p>
      <w:pPr>
        <w:pStyle w:val="BodyText2"/>
        <w:rPr>
          <w:b w:val="0"/>
          <w:szCs w:val="24"/>
        </w:rPr>
      </w:pPr>
    </w:p>
    <w:p>
      <w:pPr>
        <w:pStyle w:val="BodyText2"/>
        <w:rPr>
          <w:b w:val="0"/>
          <w:szCs w:val="24"/>
        </w:rPr>
      </w:pPr>
    </w:p>
    <w:p>
      <w:pPr>
        <w:pStyle w:val="BodyText2"/>
        <w:rPr>
          <w:b w:val="0"/>
          <w:szCs w:val="24"/>
        </w:rPr>
      </w:pPr>
      <w:r>
        <w:rPr>
          <w:b w:val="0"/>
          <w:szCs w:val="24"/>
        </w:rPr>
        <w:t>Ľudmila  B e n k o v i č o v á  v. r.</w:t>
      </w:r>
    </w:p>
    <w:p>
      <w:pPr>
        <w:pStyle w:val="BodyText2"/>
        <w:rPr>
          <w:b w:val="0"/>
          <w:szCs w:val="24"/>
        </w:rPr>
      </w:pPr>
      <w:r>
        <w:rPr>
          <w:b w:val="0"/>
          <w:szCs w:val="24"/>
        </w:rPr>
        <w:t>predsedníčka Štatistického úradu Slovenskej republiky</w:t>
      </w:r>
    </w:p>
    <w:sectPr>
      <w:footerReference w:type="default" r:id="rId4"/>
      <w:pgSz w:w="11907" w:h="16840"/>
      <w:pgMar w:top="1418" w:right="1418" w:bottom="1418" w:left="1418" w:header="1418" w:footer="1418"/>
      <w:lnNumType w:distance="0"/>
      <w:cols w:space="708"/>
      <w:noEndnote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0FF" w:csb1="00000000"/>
  </w:font>
  <w:font w:name="Arial">
    <w:altName w:val="Times New Roman"/>
    <w:panose1 w:val="020B0604020202020204"/>
    <w:charset w:val="EE"/>
    <w:family w:val="swiss"/>
    <w:pitch w:val="variable"/>
    <w:sig w:usb0="00000000" w:usb1="00000000" w:usb2="00000000" w:usb3="00000000" w:csb0="000000FF" w:csb1="00000000"/>
  </w:font>
  <w:font w:name="Courier New">
    <w:panose1 w:val="02070309020205020404"/>
    <w:charset w:val="EE"/>
    <w:family w:val="modern"/>
    <w:pitch w:val="fixed"/>
    <w:sig w:usb0="00000000" w:usb1="00000000" w:usb2="00000000" w:usb3="00000000" w:csb0="000000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Georgia">
    <w:panose1 w:val="02040502050405020303"/>
    <w:charset w:val="EE"/>
    <w:family w:val="roman"/>
    <w:pitch w:val="variable"/>
    <w:sig w:usb0="00000000" w:usb1="00000000" w:usb2="00000000" w:usb3="00000000" w:csb0="0000009F" w:csb1="00000000"/>
  </w:font>
  <w:font w:name="Arial Narrow">
    <w:panose1 w:val="020B0506020202030204"/>
    <w:charset w:val="EE"/>
    <w:family w:val="swiss"/>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200FF" w:csb1="00000000"/>
  </w:font>
  <w:font w:name="@Arial Unicode MS">
    <w:panose1 w:val="020B0604020202020204"/>
    <w:charset w:val="80"/>
    <w:family w:val="swiss"/>
    <w:pitch w:val="variable"/>
    <w:sig w:usb0="00000000" w:usb1="00000000" w:usb2="00000000" w:usb3="00000000" w:csb0="0002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16</w:t>
    </w:r>
    <w:r>
      <w:rPr>
        <w:rStyle w:val="PageNumber"/>
        <w:szCs w:val="24"/>
      </w:rPr>
      <w:fldChar w:fldCharType="end"/>
    </w:r>
  </w:p>
  <w:p>
    <w:pPr>
      <w:pStyle w:val="Footer"/>
      <w:rPr>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9C40456"/>
    <w:lvl w:ilvl="0">
      <w:start w:val="0"/>
      <w:numFmt w:val="decimal"/>
      <w:lvlText w:val="*"/>
      <w:lvlJc w:val="left"/>
    </w:lvl>
  </w:abstractNum>
  <w:abstractNum w:abstractNumId="1">
    <w:nsid w:val="0F671805"/>
    <w:multiLevelType w:val="hybridMultilevel"/>
    <w:tmpl w:val="6A4C6FF8"/>
    <w:lvl w:ilvl="0">
      <w:start w:val="0"/>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2">
    <w:nsid w:val="14577B9C"/>
    <w:multiLevelType w:val="singleLevel"/>
    <w:tmpl w:val="04050017"/>
    <w:lvl w:ilvl="0">
      <w:start w:val="1"/>
      <w:numFmt w:val="lowerLetter"/>
      <w:lvlText w:val="%1)"/>
      <w:lvlJc w:val="left"/>
      <w:pPr>
        <w:tabs>
          <w:tab w:val="num" w:pos="360"/>
        </w:tabs>
        <w:ind w:hanging="360"/>
      </w:pPr>
    </w:lvl>
  </w:abstractNum>
  <w:abstractNum w:abstractNumId="3">
    <w:nsid w:val="20A05EA0"/>
    <w:multiLevelType w:val="hybridMultilevel"/>
    <w:tmpl w:val="CA06E516"/>
    <w:lvl w:ilvl="0">
      <w:start w:val="2"/>
      <w:numFmt w:val="lowerLetter"/>
      <w:lvlText w:val="%1)"/>
      <w:lvlJc w:val="left"/>
      <w:pPr>
        <w:tabs>
          <w:tab w:val="num" w:pos="1068"/>
        </w:tabs>
        <w:ind w:hanging="360"/>
      </w:pPr>
      <w:rPr>
        <w:rFonts w:hint="default"/>
      </w:rPr>
    </w:lvl>
    <w:lvl w:ilvl="1">
      <w:start w:val="1"/>
      <w:numFmt w:val="lowerLetter"/>
      <w:lvlText w:val="%2."/>
      <w:lvlJc w:val="left"/>
      <w:pPr>
        <w:tabs>
          <w:tab w:val="num" w:pos="1788"/>
        </w:tabs>
        <w:ind w:hanging="360"/>
      </w:pPr>
    </w:lvl>
    <w:lvl w:ilvl="2">
      <w:start w:val="1"/>
      <w:numFmt w:val="lowerRoman"/>
      <w:lvlText w:val="%3."/>
      <w:lvlJc w:val="right"/>
      <w:pPr>
        <w:tabs>
          <w:tab w:val="num" w:pos="2508"/>
        </w:tabs>
        <w:ind w:hanging="180"/>
      </w:pPr>
    </w:lvl>
    <w:lvl w:ilvl="3">
      <w:start w:val="1"/>
      <w:numFmt w:val="decimal"/>
      <w:lvlText w:val="%4."/>
      <w:lvlJc w:val="left"/>
      <w:pPr>
        <w:tabs>
          <w:tab w:val="num" w:pos="3228"/>
        </w:tabs>
        <w:ind w:hanging="360"/>
      </w:pPr>
    </w:lvl>
    <w:lvl w:ilvl="4">
      <w:start w:val="1"/>
      <w:numFmt w:val="lowerLetter"/>
      <w:lvlText w:val="%5."/>
      <w:lvlJc w:val="left"/>
      <w:pPr>
        <w:tabs>
          <w:tab w:val="num" w:pos="3948"/>
        </w:tabs>
        <w:ind w:hanging="360"/>
      </w:pPr>
    </w:lvl>
    <w:lvl w:ilvl="5">
      <w:start w:val="1"/>
      <w:numFmt w:val="lowerRoman"/>
      <w:lvlText w:val="%6."/>
      <w:lvlJc w:val="right"/>
      <w:pPr>
        <w:tabs>
          <w:tab w:val="num" w:pos="4668"/>
        </w:tabs>
        <w:ind w:hanging="180"/>
      </w:pPr>
    </w:lvl>
    <w:lvl w:ilvl="6">
      <w:start w:val="1"/>
      <w:numFmt w:val="decimal"/>
      <w:lvlText w:val="%7."/>
      <w:lvlJc w:val="left"/>
      <w:pPr>
        <w:tabs>
          <w:tab w:val="num" w:pos="5388"/>
        </w:tabs>
        <w:ind w:hanging="360"/>
      </w:pPr>
    </w:lvl>
    <w:lvl w:ilvl="7">
      <w:start w:val="1"/>
      <w:numFmt w:val="lowerLetter"/>
      <w:lvlText w:val="%8."/>
      <w:lvlJc w:val="left"/>
      <w:pPr>
        <w:tabs>
          <w:tab w:val="num" w:pos="6108"/>
        </w:tabs>
        <w:ind w:hanging="360"/>
      </w:pPr>
    </w:lvl>
    <w:lvl w:ilvl="8">
      <w:start w:val="1"/>
      <w:numFmt w:val="lowerRoman"/>
      <w:lvlText w:val="%9."/>
      <w:lvlJc w:val="right"/>
      <w:pPr>
        <w:tabs>
          <w:tab w:val="num" w:pos="6828"/>
        </w:tabs>
        <w:ind w:hanging="180"/>
      </w:pPr>
    </w:lvl>
  </w:abstractNum>
  <w:abstractNum w:abstractNumId="4">
    <w:nsid w:val="28E6297C"/>
    <w:multiLevelType w:val="hybridMultilevel"/>
    <w:tmpl w:val="6AFA65BA"/>
    <w:lvl w:ilvl="0">
      <w:start w:val="1"/>
      <w:numFmt w:val="decimal"/>
      <w:lvlText w:val="%1."/>
      <w:lvlJc w:val="left"/>
      <w:pPr>
        <w:tabs>
          <w:tab w:val="num" w:pos="1060"/>
        </w:tabs>
        <w:ind w:hanging="340"/>
      </w:pPr>
    </w:lvl>
    <w:lvl w:ilvl="1">
      <w:start w:val="1"/>
      <w:numFmt w:val="decimal"/>
      <w:lvlText w:val="%2."/>
      <w:lvlJc w:val="left"/>
      <w:pPr>
        <w:tabs>
          <w:tab w:val="num" w:pos="1440"/>
        </w:tabs>
        <w:ind w:hanging="360"/>
      </w:pPr>
    </w:lvl>
    <w:lvl w:ilvl="2">
      <w:start w:val="1"/>
      <w:numFmt w:val="decimal"/>
      <w:lvlText w:val="%3."/>
      <w:lvlJc w:val="left"/>
      <w:pPr>
        <w:tabs>
          <w:tab w:val="num" w:pos="2160"/>
        </w:tabs>
        <w:ind w:hanging="360"/>
      </w:pPr>
    </w:lvl>
    <w:lvl w:ilvl="3">
      <w:start w:val="1"/>
      <w:numFmt w:val="decimal"/>
      <w:lvlText w:val="%4."/>
      <w:lvlJc w:val="left"/>
      <w:pPr>
        <w:tabs>
          <w:tab w:val="num" w:pos="2880"/>
        </w:tabs>
        <w:ind w:hanging="360"/>
      </w:pPr>
    </w:lvl>
    <w:lvl w:ilvl="4">
      <w:start w:val="1"/>
      <w:numFmt w:val="decimal"/>
      <w:lvlText w:val="%5."/>
      <w:lvlJc w:val="left"/>
      <w:pPr>
        <w:tabs>
          <w:tab w:val="num" w:pos="3600"/>
        </w:tabs>
        <w:ind w:hanging="360"/>
      </w:pPr>
    </w:lvl>
    <w:lvl w:ilvl="5">
      <w:start w:val="1"/>
      <w:numFmt w:val="decimal"/>
      <w:lvlText w:val="%6."/>
      <w:lvlJc w:val="left"/>
      <w:pPr>
        <w:tabs>
          <w:tab w:val="num" w:pos="4320"/>
        </w:tabs>
        <w:ind w:hanging="360"/>
      </w:pPr>
    </w:lvl>
    <w:lvl w:ilvl="6">
      <w:start w:val="1"/>
      <w:numFmt w:val="decimal"/>
      <w:lvlText w:val="%7."/>
      <w:lvlJc w:val="left"/>
      <w:pPr>
        <w:tabs>
          <w:tab w:val="num" w:pos="5040"/>
        </w:tabs>
        <w:ind w:hanging="360"/>
      </w:pPr>
    </w:lvl>
    <w:lvl w:ilvl="7">
      <w:start w:val="1"/>
      <w:numFmt w:val="decimal"/>
      <w:lvlText w:val="%8."/>
      <w:lvlJc w:val="left"/>
      <w:pPr>
        <w:tabs>
          <w:tab w:val="num" w:pos="5760"/>
        </w:tabs>
        <w:ind w:hanging="360"/>
      </w:pPr>
    </w:lvl>
    <w:lvl w:ilvl="8">
      <w:start w:val="1"/>
      <w:numFmt w:val="decimal"/>
      <w:lvlText w:val="%9."/>
      <w:lvlJc w:val="left"/>
      <w:pPr>
        <w:tabs>
          <w:tab w:val="num" w:pos="6480"/>
        </w:tabs>
        <w:ind w:hanging="360"/>
      </w:pPr>
    </w:lvl>
  </w:abstractNum>
  <w:abstractNum w:abstractNumId="5">
    <w:nsid w:val="332D022D"/>
    <w:multiLevelType w:val="hybridMultilevel"/>
    <w:tmpl w:val="0114C33E"/>
    <w:lvl w:ilvl="0">
      <w:start w:val="5"/>
      <w:numFmt w:val="decimal"/>
      <w:lvlText w:val="%1."/>
      <w:lvlJc w:val="left"/>
      <w:pPr>
        <w:tabs>
          <w:tab w:val="num" w:pos="720"/>
        </w:tabs>
        <w:ind w:hanging="360"/>
      </w:pPr>
      <w:rPr>
        <w:rFonts w:ascii="Arial" w:hAnsi="Arial"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6">
    <w:nsid w:val="34FB42A9"/>
    <w:multiLevelType w:val="hybridMultilevel"/>
    <w:tmpl w:val="163C63E8"/>
    <w:lvl w:ilvl="0">
      <w:start w:val="1"/>
      <w:numFmt w:val="bullet"/>
      <w:lvlText w:val=""/>
      <w:lvlJc w:val="left"/>
      <w:pPr>
        <w:tabs>
          <w:tab w:val="num" w:pos="360"/>
        </w:tabs>
        <w:ind w:hanging="360"/>
      </w:pPr>
      <w:rPr>
        <w:rFonts w:ascii="Symbol" w:hAnsi="Symbol" w:hint="default"/>
      </w:rPr>
    </w:lvl>
    <w:lvl w:ilvl="1">
      <w:start w:val="1"/>
      <w:numFmt w:val="bullet"/>
      <w:lvlText w:val="o"/>
      <w:lvlJc w:val="left"/>
      <w:pPr>
        <w:tabs>
          <w:tab w:val="num" w:pos="1080"/>
        </w:tabs>
        <w:ind w:hanging="360"/>
      </w:pPr>
      <w:rPr>
        <w:rFonts w:ascii="Courier New" w:hAnsi="Courier New" w:hint="default"/>
      </w:rPr>
    </w:lvl>
    <w:lvl w:ilvl="2">
      <w:start w:val="1"/>
      <w:numFmt w:val="bullet"/>
      <w:lvlText w:val=""/>
      <w:lvlJc w:val="left"/>
      <w:pPr>
        <w:tabs>
          <w:tab w:val="num" w:pos="1800"/>
        </w:tabs>
        <w:ind w:hanging="360"/>
      </w:pPr>
      <w:rPr>
        <w:rFonts w:ascii="Symbol" w:hAnsi="Symbol" w:hint="default"/>
      </w:rPr>
    </w:lvl>
    <w:lvl w:ilvl="3">
      <w:start w:val="1"/>
      <w:numFmt w:val="bullet"/>
      <w:lvlText w:val=""/>
      <w:lvlJc w:val="left"/>
      <w:pPr>
        <w:tabs>
          <w:tab w:val="num" w:pos="2520"/>
        </w:tabs>
        <w:ind w:hanging="360"/>
      </w:pPr>
      <w:rPr>
        <w:rFonts w:ascii="Symbol" w:hAnsi="Symbol" w:hint="default"/>
      </w:rPr>
    </w:lvl>
    <w:lvl w:ilvl="4">
      <w:start w:val="1"/>
      <w:numFmt w:val="bullet"/>
      <w:lvlText w:val="o"/>
      <w:lvlJc w:val="left"/>
      <w:pPr>
        <w:tabs>
          <w:tab w:val="num" w:pos="3240"/>
        </w:tabs>
        <w:ind w:hanging="360"/>
      </w:pPr>
      <w:rPr>
        <w:rFonts w:ascii="Courier New" w:hAnsi="Courier New" w:hint="default"/>
      </w:rPr>
    </w:lvl>
    <w:lvl w:ilvl="5">
      <w:start w:val="1"/>
      <w:numFmt w:val="bullet"/>
      <w:lvlText w:val=""/>
      <w:lvlJc w:val="left"/>
      <w:pPr>
        <w:tabs>
          <w:tab w:val="num" w:pos="3960"/>
        </w:tabs>
        <w:ind w:hanging="360"/>
      </w:pPr>
      <w:rPr>
        <w:rFonts w:ascii="Wingdings" w:hAnsi="Wingdings" w:hint="default"/>
      </w:rPr>
    </w:lvl>
    <w:lvl w:ilvl="6">
      <w:start w:val="1"/>
      <w:numFmt w:val="bullet"/>
      <w:lvlText w:val=""/>
      <w:lvlJc w:val="left"/>
      <w:pPr>
        <w:tabs>
          <w:tab w:val="num" w:pos="4680"/>
        </w:tabs>
        <w:ind w:hanging="360"/>
      </w:pPr>
      <w:rPr>
        <w:rFonts w:ascii="Symbol" w:hAnsi="Symbol" w:hint="default"/>
      </w:rPr>
    </w:lvl>
    <w:lvl w:ilvl="7">
      <w:start w:val="1"/>
      <w:numFmt w:val="bullet"/>
      <w:lvlText w:val="o"/>
      <w:lvlJc w:val="left"/>
      <w:pPr>
        <w:tabs>
          <w:tab w:val="num" w:pos="5400"/>
        </w:tabs>
        <w:ind w:hanging="360"/>
      </w:pPr>
      <w:rPr>
        <w:rFonts w:ascii="Courier New" w:hAnsi="Courier New" w:hint="default"/>
      </w:rPr>
    </w:lvl>
    <w:lvl w:ilvl="8">
      <w:start w:val="1"/>
      <w:numFmt w:val="bullet"/>
      <w:lvlText w:val=""/>
      <w:lvlJc w:val="left"/>
      <w:pPr>
        <w:tabs>
          <w:tab w:val="num" w:pos="6120"/>
        </w:tabs>
        <w:ind w:hanging="360"/>
      </w:pPr>
      <w:rPr>
        <w:rFonts w:ascii="Wingdings" w:hAnsi="Wingdings" w:hint="default"/>
      </w:rPr>
    </w:lvl>
  </w:abstractNum>
  <w:abstractNum w:abstractNumId="7">
    <w:nsid w:val="356B77F1"/>
    <w:multiLevelType w:val="multilevel"/>
    <w:tmpl w:val="E556CB84"/>
    <w:lvl w:ilvl="0">
      <w:start w:val="1"/>
      <w:numFmt w:val="decimal"/>
      <w:lvlText w:val="%1."/>
      <w:lvlJc w:val="left"/>
      <w:pPr>
        <w:tabs>
          <w:tab w:val="num" w:pos="720"/>
        </w:tabs>
        <w:ind w:hanging="360"/>
      </w:pPr>
      <w:rPr>
        <w:b w:val="0"/>
      </w:rPr>
    </w:lvl>
    <w:lvl w:ilvl="1">
      <w:start w:val="2"/>
      <w:numFmt w:val="bullet"/>
      <w:lvlText w:val="-"/>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8">
    <w:nsid w:val="37EE6177"/>
    <w:multiLevelType w:val="hybridMultilevel"/>
    <w:tmpl w:val="E65A9B74"/>
    <w:lvl w:ilvl="0">
      <w:start w:val="0"/>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9">
    <w:nsid w:val="50162350"/>
    <w:multiLevelType w:val="hybridMultilevel"/>
    <w:tmpl w:val="D07EF9CC"/>
    <w:lvl w:ilvl="0">
      <w:start w:val="6"/>
      <w:numFmt w:val="decimal"/>
      <w:lvlText w:val="%1."/>
      <w:lvlJc w:val="left"/>
      <w:pPr>
        <w:tabs>
          <w:tab w:val="num" w:pos="720"/>
        </w:tabs>
        <w:ind w:hanging="360"/>
      </w:pPr>
      <w:rPr>
        <w:rFonts w:ascii="Arial" w:hAnsi="Arial"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0">
    <w:nsid w:val="53EE0809"/>
    <w:multiLevelType w:val="hybridMultilevel"/>
    <w:tmpl w:val="A5CCF960"/>
    <w:lvl w:ilvl="0">
      <w:start w:val="1"/>
      <w:numFmt w:val="upperRoman"/>
      <w:lvlText w:val="%1."/>
      <w:lvlJc w:val="left"/>
      <w:pPr>
        <w:tabs>
          <w:tab w:val="num" w:pos="1080"/>
        </w:tabs>
        <w:ind w:hanging="720"/>
      </w:pPr>
      <w:rPr>
        <w:rFonts w:hint="default"/>
      </w:rPr>
    </w:lvl>
    <w:lvl w:ilvl="1">
      <w:start w:val="1"/>
      <w:numFmt w:val="none"/>
      <w:lvlText w:val="c)"/>
      <w:lvlJc w:val="left"/>
      <w:pPr>
        <w:tabs>
          <w:tab w:val="num" w:pos="1440"/>
        </w:tabs>
        <w:ind w:hanging="360"/>
      </w:pPr>
      <w:rPr>
        <w:rFonts w:hint="default"/>
      </w:rPr>
    </w:lvl>
    <w:lvl w:ilvl="2">
      <w:start w:val="3"/>
      <w:numFmt w:val="decimal"/>
      <w:lvlText w:val="%3."/>
      <w:lvlJc w:val="left"/>
      <w:pPr>
        <w:tabs>
          <w:tab w:val="num" w:pos="2340"/>
        </w:tabs>
        <w:ind w:hanging="360"/>
      </w:pPr>
      <w:rPr>
        <w:rFonts w:ascii="Arial" w:hAnsi="Arial" w:hint="default"/>
      </w:rPr>
    </w:lvl>
    <w:lvl w:ilvl="3">
      <w:start w:val="1"/>
      <w:numFmt w:val="lowerLetter"/>
      <w:lvlText w:val="%4)"/>
      <w:lvlJc w:val="left"/>
      <w:pPr>
        <w:tabs>
          <w:tab w:val="num" w:pos="2880"/>
        </w:tabs>
        <w:ind w:hanging="360"/>
      </w:pPr>
      <w:rPr>
        <w:rFonts w:hint="default"/>
      </w:r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1">
    <w:nsid w:val="562646D9"/>
    <w:multiLevelType w:val="hybridMultilevel"/>
    <w:tmpl w:val="4E3A9AEA"/>
    <w:lvl w:ilvl="0">
      <w:start w:val="1"/>
      <w:numFmt w:val="decimal"/>
      <w:lvlText w:val="%1)"/>
      <w:lvlJc w:val="left"/>
      <w:pPr>
        <w:tabs>
          <w:tab w:val="num" w:pos="720"/>
        </w:tabs>
        <w:ind w:hanging="363"/>
      </w:pPr>
      <w:rPr>
        <w:b/>
        <w:caps w:val="0"/>
        <w:smallCaps/>
      </w:rPr>
    </w:lvl>
    <w:lvl w:ilvl="1">
      <w:start w:val="1"/>
      <w:numFmt w:val="bullet"/>
      <w:lvlText w:val=""/>
      <w:lvlJc w:val="left"/>
      <w:pPr>
        <w:tabs>
          <w:tab w:val="num" w:pos="1443"/>
        </w:tabs>
        <w:ind w:hanging="363"/>
      </w:pPr>
      <w:rPr>
        <w:rFonts w:ascii="Symbol" w:hAnsi="Symbol" w:hint="default"/>
        <w:b/>
        <w:caps w:val="0"/>
        <w:smallCaps/>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2">
    <w:nsid w:val="563A3180"/>
    <w:multiLevelType w:val="hybridMultilevel"/>
    <w:tmpl w:val="92646894"/>
    <w:lvl w:ilvl="0">
      <w:start w:val="1"/>
      <w:numFmt w:val="bullet"/>
      <w:lvlText w:val=""/>
      <w:lvlJc w:val="left"/>
      <w:pPr>
        <w:tabs>
          <w:tab w:val="num" w:pos="1836"/>
        </w:tabs>
        <w:ind w:hanging="360"/>
      </w:pPr>
      <w:rPr>
        <w:rFonts w:ascii="Symbol" w:hAnsi="Symbol" w:hint="default"/>
      </w:rPr>
    </w:lvl>
    <w:lvl w:ilvl="1">
      <w:start w:val="1"/>
      <w:numFmt w:val="bullet"/>
      <w:lvlText w:val="o"/>
      <w:lvlJc w:val="left"/>
      <w:pPr>
        <w:tabs>
          <w:tab w:val="num" w:pos="2556"/>
        </w:tabs>
        <w:ind w:hanging="360"/>
      </w:pPr>
      <w:rPr>
        <w:rFonts w:ascii="Courier New" w:hAnsi="Courier New" w:hint="default"/>
      </w:rPr>
    </w:lvl>
    <w:lvl w:ilvl="2">
      <w:start w:val="1"/>
      <w:numFmt w:val="bullet"/>
      <w:lvlText w:val=""/>
      <w:lvlJc w:val="left"/>
      <w:pPr>
        <w:tabs>
          <w:tab w:val="num" w:pos="3276"/>
        </w:tabs>
        <w:ind w:hanging="360"/>
      </w:pPr>
      <w:rPr>
        <w:rFonts w:ascii="Wingdings" w:hAnsi="Wingdings" w:hint="default"/>
      </w:rPr>
    </w:lvl>
    <w:lvl w:ilvl="3">
      <w:start w:val="1"/>
      <w:numFmt w:val="bullet"/>
      <w:lvlText w:val=""/>
      <w:lvlJc w:val="left"/>
      <w:pPr>
        <w:tabs>
          <w:tab w:val="num" w:pos="3996"/>
        </w:tabs>
        <w:ind w:hanging="360"/>
      </w:pPr>
      <w:rPr>
        <w:rFonts w:ascii="Symbol" w:hAnsi="Symbol" w:hint="default"/>
      </w:rPr>
    </w:lvl>
    <w:lvl w:ilvl="4">
      <w:start w:val="1"/>
      <w:numFmt w:val="bullet"/>
      <w:lvlText w:val="o"/>
      <w:lvlJc w:val="left"/>
      <w:pPr>
        <w:tabs>
          <w:tab w:val="num" w:pos="4716"/>
        </w:tabs>
        <w:ind w:hanging="360"/>
      </w:pPr>
      <w:rPr>
        <w:rFonts w:ascii="Courier New" w:hAnsi="Courier New" w:hint="default"/>
      </w:rPr>
    </w:lvl>
    <w:lvl w:ilvl="5">
      <w:start w:val="1"/>
      <w:numFmt w:val="bullet"/>
      <w:lvlText w:val=""/>
      <w:lvlJc w:val="left"/>
      <w:pPr>
        <w:tabs>
          <w:tab w:val="num" w:pos="5436"/>
        </w:tabs>
        <w:ind w:hanging="360"/>
      </w:pPr>
      <w:rPr>
        <w:rFonts w:ascii="Wingdings" w:hAnsi="Wingdings" w:hint="default"/>
      </w:rPr>
    </w:lvl>
    <w:lvl w:ilvl="6">
      <w:start w:val="1"/>
      <w:numFmt w:val="bullet"/>
      <w:lvlText w:val=""/>
      <w:lvlJc w:val="left"/>
      <w:pPr>
        <w:tabs>
          <w:tab w:val="num" w:pos="6156"/>
        </w:tabs>
        <w:ind w:hanging="360"/>
      </w:pPr>
      <w:rPr>
        <w:rFonts w:ascii="Symbol" w:hAnsi="Symbol" w:hint="default"/>
      </w:rPr>
    </w:lvl>
    <w:lvl w:ilvl="7">
      <w:start w:val="1"/>
      <w:numFmt w:val="bullet"/>
      <w:lvlText w:val="o"/>
      <w:lvlJc w:val="left"/>
      <w:pPr>
        <w:tabs>
          <w:tab w:val="num" w:pos="6876"/>
        </w:tabs>
        <w:ind w:hanging="360"/>
      </w:pPr>
      <w:rPr>
        <w:rFonts w:ascii="Courier New" w:hAnsi="Courier New" w:hint="default"/>
      </w:rPr>
    </w:lvl>
    <w:lvl w:ilvl="8">
      <w:start w:val="1"/>
      <w:numFmt w:val="bullet"/>
      <w:lvlText w:val=""/>
      <w:lvlJc w:val="left"/>
      <w:pPr>
        <w:tabs>
          <w:tab w:val="num" w:pos="7596"/>
        </w:tabs>
        <w:ind w:hanging="360"/>
      </w:pPr>
      <w:rPr>
        <w:rFonts w:ascii="Wingdings" w:hAnsi="Wingdings" w:hint="default"/>
      </w:rPr>
    </w:lvl>
  </w:abstractNum>
  <w:abstractNum w:abstractNumId="13">
    <w:nsid w:val="568C0EF2"/>
    <w:multiLevelType w:val="hybridMultilevel"/>
    <w:tmpl w:val="63982D26"/>
    <w:lvl w:ilvl="0">
      <w:start w:val="1"/>
      <w:numFmt w:val="lowerLetter"/>
      <w:lvlText w:val="%1)"/>
      <w:lvlJc w:val="left"/>
      <w:pPr>
        <w:tabs>
          <w:tab w:val="num" w:pos="1080"/>
        </w:tabs>
        <w:ind w:hanging="360"/>
      </w:pPr>
      <w:rPr>
        <w:rFonts w:hint="default"/>
      </w:rPr>
    </w:lvl>
    <w:lvl w:ilvl="1">
      <w:start w:val="1"/>
      <w:numFmt w:val="lowerLetter"/>
      <w:lvlText w:val="%2."/>
      <w:lvlJc w:val="left"/>
      <w:pPr>
        <w:tabs>
          <w:tab w:val="num" w:pos="1800"/>
        </w:tabs>
        <w:ind w:hanging="360"/>
      </w:pPr>
    </w:lvl>
    <w:lvl w:ilvl="2">
      <w:start w:val="1"/>
      <w:numFmt w:val="lowerRoman"/>
      <w:lvlText w:val="%3."/>
      <w:lvlJc w:val="right"/>
      <w:pPr>
        <w:tabs>
          <w:tab w:val="num" w:pos="2520"/>
        </w:tabs>
        <w:ind w:hanging="180"/>
      </w:pPr>
    </w:lvl>
    <w:lvl w:ilvl="3">
      <w:start w:val="1"/>
      <w:numFmt w:val="decimal"/>
      <w:lvlText w:val="%4."/>
      <w:lvlJc w:val="left"/>
      <w:pPr>
        <w:tabs>
          <w:tab w:val="num" w:pos="3240"/>
        </w:tabs>
        <w:ind w:hanging="360"/>
      </w:pPr>
    </w:lvl>
    <w:lvl w:ilvl="4">
      <w:start w:val="1"/>
      <w:numFmt w:val="lowerLetter"/>
      <w:lvlText w:val="%5."/>
      <w:lvlJc w:val="left"/>
      <w:pPr>
        <w:tabs>
          <w:tab w:val="num" w:pos="3960"/>
        </w:tabs>
        <w:ind w:hanging="360"/>
      </w:pPr>
    </w:lvl>
    <w:lvl w:ilvl="5">
      <w:start w:val="1"/>
      <w:numFmt w:val="lowerRoman"/>
      <w:lvlText w:val="%6."/>
      <w:lvlJc w:val="right"/>
      <w:pPr>
        <w:tabs>
          <w:tab w:val="num" w:pos="4680"/>
        </w:tabs>
        <w:ind w:hanging="180"/>
      </w:pPr>
    </w:lvl>
    <w:lvl w:ilvl="6">
      <w:start w:val="1"/>
      <w:numFmt w:val="decimal"/>
      <w:lvlText w:val="%7."/>
      <w:lvlJc w:val="left"/>
      <w:pPr>
        <w:tabs>
          <w:tab w:val="num" w:pos="5400"/>
        </w:tabs>
        <w:ind w:hanging="360"/>
      </w:pPr>
    </w:lvl>
    <w:lvl w:ilvl="7">
      <w:start w:val="1"/>
      <w:numFmt w:val="lowerLetter"/>
      <w:lvlText w:val="%8."/>
      <w:lvlJc w:val="left"/>
      <w:pPr>
        <w:tabs>
          <w:tab w:val="num" w:pos="6120"/>
        </w:tabs>
        <w:ind w:hanging="360"/>
      </w:pPr>
    </w:lvl>
    <w:lvl w:ilvl="8">
      <w:start w:val="1"/>
      <w:numFmt w:val="lowerRoman"/>
      <w:lvlText w:val="%9."/>
      <w:lvlJc w:val="right"/>
      <w:pPr>
        <w:tabs>
          <w:tab w:val="num" w:pos="6840"/>
        </w:tabs>
        <w:ind w:hanging="180"/>
      </w:pPr>
    </w:lvl>
  </w:abstractNum>
  <w:abstractNum w:abstractNumId="14">
    <w:nsid w:val="570D44B2"/>
    <w:multiLevelType w:val="multilevel"/>
    <w:tmpl w:val="6C52FAB2"/>
    <w:lvl w:ilvl="0">
      <w:start w:val="1"/>
      <w:numFmt w:val="decimal"/>
      <w:lvlText w:val="%1."/>
      <w:lvlJc w:val="left"/>
      <w:pPr>
        <w:tabs>
          <w:tab w:val="num" w:pos="720"/>
        </w:tabs>
        <w:ind w:hanging="360"/>
      </w:pPr>
    </w:lvl>
    <w:lvl w:ilvl="1">
      <w:start w:val="1"/>
      <w:numFmt w:val="decimal"/>
      <w:lvlText w:val="%2."/>
      <w:lvlJc w:val="left"/>
      <w:pPr>
        <w:tabs>
          <w:tab w:val="num" w:pos="1440"/>
        </w:tabs>
        <w:ind w:hanging="360"/>
      </w:pPr>
    </w:lvl>
    <w:lvl w:ilvl="2">
      <w:start w:val="1"/>
      <w:numFmt w:val="decimal"/>
      <w:lvlText w:val="%3."/>
      <w:lvlJc w:val="left"/>
      <w:pPr>
        <w:tabs>
          <w:tab w:val="num" w:pos="2160"/>
        </w:tabs>
        <w:ind w:hanging="360"/>
      </w:pPr>
    </w:lvl>
    <w:lvl w:ilvl="3">
      <w:start w:val="1"/>
      <w:numFmt w:val="decimal"/>
      <w:lvlText w:val="%4."/>
      <w:lvlJc w:val="left"/>
      <w:pPr>
        <w:tabs>
          <w:tab w:val="num" w:pos="2880"/>
        </w:tabs>
        <w:ind w:hanging="360"/>
      </w:pPr>
    </w:lvl>
    <w:lvl w:ilvl="4">
      <w:start w:val="1"/>
      <w:numFmt w:val="decimal"/>
      <w:lvlText w:val="%5."/>
      <w:lvlJc w:val="left"/>
      <w:pPr>
        <w:tabs>
          <w:tab w:val="num" w:pos="3600"/>
        </w:tabs>
        <w:ind w:hanging="360"/>
      </w:pPr>
    </w:lvl>
    <w:lvl w:ilvl="5">
      <w:start w:val="1"/>
      <w:numFmt w:val="decimal"/>
      <w:lvlText w:val="%6."/>
      <w:lvlJc w:val="left"/>
      <w:pPr>
        <w:tabs>
          <w:tab w:val="num" w:pos="4320"/>
        </w:tabs>
        <w:ind w:hanging="360"/>
      </w:pPr>
    </w:lvl>
    <w:lvl w:ilvl="6">
      <w:start w:val="1"/>
      <w:numFmt w:val="decimal"/>
      <w:lvlText w:val="%7."/>
      <w:lvlJc w:val="left"/>
      <w:pPr>
        <w:tabs>
          <w:tab w:val="num" w:pos="5040"/>
        </w:tabs>
        <w:ind w:hanging="360"/>
      </w:pPr>
    </w:lvl>
    <w:lvl w:ilvl="7">
      <w:start w:val="1"/>
      <w:numFmt w:val="decimal"/>
      <w:lvlText w:val="%8."/>
      <w:lvlJc w:val="left"/>
      <w:pPr>
        <w:tabs>
          <w:tab w:val="num" w:pos="5760"/>
        </w:tabs>
        <w:ind w:hanging="360"/>
      </w:pPr>
    </w:lvl>
    <w:lvl w:ilvl="8">
      <w:start w:val="1"/>
      <w:numFmt w:val="decimal"/>
      <w:lvlText w:val="%9."/>
      <w:lvlJc w:val="left"/>
      <w:pPr>
        <w:tabs>
          <w:tab w:val="num" w:pos="6480"/>
        </w:tabs>
        <w:ind w:hanging="360"/>
      </w:pPr>
    </w:lvl>
  </w:abstractNum>
  <w:abstractNum w:abstractNumId="15">
    <w:nsid w:val="5FE80B06"/>
    <w:multiLevelType w:val="hybridMultilevel"/>
    <w:tmpl w:val="C972A5C2"/>
    <w:lvl w:ilvl="0">
      <w:start w:val="0"/>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6">
    <w:nsid w:val="624C4FFE"/>
    <w:multiLevelType w:val="hybridMultilevel"/>
    <w:tmpl w:val="55EA5958"/>
    <w:lvl w:ilvl="0">
      <w:start w:val="1"/>
      <w:numFmt w:val="decimal"/>
      <w:lvlText w:val="%1."/>
      <w:lvlJc w:val="left"/>
      <w:pPr>
        <w:tabs>
          <w:tab w:val="num" w:pos="720"/>
        </w:tabs>
        <w:ind w:hanging="360"/>
      </w:p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7">
    <w:nsid w:val="72A45B93"/>
    <w:multiLevelType w:val="hybridMultilevel"/>
    <w:tmpl w:val="7A28D3E2"/>
    <w:lvl w:ilvl="0">
      <w:start w:val="2"/>
      <w:numFmt w:val="upperLetter"/>
      <w:lvlText w:val="%1)"/>
      <w:lvlJc w:val="left"/>
      <w:pPr>
        <w:tabs>
          <w:tab w:val="num" w:pos="1068"/>
        </w:tabs>
        <w:ind w:hanging="360"/>
      </w:pPr>
      <w:rPr>
        <w:rFonts w:hint="default"/>
      </w:rPr>
    </w:lvl>
    <w:lvl w:ilvl="1">
      <w:start w:val="1"/>
      <w:numFmt w:val="lowerLetter"/>
      <w:lvlText w:val="%2."/>
      <w:lvlJc w:val="left"/>
      <w:pPr>
        <w:tabs>
          <w:tab w:val="num" w:pos="1788"/>
        </w:tabs>
        <w:ind w:hanging="360"/>
      </w:pPr>
    </w:lvl>
    <w:lvl w:ilvl="2">
      <w:start w:val="1"/>
      <w:numFmt w:val="lowerRoman"/>
      <w:lvlText w:val="%3."/>
      <w:lvlJc w:val="right"/>
      <w:pPr>
        <w:tabs>
          <w:tab w:val="num" w:pos="2508"/>
        </w:tabs>
        <w:ind w:hanging="180"/>
      </w:pPr>
    </w:lvl>
    <w:lvl w:ilvl="3">
      <w:start w:val="1"/>
      <w:numFmt w:val="decimal"/>
      <w:lvlText w:val="%4."/>
      <w:lvlJc w:val="left"/>
      <w:pPr>
        <w:tabs>
          <w:tab w:val="num" w:pos="3228"/>
        </w:tabs>
        <w:ind w:hanging="360"/>
      </w:pPr>
    </w:lvl>
    <w:lvl w:ilvl="4">
      <w:start w:val="1"/>
      <w:numFmt w:val="lowerLetter"/>
      <w:lvlText w:val="%5."/>
      <w:lvlJc w:val="left"/>
      <w:pPr>
        <w:tabs>
          <w:tab w:val="num" w:pos="3948"/>
        </w:tabs>
        <w:ind w:hanging="360"/>
      </w:pPr>
    </w:lvl>
    <w:lvl w:ilvl="5">
      <w:start w:val="1"/>
      <w:numFmt w:val="lowerRoman"/>
      <w:lvlText w:val="%6."/>
      <w:lvlJc w:val="right"/>
      <w:pPr>
        <w:tabs>
          <w:tab w:val="num" w:pos="4668"/>
        </w:tabs>
        <w:ind w:hanging="180"/>
      </w:pPr>
    </w:lvl>
    <w:lvl w:ilvl="6">
      <w:start w:val="1"/>
      <w:numFmt w:val="decimal"/>
      <w:lvlText w:val="%7."/>
      <w:lvlJc w:val="left"/>
      <w:pPr>
        <w:tabs>
          <w:tab w:val="num" w:pos="5388"/>
        </w:tabs>
        <w:ind w:hanging="360"/>
      </w:pPr>
    </w:lvl>
    <w:lvl w:ilvl="7">
      <w:start w:val="1"/>
      <w:numFmt w:val="lowerLetter"/>
      <w:lvlText w:val="%8."/>
      <w:lvlJc w:val="left"/>
      <w:pPr>
        <w:tabs>
          <w:tab w:val="num" w:pos="6108"/>
        </w:tabs>
        <w:ind w:hanging="360"/>
      </w:pPr>
    </w:lvl>
    <w:lvl w:ilvl="8">
      <w:start w:val="1"/>
      <w:numFmt w:val="lowerRoman"/>
      <w:lvlText w:val="%9."/>
      <w:lvlJc w:val="right"/>
      <w:pPr>
        <w:tabs>
          <w:tab w:val="num" w:pos="6828"/>
        </w:tabs>
        <w:ind w:hanging="180"/>
      </w:pPr>
    </w:lvl>
  </w:abstractNum>
  <w:abstractNum w:abstractNumId="18">
    <w:nsid w:val="72C53948"/>
    <w:multiLevelType w:val="hybridMultilevel"/>
    <w:tmpl w:val="55EA5958"/>
    <w:lvl w:ilvl="0">
      <w:start w:val="1"/>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num w:numId="1">
    <w:abstractNumId w:val="1"/>
  </w:num>
  <w:num w:numId="2">
    <w:abstractNumId w:val="15"/>
  </w:num>
  <w:num w:numId="3">
    <w:abstractNumId w:val="18"/>
  </w:num>
  <w:num w:numId="4">
    <w:abstractNumId w:val="8"/>
  </w:num>
  <w:num w:numId="5">
    <w:abstractNumId w:val="10"/>
  </w:num>
  <w:num w:numId="6">
    <w:abstractNumId w:val="11"/>
  </w:num>
  <w:num w:numId="7">
    <w:abstractNumId w:val="0"/>
    <w:lvlOverride w:ilvl="0">
      <w:lvl w:ilvl="0">
        <w:start w:val="2"/>
        <w:numFmt w:val="bullet"/>
        <w:lvlText w:val="-"/>
        <w:legacy w:legacy="1" w:legacySpace="120" w:legacyIndent="360"/>
        <w:lvlJc w:val="left"/>
        <w:pPr>
          <w:ind w:hanging="360"/>
        </w:pPr>
      </w:lvl>
    </w:lvlOverride>
  </w:num>
  <w:num w:numId="8">
    <w:abstractNumId w:val="2"/>
  </w:num>
  <w:num w:numId="9">
    <w:abstractNumId w:val="2"/>
    <w:lvlOverride w:ilvl="0">
      <w:startOverride w:val="1"/>
    </w:lvlOverride>
  </w:num>
  <w:num w:numId="10">
    <w:abstractNumId w:val="7"/>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6"/>
  </w:num>
  <w:num w:numId="16">
    <w:abstractNumId w:val="13"/>
  </w:num>
  <w:num w:numId="17">
    <w:abstractNumId w:val="5"/>
  </w:num>
  <w:num w:numId="18">
    <w:abstractNumId w:val="9"/>
  </w:num>
  <w:num w:numId="19">
    <w:abstractNumId w:val="12"/>
  </w:num>
  <w:num w:numId="20">
    <w:abstractNumId w:val="6"/>
  </w:num>
  <w:num w:numId="21">
    <w:abstractNumId w:val="17"/>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drawingGridHorizontalSpacing w:val="120"/>
  <w:drawingGridVerticalSpacing w:val="120"/>
  <w:displayVerticalDrawingGridEvery w:val="0"/>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overflowPunct w:val="0"/>
      <w:autoSpaceDE w:val="0"/>
      <w:autoSpaceDN w:val="0"/>
      <w:adjustRightInd w:val="0"/>
      <w:ind w:left="0" w:right="0"/>
      <w:jc w:val="left"/>
      <w:textAlignment w:val="baseline"/>
    </w:pPr>
    <w:rPr>
      <w:rFonts w:ascii="Arial" w:hAnsi="Arial" w:cs="Arial"/>
      <w:sz w:val="24"/>
      <w:lang w:val="sk-SK" w:eastAsia="sk-SK"/>
    </w:rPr>
  </w:style>
  <w:style w:type="paragraph" w:styleId="Heading1">
    <w:name w:val="heading 1"/>
    <w:basedOn w:val="Normal"/>
    <w:next w:val="Normal"/>
    <w:uiPriority w:val="99"/>
    <w:pPr>
      <w:keepNext/>
      <w:jc w:val="both"/>
      <w:outlineLvl w:val="0"/>
    </w:pPr>
    <w:rPr>
      <w:b/>
    </w:rPr>
  </w:style>
  <w:style w:type="paragraph" w:styleId="Heading2">
    <w:name w:val="heading 2"/>
    <w:basedOn w:val="Normal"/>
    <w:next w:val="Normal"/>
    <w:uiPriority w:val="99"/>
    <w:pPr>
      <w:keepNext/>
      <w:jc w:val="left"/>
      <w:outlineLvl w:val="1"/>
    </w:pPr>
  </w:style>
  <w:style w:type="paragraph" w:styleId="Heading3">
    <w:name w:val="heading 3"/>
    <w:basedOn w:val="Normal"/>
    <w:next w:val="Normal"/>
    <w:uiPriority w:val="99"/>
    <w:pPr>
      <w:keepNext/>
      <w:jc w:val="both"/>
      <w:outlineLvl w:val="2"/>
    </w:pPr>
    <w:rPr>
      <w:b/>
      <w:i/>
    </w:rPr>
  </w:style>
  <w:style w:type="paragraph" w:styleId="Heading4">
    <w:name w:val="heading 4"/>
    <w:basedOn w:val="Normal"/>
    <w:next w:val="Normal"/>
    <w:uiPriority w:val="99"/>
    <w:pPr>
      <w:keepNext/>
      <w:jc w:val="left"/>
      <w:outlineLvl w:val="3"/>
    </w:pPr>
    <w:rPr>
      <w:b/>
    </w:rPr>
  </w:style>
  <w:style w:type="paragraph" w:styleId="Heading5">
    <w:name w:val="heading 5"/>
    <w:basedOn w:val="Normal"/>
    <w:next w:val="Normal"/>
    <w:uiPriority w:val="99"/>
    <w:pPr>
      <w:keepNext/>
      <w:jc w:val="center"/>
      <w:outlineLvl w:val="4"/>
    </w:pPr>
    <w:rPr>
      <w:i/>
    </w:rPr>
  </w:style>
  <w:style w:type="paragraph" w:styleId="Heading6">
    <w:name w:val="heading 6"/>
    <w:basedOn w:val="Normal"/>
    <w:next w:val="Normal"/>
    <w:uiPriority w:val="99"/>
    <w:pPr>
      <w:keepNext/>
      <w:jc w:val="center"/>
      <w:outlineLvl w:val="5"/>
    </w:pPr>
    <w:rPr>
      <w:b/>
      <w:i/>
      <w:spacing w:val="20"/>
    </w:rPr>
  </w:style>
  <w:style w:type="paragraph" w:styleId="Heading7">
    <w:name w:val="heading 7"/>
    <w:basedOn w:val="Normal"/>
    <w:next w:val="Normal"/>
    <w:uiPriority w:val="99"/>
    <w:pPr>
      <w:keepNext/>
      <w:jc w:val="both"/>
      <w:outlineLvl w:val="6"/>
    </w:pPr>
    <w:rPr>
      <w:b/>
      <w:color w:val="008080"/>
      <w:lang w:val="cs-CZ"/>
    </w:rPr>
  </w:style>
  <w:style w:type="paragraph" w:styleId="Heading8">
    <w:name w:val="heading 8"/>
    <w:basedOn w:val="Normal"/>
    <w:next w:val="Normal"/>
    <w:uiPriority w:val="99"/>
    <w:pPr>
      <w:keepNext/>
      <w:ind w:left="360"/>
      <w:jc w:val="both"/>
      <w:outlineLvl w:val="7"/>
    </w:pPr>
    <w:rPr>
      <w:b/>
      <w:color w:val="008080"/>
      <w:lang w:val="cs-CZ"/>
    </w:rPr>
  </w:style>
  <w:style w:type="paragraph" w:styleId="Heading9">
    <w:name w:val="heading 9"/>
    <w:basedOn w:val="Normal"/>
    <w:next w:val="Normal"/>
    <w:uiPriority w:val="99"/>
    <w:pPr>
      <w:keepNext/>
      <w:jc w:val="left"/>
      <w:outlineLvl w:val="8"/>
    </w:pPr>
    <w:rPr>
      <w:b/>
      <w:color w:val="008080"/>
      <w:lang w:val="cs-CZ"/>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zkon">
    <w:name w:val="zákon"/>
    <w:basedOn w:val="Normal"/>
    <w:uiPriority w:val="99"/>
    <w:pPr>
      <w:jc w:val="left"/>
    </w:pPr>
  </w:style>
  <w:style w:type="paragraph" w:styleId="BodyText2">
    <w:name w:val="Body Text 2"/>
    <w:basedOn w:val="Normal"/>
    <w:uiPriority w:val="99"/>
    <w:pPr>
      <w:jc w:val="center"/>
    </w:pPr>
    <w:rPr>
      <w:b/>
    </w:rPr>
  </w:style>
  <w:style w:type="paragraph" w:styleId="BodyText">
    <w:name w:val="Body Text"/>
    <w:basedOn w:val="Normal"/>
    <w:uiPriority w:val="99"/>
    <w:pPr>
      <w:jc w:val="both"/>
    </w:pPr>
    <w:rPr>
      <w:b/>
    </w:rPr>
  </w:style>
  <w:style w:type="paragraph" w:customStyle="1" w:styleId="odrkaa">
    <w:name w:val="odrážka a"/>
    <w:basedOn w:val="Normal"/>
    <w:uiPriority w:val="99"/>
    <w:pPr>
      <w:spacing w:line="360" w:lineRule="atLeast"/>
      <w:jc w:val="both"/>
    </w:pPr>
    <w:rPr>
      <w:rFonts w:ascii="Georgia" w:hAnsi="Georgia" w:cs="Georgia"/>
      <w:lang w:val="cs-CZ"/>
    </w:rPr>
  </w:style>
  <w:style w:type="character" w:styleId="HTMLTypewriter">
    <w:name w:val="HTML Typewriter"/>
    <w:basedOn w:val="DefaultParagraphFont"/>
    <w:uiPriority w:val="99"/>
    <w:rPr>
      <w:rFonts w:ascii="Arial Unicode MS" w:eastAsia="Arial Unicode MS"/>
      <w:sz w:val="20"/>
    </w:rPr>
  </w:style>
  <w:style w:type="paragraph" w:styleId="Title">
    <w:name w:val="Title"/>
    <w:basedOn w:val="Normal"/>
    <w:uiPriority w:val="99"/>
    <w:pPr>
      <w:jc w:val="center"/>
    </w:pPr>
  </w:style>
  <w:style w:type="paragraph" w:styleId="BodyText3">
    <w:name w:val="Body Text 3"/>
    <w:basedOn w:val="Normal"/>
    <w:uiPriority w:val="99"/>
    <w:pPr>
      <w:jc w:val="left"/>
    </w:pPr>
    <w:rPr>
      <w:b/>
      <w:color w:val="800000"/>
    </w:rPr>
  </w:style>
  <w:style w:type="paragraph" w:styleId="BodyTextIndent2">
    <w:name w:val="Body Text Indent 2"/>
    <w:basedOn w:val="Normal"/>
    <w:uiPriority w:val="99"/>
    <w:pPr>
      <w:ind w:firstLine="708"/>
      <w:jc w:val="both"/>
    </w:pPr>
    <w:rPr>
      <w:b/>
    </w:rPr>
  </w:style>
  <w:style w:type="paragraph" w:styleId="Subtitle">
    <w:name w:val="Subtitle"/>
    <w:basedOn w:val="Normal"/>
    <w:uiPriority w:val="99"/>
    <w:pPr>
      <w:jc w:val="center"/>
    </w:pPr>
    <w:rPr>
      <w:b/>
    </w:rPr>
  </w:style>
  <w:style w:type="character" w:styleId="Emphasis">
    <w:name w:val="Emphasis"/>
    <w:basedOn w:val="DefaultParagraphFont"/>
    <w:uiPriority w:val="99"/>
    <w:rPr>
      <w:i/>
    </w:rPr>
  </w:style>
  <w:style w:type="paragraph" w:styleId="FootnoteText">
    <w:name w:val="footnote text"/>
    <w:basedOn w:val="Normal"/>
    <w:uiPriority w:val="99"/>
    <w:pPr>
      <w:jc w:val="left"/>
    </w:pPr>
    <w:rPr>
      <w:sz w:val="20"/>
    </w:rPr>
  </w:style>
  <w:style w:type="character" w:styleId="FootnoteReference">
    <w:name w:val="footnote reference"/>
    <w:basedOn w:val="DefaultParagraphFont"/>
    <w:uiPriority w:val="99"/>
    <w:rPr>
      <w:vertAlign w:val="superscript"/>
    </w:rPr>
  </w:style>
  <w:style w:type="paragraph" w:styleId="PlainText">
    <w:name w:val="Plain Text"/>
    <w:basedOn w:val="Normal"/>
    <w:uiPriority w:val="99"/>
    <w:pPr>
      <w:jc w:val="left"/>
    </w:pPr>
    <w:rPr>
      <w:rFonts w:ascii="Courier New" w:hAnsi="Courier New" w:cs="Courier New"/>
      <w:sz w:val="20"/>
    </w:rPr>
  </w:style>
  <w:style w:type="paragraph" w:styleId="Footer">
    <w:name w:val="footer"/>
    <w:basedOn w:val="Normal"/>
    <w:uiPriority w:val="99"/>
    <w:pPr>
      <w:tabs>
        <w:tab w:val="center" w:pos="4536"/>
        <w:tab w:val="right" w:pos="9072"/>
      </w:tabs>
      <w:jc w:val="left"/>
    </w:pPr>
  </w:style>
  <w:style w:type="character" w:customStyle="1" w:styleId="italic1">
    <w:name w:val="italic1"/>
    <w:basedOn w:val="DefaultParagraphFont"/>
    <w:uiPriority w:val="99"/>
    <w:rPr>
      <w:i/>
    </w:rPr>
  </w:style>
  <w:style w:type="paragraph" w:styleId="BodyTextIndent3">
    <w:name w:val="Body Text Indent 3"/>
    <w:basedOn w:val="Normal"/>
    <w:uiPriority w:val="99"/>
    <w:pPr>
      <w:ind w:firstLine="708"/>
      <w:jc w:val="both"/>
    </w:pPr>
  </w:style>
  <w:style w:type="character" w:styleId="PageNumber">
    <w:name w:val="page number"/>
    <w:basedOn w:val="DefaultParagraphFont"/>
    <w:uiPriority w:val="99"/>
  </w:style>
  <w:style w:type="paragraph" w:customStyle="1" w:styleId="Normlny1">
    <w:name w:val="Normálny1"/>
    <w:uiPriority w:val="99"/>
    <w:pPr>
      <w:widowControl w:val="0"/>
      <w:autoSpaceDE/>
      <w:autoSpaceDN/>
      <w:adjustRightInd/>
      <w:ind w:left="0" w:right="0"/>
      <w:jc w:val="left"/>
      <w:textAlignment w:val="auto"/>
    </w:pPr>
    <w:rPr>
      <w:rFonts w:ascii="Arial" w:hAnsi="Arial" w:cs="Arial"/>
      <w:sz w:val="20"/>
      <w:lang w:val="cs-CZ" w:eastAsia="en-US"/>
    </w:rPr>
  </w:style>
  <w:style w:type="paragraph" w:customStyle="1" w:styleId="xl24">
    <w:name w:val="xl24"/>
    <w:basedOn w:val="Normal"/>
    <w:uiPriority w:val="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eastAsia="Arial Unicode MS" w:cs="Times New Roman"/>
      <w:sz w:val="22"/>
      <w:lang w:val="cs-CZ" w:eastAsia="cs-CZ"/>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eastAsia="Arial Unicode MS" w:cs="Times New Roman"/>
      <w:b/>
      <w:sz w:val="22"/>
      <w:lang w:val="cs-CZ" w:eastAsia="cs-CZ"/>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eastAsia="Arial Unicode MS" w:cs="Times New Roman"/>
      <w:sz w:val="22"/>
      <w:lang w:val="cs-CZ" w:eastAsia="cs-CZ"/>
    </w:rPr>
  </w:style>
  <w:style w:type="paragraph" w:customStyle="1" w:styleId="xl27">
    <w:name w:val="xl27"/>
    <w:basedOn w:val="Normal"/>
    <w:uiPriority w:val="99"/>
    <w:pPr>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auto"/>
    </w:pPr>
    <w:rPr>
      <w:rFonts w:eastAsia="Arial Unicode MS" w:cs="Times New Roman"/>
      <w:sz w:val="22"/>
      <w:lang w:val="cs-CZ" w:eastAsia="cs-CZ"/>
    </w:rPr>
  </w:style>
  <w:style w:type="paragraph" w:customStyle="1" w:styleId="xl28">
    <w:name w:val="xl28"/>
    <w:basedOn w:val="Normal"/>
    <w:uiPriority w:val="99"/>
    <w:pPr>
      <w:pBdr>
        <w:top w:val="single" w:sz="4" w:space="0" w:color="auto"/>
        <w:left w:val="single" w:sz="4" w:space="0" w:color="auto"/>
      </w:pBdr>
      <w:overflowPunct/>
      <w:autoSpaceDE/>
      <w:autoSpaceDN/>
      <w:adjustRightInd/>
      <w:spacing w:before="100" w:beforeAutospacing="1" w:after="100" w:afterAutospacing="1"/>
      <w:jc w:val="both"/>
      <w:textAlignment w:val="top"/>
    </w:pPr>
    <w:rPr>
      <w:rFonts w:eastAsia="Arial Unicode MS" w:cs="Times New Roman"/>
      <w:sz w:val="22"/>
      <w:lang w:val="cs-CZ" w:eastAsia="cs-CZ"/>
    </w:rPr>
  </w:style>
  <w:style w:type="paragraph" w:customStyle="1" w:styleId="xl29">
    <w:name w:val="xl29"/>
    <w:basedOn w:val="Normal"/>
    <w:uiPriority w:val="99"/>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eastAsia="Arial Unicode MS" w:cs="Times New Roman"/>
      <w:sz w:val="22"/>
      <w:lang w:val="cs-CZ" w:eastAsia="cs-CZ"/>
    </w:rPr>
  </w:style>
  <w:style w:type="paragraph" w:customStyle="1" w:styleId="xl30">
    <w:name w:val="xl30"/>
    <w:basedOn w:val="Normal"/>
    <w:uiPriority w:val="99"/>
    <w:pPr>
      <w:pBdr>
        <w:top w:val="single" w:sz="4" w:space="0" w:color="auto"/>
        <w:bottom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Times New Roman"/>
      <w:lang w:val="cs-CZ" w:eastAsia="cs-CZ"/>
    </w:rPr>
  </w:style>
  <w:style w:type="paragraph" w:customStyle="1" w:styleId="xl31">
    <w:name w:val="xl31"/>
    <w:basedOn w:val="Normal"/>
    <w:uiPriority w:val="99"/>
    <w:pPr>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Times New Roman"/>
      <w:lang w:val="cs-CZ" w:eastAsia="cs-CZ"/>
    </w:rPr>
  </w:style>
  <w:style w:type="paragraph" w:customStyle="1" w:styleId="xl32">
    <w:name w:val="xl32"/>
    <w:basedOn w:val="Normal"/>
    <w:uiPriority w:val="99"/>
    <w:pPr>
      <w:pBdr>
        <w:top w:val="single" w:sz="4" w:space="0" w:color="auto"/>
        <w:right w:val="single" w:sz="4" w:space="0" w:color="auto"/>
      </w:pBdr>
      <w:overflowPunct/>
      <w:autoSpaceDE/>
      <w:autoSpaceDN/>
      <w:adjustRightInd/>
      <w:spacing w:before="100" w:beforeAutospacing="1" w:after="100" w:afterAutospacing="1"/>
      <w:jc w:val="center"/>
      <w:textAlignment w:val="top"/>
    </w:pPr>
    <w:rPr>
      <w:rFonts w:eastAsia="Arial Unicode MS" w:cs="Times New Roman"/>
      <w:b/>
      <w:sz w:val="22"/>
      <w:lang w:val="cs-CZ" w:eastAsia="cs-CZ"/>
    </w:rPr>
  </w:style>
  <w:style w:type="paragraph" w:customStyle="1" w:styleId="xl33">
    <w:name w:val="xl33"/>
    <w:basedOn w:val="Normal"/>
    <w:uiPriority w:val="99"/>
    <w:pPr>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Times New Roman"/>
      <w:sz w:val="22"/>
      <w:lang w:val="cs-CZ" w:eastAsia="cs-CZ"/>
    </w:rPr>
  </w:style>
  <w:style w:type="paragraph" w:customStyle="1" w:styleId="xl34">
    <w:name w:val="xl34"/>
    <w:basedOn w:val="Normal"/>
    <w:uiPriority w:val="99"/>
    <w:pPr>
      <w:pBdr>
        <w:bottom w:val="single" w:sz="4" w:space="0" w:color="auto"/>
        <w:right w:val="single" w:sz="4" w:space="0" w:color="auto"/>
      </w:pBdr>
      <w:overflowPunct/>
      <w:autoSpaceDE/>
      <w:autoSpaceDN/>
      <w:adjustRightInd/>
      <w:spacing w:before="100" w:beforeAutospacing="1" w:after="100" w:afterAutospacing="1"/>
      <w:jc w:val="center"/>
      <w:textAlignment w:val="top"/>
    </w:pPr>
    <w:rPr>
      <w:rFonts w:eastAsia="Arial Unicode MS" w:cs="Times New Roman"/>
      <w:sz w:val="22"/>
      <w:lang w:val="cs-CZ" w:eastAsia="cs-CZ"/>
    </w:rPr>
  </w:style>
  <w:style w:type="paragraph" w:customStyle="1" w:styleId="xl35">
    <w:name w:val="xl35"/>
    <w:basedOn w:val="Normal"/>
    <w:uiPriority w:val="99"/>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eastAsia="Arial Unicode MS" w:cs="Times New Roman"/>
      <w:sz w:val="22"/>
      <w:lang w:val="cs-CZ" w:eastAsia="cs-CZ"/>
    </w:rPr>
  </w:style>
  <w:style w:type="paragraph" w:customStyle="1" w:styleId="xl36">
    <w:name w:val="xl36"/>
    <w:basedOn w:val="Normal"/>
    <w:uiPriority w:val="99"/>
    <w:pPr>
      <w:pBdr>
        <w:left w:val="single" w:sz="4" w:space="0" w:color="auto"/>
        <w:bottom w:val="single" w:sz="4" w:space="0" w:color="auto"/>
      </w:pBdr>
      <w:overflowPunct/>
      <w:autoSpaceDE/>
      <w:autoSpaceDN/>
      <w:adjustRightInd/>
      <w:spacing w:before="100" w:beforeAutospacing="1" w:after="100" w:afterAutospacing="1"/>
      <w:jc w:val="center"/>
      <w:textAlignment w:val="top"/>
    </w:pPr>
    <w:rPr>
      <w:rFonts w:eastAsia="Arial Unicode MS" w:cs="Times New Roman"/>
      <w:sz w:val="22"/>
      <w:lang w:val="cs-CZ" w:eastAsia="cs-CZ"/>
    </w:rPr>
  </w:style>
  <w:style w:type="paragraph" w:customStyle="1" w:styleId="xl37">
    <w:name w:val="xl37"/>
    <w:basedOn w:val="Normal"/>
    <w:uiPriority w:val="99"/>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Unicode MS" w:eastAsia="Arial Unicode MS" w:hAnsi="Arial Unicode MS" w:cs="Times New Roman"/>
      <w:b/>
      <w:sz w:val="22"/>
      <w:lang w:val="cs-CZ" w:eastAsia="cs-CZ"/>
    </w:rPr>
  </w:style>
  <w:style w:type="paragraph" w:customStyle="1" w:styleId="xl38">
    <w:name w:val="xl38"/>
    <w:basedOn w:val="Normal"/>
    <w:uiPriority w:val="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eastAsia="Arial Unicode MS" w:cs="Times New Roman"/>
      <w:b/>
      <w:sz w:val="22"/>
      <w:lang w:val="cs-CZ" w:eastAsia="cs-CZ"/>
    </w:rPr>
  </w:style>
  <w:style w:type="paragraph" w:customStyle="1" w:styleId="xl39">
    <w:name w:val="xl39"/>
    <w:basedOn w:val="Normal"/>
    <w:uiPriority w:val="99"/>
    <w:pPr>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auto"/>
    </w:pPr>
    <w:rPr>
      <w:rFonts w:eastAsia="Arial Unicode MS" w:cs="Times New Roman"/>
      <w:b/>
      <w:sz w:val="22"/>
      <w:lang w:val="cs-CZ" w:eastAsia="cs-CZ"/>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top"/>
    </w:pPr>
    <w:rPr>
      <w:rFonts w:eastAsia="Arial Unicode MS" w:cs="Times New Roman"/>
      <w:b/>
      <w:sz w:val="22"/>
      <w:lang w:val="cs-CZ" w:eastAsia="cs-CZ"/>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top"/>
    </w:pPr>
    <w:rPr>
      <w:rFonts w:eastAsia="Arial Unicode MS" w:cs="Times New Roman"/>
      <w:b/>
      <w:sz w:val="22"/>
      <w:lang w:val="cs-CZ" w:eastAsia="cs-CZ"/>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top"/>
    </w:pPr>
    <w:rPr>
      <w:rFonts w:eastAsia="Arial Unicode MS" w:cs="Times New Roman"/>
      <w:sz w:val="22"/>
      <w:lang w:val="cs-CZ" w:eastAsia="cs-CZ"/>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rFonts w:eastAsia="Arial Unicode MS" w:cs="Times New Roman"/>
      <w:b/>
      <w:sz w:val="22"/>
      <w:lang w:val="cs-CZ" w:eastAsia="cs-CZ"/>
    </w:rPr>
  </w:style>
  <w:style w:type="paragraph" w:styleId="Header">
    <w:name w:val="header"/>
    <w:basedOn w:val="Normal"/>
    <w:uiPriority w:val="99"/>
    <w:pPr>
      <w:tabs>
        <w:tab w:val="center" w:pos="4536"/>
        <w:tab w:val="right" w:pos="9072"/>
      </w:tabs>
      <w:overflowPunct/>
      <w:autoSpaceDE/>
      <w:autoSpaceDN/>
      <w:adjustRightInd/>
      <w:jc w:val="left"/>
      <w:textAlignment w:val="auto"/>
    </w:pPr>
    <w:rPr>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28</TotalTime>
  <Pages>16</Pages>
  <Words>5747</Words>
  <Characters>-32766</Characters>
  <Application>Microsoft Office Word</Application>
  <DocSecurity>0</DocSecurity>
  <Lines>0</Lines>
  <Paragraphs>0</Paragraphs>
  <ScaleCrop>false</ScaleCrop>
  <Company>ŠÚ 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Zbierka zákonov č</dc:title>
  <dc:creator>DEFAULT PC</dc:creator>
  <cp:lastModifiedBy>******</cp:lastModifiedBy>
  <cp:revision>5</cp:revision>
  <cp:lastPrinted>2008-03-11T14:45:00Z</cp:lastPrinted>
  <dcterms:created xsi:type="dcterms:W3CDTF">2008-04-15T12:04:00Z</dcterms:created>
  <dcterms:modified xsi:type="dcterms:W3CDTF">2008-04-24T12:14:00Z</dcterms:modified>
</cp:coreProperties>
</file>