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pBdr>
          <w:bottom w:val="single" w:sz="12" w:space="1" w:color="auto"/>
        </w:pBdr>
        <w:rPr>
          <w:b/>
          <w:caps/>
          <w:szCs w:val="24"/>
        </w:rPr>
      </w:pPr>
      <w:r>
        <w:rPr>
          <w:b/>
          <w:caps/>
          <w:szCs w:val="24"/>
        </w:rPr>
        <w:t>NÁrodná rada SLOVENSKEJ REPUBLIKY</w:t>
      </w:r>
    </w:p>
    <w:p>
      <w:pPr>
        <w:pStyle w:val="Title"/>
        <w:pBdr>
          <w:bottom w:val="single" w:sz="12" w:space="1" w:color="auto"/>
        </w:pBdr>
        <w:rPr>
          <w:b/>
          <w:caps/>
          <w:szCs w:val="24"/>
        </w:rPr>
      </w:pPr>
    </w:p>
    <w:p>
      <w:pPr>
        <w:pStyle w:val="Title"/>
        <w:pBdr>
          <w:bottom w:val="single" w:sz="12" w:space="1" w:color="auto"/>
        </w:pBdr>
        <w:rPr>
          <w:b/>
          <w:szCs w:val="24"/>
        </w:rPr>
      </w:pPr>
      <w:r>
        <w:rPr>
          <w:b/>
          <w:caps/>
          <w:szCs w:val="24"/>
        </w:rPr>
        <w:t xml:space="preserve">IV. </w:t>
      </w:r>
      <w:r>
        <w:rPr>
          <w:b/>
          <w:szCs w:val="24"/>
        </w:rPr>
        <w:t>volebné obdobie</w:t>
      </w:r>
    </w:p>
    <w:p>
      <w:pPr>
        <w:tabs>
          <w:tab w:val="left" w:pos="3686"/>
          <w:tab w:val="left" w:pos="5670"/>
        </w:tabs>
        <w:jc w:val="center"/>
        <w:rPr>
          <w:b/>
          <w:sz w:val="28"/>
          <w:szCs w:val="24"/>
        </w:rPr>
      </w:pPr>
    </w:p>
    <w:p>
      <w:pPr>
        <w:tabs>
          <w:tab w:val="left" w:pos="3686"/>
          <w:tab w:val="left" w:pos="5670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610</w:t>
      </w:r>
    </w:p>
    <w:p>
      <w:pPr>
        <w:tabs>
          <w:tab w:val="left" w:pos="3686"/>
          <w:tab w:val="left" w:pos="5670"/>
        </w:tabs>
        <w:jc w:val="center"/>
        <w:rPr>
          <w:szCs w:val="24"/>
        </w:rPr>
      </w:pPr>
    </w:p>
    <w:p>
      <w:pPr>
        <w:tabs>
          <w:tab w:val="left" w:pos="3686"/>
          <w:tab w:val="left" w:pos="5670"/>
        </w:tabs>
        <w:jc w:val="center"/>
        <w:rPr>
          <w:b/>
          <w:szCs w:val="24"/>
        </w:rPr>
      </w:pPr>
      <w:r>
        <w:rPr>
          <w:b/>
          <w:szCs w:val="24"/>
        </w:rPr>
        <w:t>VLÁDNY  NÁVRH</w:t>
      </w:r>
    </w:p>
    <w:p>
      <w:pPr>
        <w:jc w:val="center"/>
        <w:rPr>
          <w:b/>
          <w:szCs w:val="24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>Zákon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>
      <w:pPr>
        <w:jc w:val="center"/>
        <w:rPr>
          <w:b/>
          <w:szCs w:val="24"/>
        </w:rPr>
      </w:pPr>
      <w:r>
        <w:rPr>
          <w:b/>
          <w:szCs w:val="24"/>
        </w:rPr>
        <w:t>z .......... 2008</w:t>
      </w:r>
    </w:p>
    <w:p>
      <w:pPr>
        <w:jc w:val="center"/>
        <w:rPr>
          <w:szCs w:val="24"/>
        </w:rPr>
      </w:pPr>
    </w:p>
    <w:p>
      <w:pPr>
        <w:jc w:val="center"/>
        <w:rPr>
          <w:b/>
          <w:szCs w:val="24"/>
        </w:rPr>
      </w:pPr>
      <w:r>
        <w:rPr>
          <w:b/>
          <w:szCs w:val="24"/>
        </w:rPr>
        <w:t xml:space="preserve"> o sčítaní obyvateľov, domov a bytov v roku 2011</w:t>
      </w:r>
    </w:p>
    <w:p>
      <w:pPr>
        <w:rPr>
          <w:szCs w:val="24"/>
        </w:rPr>
      </w:pPr>
      <w:r>
        <w:rPr>
          <w:szCs w:val="24"/>
        </w:rPr>
        <w:t xml:space="preserve"> </w:t>
      </w:r>
    </w:p>
    <w:p>
      <w:pPr>
        <w:pStyle w:val="BodyText2"/>
        <w:jc w:val="center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Národná rada Slovenskej republiky sa uzniesla na tomto zákone: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zkon"/>
        <w:jc w:val="center"/>
        <w:rPr>
          <w:szCs w:val="24"/>
        </w:rPr>
      </w:pPr>
      <w:r>
        <w:rPr>
          <w:szCs w:val="24"/>
        </w:rPr>
        <w:t>§ 1</w:t>
      </w:r>
    </w:p>
    <w:p>
      <w:pPr>
        <w:pStyle w:val="zkon"/>
        <w:jc w:val="center"/>
        <w:rPr>
          <w:szCs w:val="24"/>
        </w:rPr>
      </w:pPr>
      <w:r>
        <w:rPr>
          <w:szCs w:val="24"/>
        </w:rPr>
        <w:t>Predmet úpravy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pStyle w:val="BodyText3"/>
        <w:ind w:firstLine="360"/>
        <w:rPr>
          <w:color w:val="auto"/>
          <w:szCs w:val="24"/>
        </w:rPr>
      </w:pPr>
      <w:r>
        <w:rPr>
          <w:i w:val="0"/>
          <w:color w:val="auto"/>
          <w:szCs w:val="24"/>
          <w:u w:val="none"/>
        </w:rPr>
        <w:t>Tento zákon ustanovuje obsah, rozsah a spôsob vykonania sčítania obyvateľov, domov a bytov v roku 2011 (ďalej len "sčítanie"), ako osobitného druhu štatistického zisťovania, rozhodujúci okamih sčítania, pôsobnosť ústredných orgánov štátnej správy, obvodných úradov, obcí, vyšších územných celkov, povinnosti iných osôb súvisiacich so sčítaním</w:t>
      </w:r>
      <w:r>
        <w:rPr>
          <w:color w:val="auto"/>
          <w:szCs w:val="24"/>
          <w:u w:val="none"/>
        </w:rPr>
        <w:t xml:space="preserve"> </w:t>
      </w:r>
      <w:r>
        <w:rPr>
          <w:i w:val="0"/>
          <w:color w:val="auto"/>
          <w:szCs w:val="24"/>
          <w:u w:val="none"/>
        </w:rPr>
        <w:t xml:space="preserve">a využitie získaných údajov. </w:t>
      </w:r>
      <w:r>
        <w:rPr>
          <w:color w:val="auto"/>
          <w:szCs w:val="24"/>
        </w:rPr>
        <w:t xml:space="preserve"> 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tabs>
          <w:tab w:val="left" w:pos="720"/>
        </w:tabs>
        <w:ind w:left="360"/>
        <w:jc w:val="center"/>
        <w:rPr>
          <w:szCs w:val="24"/>
        </w:rPr>
      </w:pPr>
      <w:r>
        <w:rPr>
          <w:szCs w:val="24"/>
        </w:rPr>
        <w:t xml:space="preserve">§ </w:t>
      </w:r>
      <w:r>
        <w:rPr>
          <w:i/>
          <w:szCs w:val="24"/>
        </w:rPr>
        <w:t xml:space="preserve"> </w:t>
      </w:r>
      <w:r>
        <w:rPr>
          <w:szCs w:val="24"/>
        </w:rPr>
        <w:t>2</w:t>
      </w:r>
    </w:p>
    <w:p>
      <w:pPr>
        <w:pStyle w:val="zkon"/>
        <w:jc w:val="center"/>
        <w:rPr>
          <w:szCs w:val="24"/>
        </w:rPr>
      </w:pPr>
      <w:r>
        <w:rPr>
          <w:szCs w:val="24"/>
        </w:rPr>
        <w:t>Zisťované údaje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i/>
          <w:szCs w:val="24"/>
          <w:u w:val="single"/>
        </w:rPr>
      </w:pPr>
      <w:r>
        <w:rPr>
          <w:szCs w:val="24"/>
        </w:rPr>
        <w:t>(1) Sčítaním sa zisťujú údaje o</w:t>
      </w:r>
    </w:p>
    <w:p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obyvateľoch, </w:t>
      </w:r>
    </w:p>
    <w:p>
      <w:pPr>
        <w:numPr>
          <w:numId w:val="36"/>
        </w:numPr>
        <w:tabs>
          <w:tab w:val="left" w:pos="720"/>
        </w:tabs>
        <w:ind w:left="1080"/>
        <w:jc w:val="both"/>
        <w:rPr>
          <w:szCs w:val="24"/>
        </w:rPr>
      </w:pPr>
      <w:r>
        <w:rPr>
          <w:szCs w:val="24"/>
        </w:rPr>
        <w:t xml:space="preserve">štátnych občanoch Slovenskej republiky, </w:t>
      </w:r>
      <w:r>
        <w:rPr>
          <w:rStyle w:val="FootnoteReference"/>
          <w:szCs w:val="24"/>
        </w:rPr>
        <w:footnoteReference w:customMarkFollows="1" w:id="2"/>
        <w:t xml:space="preserve">1</w:t>
      </w:r>
      <w:r>
        <w:rPr>
          <w:rStyle w:val="FootnoteReference"/>
          <w:szCs w:val="24"/>
        </w:rPr>
        <w:t>)</w:t>
      </w:r>
      <w:r>
        <w:rPr>
          <w:szCs w:val="24"/>
        </w:rPr>
        <w:t xml:space="preserve"> </w:t>
      </w:r>
    </w:p>
    <w:p>
      <w:pPr>
        <w:numPr>
          <w:numId w:val="36"/>
        </w:numPr>
        <w:tabs>
          <w:tab w:val="left" w:pos="720"/>
        </w:tabs>
        <w:ind w:left="1080"/>
        <w:jc w:val="both"/>
        <w:rPr>
          <w:szCs w:val="24"/>
        </w:rPr>
      </w:pPr>
      <w:r>
        <w:rPr>
          <w:szCs w:val="24"/>
        </w:rPr>
        <w:t xml:space="preserve">cudzincoch </w:t>
      </w:r>
      <w:r>
        <w:rPr>
          <w:rStyle w:val="FootnoteReference"/>
          <w:szCs w:val="24"/>
        </w:rPr>
        <w:footnoteReference w:customMarkFollows="1" w:id="3"/>
        <w:t xml:space="preserve">2</w:t>
      </w:r>
      <w:r>
        <w:rPr>
          <w:rStyle w:val="FootnoteReference"/>
          <w:szCs w:val="24"/>
        </w:rPr>
        <w:t>)</w:t>
      </w:r>
      <w:r>
        <w:rPr>
          <w:szCs w:val="24"/>
        </w:rPr>
        <w:t xml:space="preserve"> zdržujúcich sa na území Slovenskej republiky</w:t>
      </w:r>
    </w:p>
    <w:p>
      <w:p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      v rozhodujúcom okamihu sčítania,</w:t>
      </w:r>
    </w:p>
    <w:p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úrovni bývania obyvateľov, </w:t>
      </w:r>
    </w:p>
    <w:p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štruktúre domového a bytového fondu. </w:t>
      </w:r>
    </w:p>
    <w:p>
      <w:pPr>
        <w:pStyle w:val="BodyText2"/>
        <w:rPr>
          <w:b w:val="0"/>
          <w:color w:val="auto"/>
          <w:szCs w:val="24"/>
        </w:rPr>
      </w:pPr>
    </w:p>
    <w:p>
      <w:pPr>
        <w:pStyle w:val="BodyText"/>
        <w:rPr>
          <w:b w:val="0"/>
          <w:szCs w:val="24"/>
        </w:rPr>
      </w:pPr>
      <w:r>
        <w:rPr>
          <w:b w:val="0"/>
          <w:szCs w:val="24"/>
        </w:rPr>
        <w:t xml:space="preserve">(2) Zoznam údajov zisťovaných pri sčítaní podľa odseku 1 (ďalej len "zoznam“) je uvedený v prílohe.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BodyText2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(3) Podrobnosti o charakteristikách, základných znakoch a štruktúre zisťovaných údajov uvedených v zozname a vzor sčítacieho tlačiva ustanoví opatrenie, ktoré vydá Štatistický úrad Slovenskej republiky (ďalej len „úrad“) a ktoré sa vyhlasuje  v Zbierke zákonov Slovenskej republiky. </w:t>
      </w:r>
      <w:r>
        <w:rPr>
          <w:b w:val="0"/>
          <w:i/>
          <w:color w:val="auto"/>
          <w:szCs w:val="24"/>
          <w:u w:val="single"/>
        </w:rPr>
        <w:t xml:space="preserve"> </w:t>
      </w:r>
    </w:p>
    <w:p>
      <w:pPr>
        <w:pStyle w:val="BodyText2"/>
        <w:rPr>
          <w:b w:val="0"/>
          <w:i/>
          <w:color w:val="FF0000"/>
          <w:szCs w:val="24"/>
          <w:u w:val="single"/>
        </w:rPr>
      </w:pPr>
    </w:p>
    <w:p>
      <w:pPr>
        <w:jc w:val="both"/>
        <w:rPr>
          <w:szCs w:val="24"/>
        </w:rPr>
      </w:pPr>
      <w:r>
        <w:rPr>
          <w:szCs w:val="24"/>
        </w:rPr>
        <w:t>(4) Sčítanie sa vzťahuje na</w:t>
      </w:r>
      <w:r>
        <w:rPr>
          <w:color w:val="008000"/>
          <w:szCs w:val="24"/>
        </w:rPr>
        <w:t xml:space="preserve"> </w:t>
      </w:r>
    </w:p>
    <w:p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obyvateľov okrem cudzincov používajúcich diplomatické výsady a imunitu, </w:t>
      </w:r>
    </w:p>
    <w:p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na každú budovu určenú na bývanie </w:t>
      </w:r>
      <w:r>
        <w:rPr>
          <w:rStyle w:val="FootnoteReference"/>
          <w:szCs w:val="24"/>
        </w:rPr>
        <w:footnoteReference w:customMarkFollows="1" w:id="4"/>
        <w:t xml:space="preserve">3</w:t>
      </w:r>
      <w:r>
        <w:rPr>
          <w:rStyle w:val="FootnoteReference"/>
          <w:szCs w:val="24"/>
        </w:rPr>
        <w:t>)</w:t>
      </w:r>
      <w:r>
        <w:rPr>
          <w:szCs w:val="24"/>
        </w:rPr>
        <w:t xml:space="preserve"> alebo  inú budovu </w:t>
      </w:r>
      <w:r>
        <w:rPr>
          <w:rStyle w:val="FootnoteReference"/>
          <w:szCs w:val="24"/>
        </w:rPr>
        <w:footnoteReference w:customMarkFollows="1" w:id="5"/>
        <w:t xml:space="preserve">4</w:t>
      </w:r>
      <w:r>
        <w:rPr>
          <w:rStyle w:val="FootnoteReference"/>
          <w:szCs w:val="24"/>
        </w:rPr>
        <w:t>)</w:t>
      </w:r>
      <w:r>
        <w:rPr>
          <w:szCs w:val="24"/>
        </w:rPr>
        <w:t xml:space="preserve"> (ďalej len „dom“), ktorá je obývaná v rozhodujúcom okamihu sčítania podľa § 4 ods. 1. okrem zastupiteľských úradov cudzích štátov, </w:t>
      </w:r>
    </w:p>
    <w:p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byty. </w:t>
      </w:r>
      <w:r>
        <w:rPr>
          <w:rStyle w:val="FootnoteReference"/>
          <w:szCs w:val="24"/>
        </w:rPr>
        <w:footnoteReference w:customMarkFollows="1" w:id="6"/>
        <w:t xml:space="preserve">5</w:t>
      </w:r>
      <w:r>
        <w:rPr>
          <w:rStyle w:val="FootnoteReference"/>
          <w:szCs w:val="24"/>
        </w:rPr>
        <w:t>)</w:t>
      </w:r>
    </w:p>
    <w:p>
      <w:pPr>
        <w:tabs>
          <w:tab w:val="left" w:pos="720"/>
        </w:tabs>
        <w:ind w:left="360"/>
        <w:jc w:val="center"/>
        <w:rPr>
          <w:szCs w:val="24"/>
        </w:rPr>
      </w:pPr>
    </w:p>
    <w:p>
      <w:pPr>
        <w:tabs>
          <w:tab w:val="left" w:pos="720"/>
        </w:tabs>
        <w:ind w:left="360"/>
        <w:jc w:val="center"/>
        <w:rPr>
          <w:szCs w:val="24"/>
        </w:rPr>
      </w:pPr>
      <w:r>
        <w:rPr>
          <w:szCs w:val="24"/>
        </w:rPr>
        <w:t>§ 3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 xml:space="preserve"> Poskytovanie zisťovaných údajov</w:t>
      </w:r>
    </w:p>
    <w:p>
      <w:pPr>
        <w:jc w:val="both"/>
        <w:rPr>
          <w:szCs w:val="24"/>
        </w:rPr>
      </w:pPr>
    </w:p>
    <w:p>
      <w:pPr>
        <w:pStyle w:val="odrkaa"/>
        <w:spacing w:line="240" w:lineRule="auto"/>
        <w:rPr>
          <w:rFonts w:ascii="Arial" w:hAnsi="Arial" w:cs="Arial"/>
          <w:i/>
          <w:szCs w:val="24"/>
          <w:u w:val="single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(1) Na účely sčítania je povinný poskytnúť údaje obyvateľ okrem cudzinca podľa § 2 ods. 4 písm. a) v rozsahu uvedenom v zozname. </w:t>
      </w:r>
    </w:p>
    <w:p>
      <w:pPr>
        <w:jc w:val="both"/>
        <w:rPr>
          <w:szCs w:val="24"/>
        </w:rPr>
      </w:pPr>
    </w:p>
    <w:p>
      <w:pPr>
        <w:pStyle w:val="BodyText2"/>
        <w:rPr>
          <w:b w:val="0"/>
          <w:color w:val="auto"/>
          <w:szCs w:val="24"/>
          <w:u w:val="single"/>
        </w:rPr>
      </w:pPr>
      <w:r>
        <w:rPr>
          <w:b w:val="0"/>
          <w:color w:val="auto"/>
          <w:szCs w:val="24"/>
        </w:rPr>
        <w:t xml:space="preserve">(2) Cudzinec, ktorý má pobyt na území Slovenskej republiky kratší ako 90 dní, je povinný poskytnúť údaje podľa bodov 2, 3 a 6 zoznamu. 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(3) Za neplnoletého obyvateľa a za obyvateľa, ktorý nemôže sám poskytnúť údaje, je povinný  poskytnúť  údaje  jeho  zákonný  zástupca </w:t>
      </w:r>
      <w:r>
        <w:rPr>
          <w:rStyle w:val="FootnoteReference"/>
          <w:szCs w:val="24"/>
        </w:rPr>
        <w:footnoteReference w:customMarkFollows="1" w:id="7"/>
        <w:t xml:space="preserve">6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  <w:r>
        <w:rPr>
          <w:szCs w:val="24"/>
        </w:rPr>
        <w:t xml:space="preserve"> alebo blízka osoba </w:t>
      </w:r>
      <w:r>
        <w:rPr>
          <w:rStyle w:val="FootnoteReference"/>
          <w:szCs w:val="24"/>
        </w:rPr>
        <w:footnoteReference w:customMarkFollows="1" w:id="8"/>
        <w:t xml:space="preserve">7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  <w:r>
        <w:rPr>
          <w:szCs w:val="24"/>
        </w:rPr>
        <w:t xml:space="preserve"> alebo osoba žijúca s ním spoločne v domácnosti. </w:t>
      </w:r>
      <w:r>
        <w:rPr>
          <w:rStyle w:val="FootnoteReference"/>
          <w:szCs w:val="24"/>
        </w:rPr>
        <w:footnoteReference w:customMarkFollows="1" w:id="9"/>
        <w:t xml:space="preserve">8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(4) Za obyvateľa v ubytovacom zariadení, ktorý nemôže sám poskytnúť údaje zo  zdravotných dôvodov alebo ktorý je neplnoletým obyvateľom, je povinný poskytnúť údaje ubytovateľ. </w:t>
      </w:r>
      <w:r>
        <w:rPr>
          <w:rStyle w:val="FootnoteReference"/>
          <w:szCs w:val="24"/>
        </w:rPr>
        <w:footnoteReference w:customMarkFollows="1" w:id="10"/>
        <w:t xml:space="preserve">9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(5) Za obyvateľa, ktorému sa poskytuje starostlivosť v zariadení sociálnych služieb   alebo ktorému sa poskytujú sociálne služby inými právnickými osobami </w:t>
      </w:r>
      <w:r>
        <w:rPr>
          <w:rStyle w:val="FootnoteReference"/>
          <w:szCs w:val="24"/>
        </w:rPr>
        <w:footnoteReference w:customMarkFollows="1" w:id="11"/>
        <w:t xml:space="preserve">1</w:t>
      </w:r>
      <w:r>
        <w:rPr>
          <w:rStyle w:val="FootnoteReference"/>
          <w:szCs w:val="24"/>
        </w:rPr>
        <w:t>0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celoročne  a ktorý nemôže sám poskytnúť údaje, je ich povinný poskytnúť  vedúci zariadenia alebo ním písomne poverený zamestnanec.</w:t>
      </w:r>
      <w:r>
        <w:rPr>
          <w:rStyle w:val="FootnoteReference"/>
          <w:szCs w:val="24"/>
        </w:rPr>
        <w:footnoteReference w:customMarkFollows="1" w:id="12"/>
        <w:t xml:space="preserve">1</w:t>
      </w:r>
      <w:r>
        <w:rPr>
          <w:rStyle w:val="FootnoteReference"/>
          <w:szCs w:val="24"/>
        </w:rPr>
        <w:t>1)</w:t>
      </w:r>
      <w:r>
        <w:rPr>
          <w:szCs w:val="24"/>
        </w:rPr>
        <w:t xml:space="preserve"> 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(6) Pri sčítaní domov je povinný poskytnúť údaje vlastník domu alebo správca domu alebo nájomca domu.</w:t>
      </w:r>
    </w:p>
    <w:p>
      <w:pPr>
        <w:jc w:val="both"/>
        <w:rPr>
          <w:szCs w:val="24"/>
        </w:rPr>
      </w:pP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 xml:space="preserve">(7) Pri sčítaní bytov je povinný poskytnúť údaje vlastník bytu alebo správca bytu alebo nájomca alebo podnájomník.  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  <w:u w:val="single"/>
        </w:rPr>
      </w:pPr>
      <w:r>
        <w:rPr>
          <w:szCs w:val="24"/>
        </w:rPr>
        <w:t>(8) Každý, kto je povinný poskytnúť údaje podľa odsekov 1 až 7, ich  poskytne úplne, správne, pravdivo a včas; tým nie sú dotknuté ustanovenia osobitných predpisov.</w:t>
      </w:r>
      <w:r>
        <w:rPr>
          <w:rStyle w:val="FootnoteReference"/>
          <w:szCs w:val="24"/>
        </w:rPr>
        <w:footnoteReference w:customMarkFollows="1" w:id="13"/>
        <w:t xml:space="preserve">1</w:t>
      </w:r>
      <w:r>
        <w:rPr>
          <w:rStyle w:val="FootnoteReference"/>
          <w:szCs w:val="24"/>
        </w:rPr>
        <w:t>2)</w:t>
      </w:r>
      <w:r>
        <w:rPr>
          <w:szCs w:val="24"/>
        </w:rPr>
        <w:t xml:space="preserve"> </w:t>
      </w:r>
    </w:p>
    <w:p>
      <w:pPr>
        <w:pStyle w:val="BodyText2"/>
        <w:rPr>
          <w:b w:val="0"/>
          <w:color w:val="auto"/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§ 4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Rozhodujúci okamih a čas sčítania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(1) Sčítanie sa vykoná na celom území Slovenskej republiky k 21. máju 2011.  Rozhodujúcim  okamihom  sčítania  je  polnoc  z piatku 20. mája 2011 na sobotu   21. mája 2011, ku ktorému sa zisťujú údaje uvedené v zozname.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(2) Čas sčítania je doba, počas ktorej sa sčítanie vykoná.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>(3) Vláda Slovenskej republiky nariadením ustanoví čas sčítania tak, aby bol známy najneskôr 120 dní pred jeho vykonaním.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szCs w:val="24"/>
        </w:rPr>
      </w:pPr>
      <w:r>
        <w:rPr>
          <w:szCs w:val="24"/>
        </w:rPr>
        <w:t>§ 5</w:t>
      </w:r>
    </w:p>
    <w:p>
      <w:pPr>
        <w:jc w:val="center"/>
        <w:rPr>
          <w:szCs w:val="24"/>
        </w:rPr>
      </w:pPr>
      <w:r>
        <w:rPr>
          <w:szCs w:val="24"/>
        </w:rPr>
        <w:t>Spôsob sčítania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BodyText2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(1) Údaje zo sčítania sa zaznamenajú na sčítacom tlačive.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(2) Sčítacie tlačivo je štatistický formulár v listovej podobe alebo v elektronickej forme.</w:t>
      </w:r>
    </w:p>
    <w:p>
      <w:pPr>
        <w:jc w:val="both"/>
        <w:rPr>
          <w:szCs w:val="24"/>
        </w:rPr>
      </w:pPr>
      <w:r>
        <w:rPr>
          <w:szCs w:val="24"/>
        </w:rPr>
        <w:t xml:space="preserve">  </w:t>
      </w:r>
    </w:p>
    <w:p>
      <w:pPr>
        <w:jc w:val="both"/>
        <w:rPr>
          <w:szCs w:val="24"/>
        </w:rPr>
      </w:pPr>
      <w:r>
        <w:rPr>
          <w:szCs w:val="24"/>
        </w:rPr>
        <w:t>(3) Sčítacie tlačivo vyplní každý, kto je povinný poskytnúť údaje alebo požiada o vyplnenie sčítacieho tlačiva osobu uvedenú v § 3 ods. 3 až 7 alebo sčítacieho komisára.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szCs w:val="24"/>
        </w:rPr>
      </w:pPr>
      <w:r>
        <w:rPr>
          <w:szCs w:val="24"/>
        </w:rPr>
        <w:t>§ 6</w:t>
      </w:r>
    </w:p>
    <w:p>
      <w:pPr>
        <w:jc w:val="center"/>
        <w:rPr>
          <w:szCs w:val="24"/>
        </w:rPr>
      </w:pPr>
      <w:r>
        <w:rPr>
          <w:szCs w:val="24"/>
        </w:rPr>
        <w:t>Sčítacie obvody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>(1) Obec sa člení na sčítacie obvody. Členenie obce na sčítacie obvody musí byť vykonané v rámci jej rozdelenia na základné sídelné jednotky. Ak obec pozostáva z jednej základnej sídelnej jednotky a nečlení sa na sčítacie obvody, tvorí jeden sčítací obvod.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(2) Sčítací obvod je územie základnej sídelnej jednotky alebo jej časť, ktorá je skladobnou časťou územia obce, v ktorej sa vykoná sčítanie.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BodyText2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(3)</w:t>
      </w:r>
      <w:r>
        <w:rPr>
          <w:b w:val="0"/>
          <w:i/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>Sčítacie obvody</w:t>
      </w:r>
      <w:r>
        <w:rPr>
          <w:b w:val="0"/>
          <w:i/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>vytvorí</w:t>
      </w:r>
      <w:r>
        <w:rPr>
          <w:b w:val="0"/>
          <w:i/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>obvodný úrad podľa návrhu obce pomerne k počtu obyvateľov, prípadne pomerne k rozlohe obce.</w:t>
      </w:r>
    </w:p>
    <w:p>
      <w:pPr>
        <w:pStyle w:val="BodyText2"/>
        <w:rPr>
          <w:b w:val="0"/>
          <w:i/>
          <w:color w:val="auto"/>
          <w:szCs w:val="24"/>
        </w:rPr>
      </w:pP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(4) Osobitnými sčítacími obvodmi sú zariadenia hromadného ubytovania príslušníkov  ozbrojených síl Slovenskej republiky, Policajného zboru a zariadenia Zboru väzenskej a justičnej stráže, kde sa vykonáva výkon väzby a trest odňatia slobody.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(5) Osobitnými sčítacími obvodmi sú vojenské obvody. </w:t>
      </w:r>
      <w:r>
        <w:rPr>
          <w:rStyle w:val="FootnoteReference"/>
          <w:szCs w:val="24"/>
        </w:rPr>
        <w:footnoteReference w:customMarkFollows="1" w:id="14"/>
        <w:t xml:space="preserve">1</w:t>
      </w:r>
      <w:r>
        <w:rPr>
          <w:rStyle w:val="FootnoteReference"/>
          <w:szCs w:val="24"/>
        </w:rPr>
        <w:t>3</w:t>
      </w:r>
      <w:r>
        <w:rPr>
          <w:rStyle w:val="FootnoteReference"/>
          <w:rFonts w:ascii="Symbol" w:eastAsia="Times New Roman" w:hAnsi="Symbol" w:cs="Times New Roman"/>
          <w:szCs w:val="24"/>
        </w:rPr>
        <w:sym w:font="Symbol" w:char="F029"/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center"/>
        <w:rPr>
          <w:szCs w:val="24"/>
        </w:rPr>
      </w:pPr>
      <w:r>
        <w:rPr>
          <w:szCs w:val="24"/>
        </w:rPr>
        <w:t>§ 7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Sčítací komisár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(1) Sčítacím komisárom môže byť štátny občan Slovenskej republiky starší ako 18 rokov, ktorý je spôsobilý na právne úkony. 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(2) Sčítacieho komisára po jeho predchádzajúcom súhlase vymenuje starosta obce.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(3) V osobitných sčítacích obvodoch sčítacieho komisára vymenuje príslušný ústredný orgán štátnej správy uvedený v § 8 ods. 3 až 5.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(4) Sčítací komisár je povinný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zúčastniť sa školenia,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prevziať sčítacie tlačivá,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vykonať sčítanie v čase sčítania v určených sčítacích obvodoch,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vyplniť na  požiadanie  obyvateľa  alebo  cudzinca  podľa  §  3 ods. 2 a podľa jeho   pokynov  sčítacie tlačivo,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preukazovať sa počas  výkonu  činnosti  osobitným poverením, ktoré vydáva   starosta obce alebo príslušný ústredný orgán štátnej správy uvedený v § 8 ods. 3 až 5,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prevziať  vyplnené  sčítacie  tlačivá  od  obyvateľov alebo cudzincov,  overiť úplnosť ich vyplnenia a odovzdať ich obci alebo príslušnému ústrednému orgánu štátnej správy uvedenému v § 8 ods. 3 až 5,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chrániť vyplnené sčítacie tlačivá pred stratou, zničením, poškodením alebo     zneužitím, </w:t>
      </w:r>
    </w:p>
    <w:p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Cs w:val="24"/>
          <w:u w:val="single"/>
        </w:rPr>
      </w:pPr>
      <w:r>
        <w:rPr>
          <w:szCs w:val="24"/>
        </w:rPr>
        <w:t xml:space="preserve">zachovávať mlčanlivosť o údajoch, s ktorými sa oboznámi pri sčítaní.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(5) Činnosť sčítacieho komisára nie je výkonom inej zárobkovej činnosti. </w:t>
      </w:r>
      <w:r>
        <w:rPr>
          <w:rStyle w:val="FootnoteReference"/>
          <w:szCs w:val="24"/>
        </w:rPr>
        <w:footnoteReference w:customMarkFollows="1" w:id="15"/>
        <w:t xml:space="preserve">1</w:t>
      </w:r>
      <w:r>
        <w:rPr>
          <w:rStyle w:val="FootnoteReference"/>
          <w:szCs w:val="24"/>
        </w:rPr>
        <w:t>4)</w:t>
      </w:r>
      <w:r>
        <w:rPr>
          <w:szCs w:val="24"/>
        </w:rPr>
        <w:t xml:space="preserve">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(6) Sčítací komisár má za výkon činnosti nárok na odmenu. Výška odmeny za výkon činnosti sčítacieho komisára sa ustanovuje v sume, ktorá pripadá na jeden pracovný deň z priemernej mesačnej mzdy zamestnanca v národnom hospodárstve za predposledný kalendárny štvrťrok pred kalendárnym štvrťrokom, v ktorom sa sčítanie uskutoční. Sčítaciemu komisárovi patrí odmena za každý deň výkonu činnosti sčítacieho komisára. Obec odmenu vyplatí do 30 dní po ukončení činnosti sčítacieho komisára.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szCs w:val="24"/>
        </w:rPr>
      </w:pPr>
      <w:r>
        <w:rPr>
          <w:szCs w:val="24"/>
        </w:rPr>
        <w:t>§ 8</w:t>
      </w:r>
    </w:p>
    <w:p>
      <w:pPr>
        <w:jc w:val="center"/>
        <w:rPr>
          <w:szCs w:val="24"/>
        </w:rPr>
      </w:pPr>
      <w:r>
        <w:rPr>
          <w:szCs w:val="24"/>
        </w:rPr>
        <w:t xml:space="preserve">Pôsobnosť ústredných orgánov štátnej správy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 xml:space="preserve">(1) Úrad riadi sčítanie a v súčinnosti s príslušnými ústrednými orgánmi štátnej správy, obvodnými úradmi, obcami a vyššími územnými celkami </w:t>
      </w:r>
    </w:p>
    <w:p>
      <w:pPr>
        <w:pStyle w:val="BodyText3"/>
        <w:numPr>
          <w:ilvl w:val="0"/>
          <w:numId w:val="5"/>
        </w:numPr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usmerňuje a koordinuje prípravu, priebeh a vykonanie sčítania,</w:t>
      </w:r>
    </w:p>
    <w:p>
      <w:pPr>
        <w:pStyle w:val="BodyText3"/>
        <w:numPr>
          <w:ilvl w:val="0"/>
          <w:numId w:val="5"/>
        </w:numPr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zabezpečuje organizačnú a finančnú prípravu, priebeh a vykonanie sčítania,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 xml:space="preserve">uskutočňuje dozor nad prípravou, priebehom a vykonaním sčítania, 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</w:rPr>
      </w:pPr>
      <w:r>
        <w:rPr>
          <w:i w:val="0"/>
          <w:color w:val="auto"/>
          <w:szCs w:val="24"/>
          <w:u w:val="none"/>
        </w:rPr>
        <w:t xml:space="preserve">zabezpečí zostavenie, vyhotovenie a distribúciu sčítacích tlačív, 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vykonáva informačnú a propagačnú kampaň k sčítaniu s obcami a s vyššími územnými celkami,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</w:rPr>
      </w:pPr>
      <w:r>
        <w:rPr>
          <w:i w:val="0"/>
          <w:color w:val="auto"/>
          <w:szCs w:val="24"/>
          <w:u w:val="none"/>
        </w:rPr>
        <w:t xml:space="preserve">zabezpečí spracovanie výsledkov sčítania, 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</w:rPr>
      </w:pPr>
      <w:r>
        <w:rPr>
          <w:i w:val="0"/>
          <w:color w:val="auto"/>
          <w:szCs w:val="24"/>
          <w:u w:val="none"/>
        </w:rPr>
        <w:t>zverejní na svojej internetovej stránke alebo iným spôsobom výsledky sčítania,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poskytne získané výsledky sčítania podľa osobitného zákona,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</w:rPr>
      </w:pPr>
      <w:r>
        <w:rPr>
          <w:i w:val="0"/>
          <w:color w:val="auto"/>
          <w:szCs w:val="24"/>
          <w:u w:val="none"/>
        </w:rPr>
        <w:t>vydá na zabezpečenie prípravy, priebehu a vykonania sčítania  a na ochranu zisťovaných a získaných údajov metodické pokyny,</w:t>
      </w:r>
    </w:p>
    <w:p>
      <w:pPr>
        <w:pStyle w:val="BodyText3"/>
        <w:numPr>
          <w:ilvl w:val="0"/>
          <w:numId w:val="5"/>
        </w:numPr>
        <w:tabs>
          <w:tab w:val="left" w:pos="720"/>
        </w:tabs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vydá v spolupráci s Ministerstvom financií Slovenskej republiky metodické pokyny na zabezpečenie financovania prípravy, priebehu a vykonania sčítania.</w:t>
      </w:r>
    </w:p>
    <w:p>
      <w:pPr>
        <w:jc w:val="both"/>
        <w:rPr>
          <w:szCs w:val="24"/>
        </w:rPr>
      </w:pP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 xml:space="preserve">(2) Ministerstvo vnútra Slovenskej republiky </w:t>
      </w:r>
    </w:p>
    <w:p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vykoná sčítanie hromadne ubytovaných príslušníkov Policajného zboru,</w:t>
      </w:r>
    </w:p>
    <w:p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poskytne obci údaje z registra obyvateľov v rozsahu potrebnom na určenie počtu obyvateľov prihlásených na trvalý pobyt a o ich územnej identifikácii,</w:t>
      </w:r>
    </w:p>
    <w:p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vytvorí číselný identifikátor obyvateľa na vyplnenie  sčítacieho tlačiva,</w:t>
      </w:r>
    </w:p>
    <w:p>
      <w:pPr>
        <w:numPr>
          <w:ilvl w:val="0"/>
          <w:numId w:val="6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zabezpečí doručenie úradne pridelených číselných identifikátorov obyvateľov na obec,</w:t>
      </w:r>
    </w:p>
    <w:p>
      <w:pPr>
        <w:pStyle w:val="BodyText3"/>
        <w:numPr>
          <w:ilvl w:val="0"/>
          <w:numId w:val="6"/>
        </w:numPr>
        <w:ind w:left="72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zabezpečí v spolupráci s Ministerstvom životného prostredia Slovenskej republiky územné vymedzenie častí obce a ich priestorovú skladobnosť so základnými sídelnými jednotkami.</w:t>
      </w:r>
    </w:p>
    <w:p>
      <w:pPr>
        <w:pStyle w:val="BodyText3"/>
        <w:ind w:left="360"/>
        <w:rPr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>(3) Ministerstvo obrany Slovenskej republiky vykoná sčítanie hromadne ubytovaných príslušníkov ozbrojených síl Slovenskej republiky a sčítanie vo vojenských obvodoch.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>(4) Ministerstvo spravodlivosti Slovenskej republiky vykoná sčítanie osôb vo výkone väzby a výkone trestu odňatia slobody.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  <w:u w:val="single"/>
        </w:rPr>
      </w:pPr>
      <w:r>
        <w:rPr>
          <w:szCs w:val="24"/>
        </w:rPr>
        <w:t>(5) Ministerstvo zahraničných vecí Slovenskej republiky vykoná sčítanie členov  personálu zastupiteľských úradov Slovenskej republiky a ich rodinných príslušníkov zdržujúcich sa v mieste ich dislokácie.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  <w:vertAlign w:val="superscript"/>
        </w:rPr>
      </w:pPr>
      <w:r>
        <w:rPr>
          <w:szCs w:val="24"/>
        </w:rPr>
        <w:t xml:space="preserve">(6) Ministerstvo  životného  prostredia  Slovenskej republiky po dohode s úradom  a v súčinnosti s obvodnými úradmi vykoná ústrednú revíziu vymedzenia základných sídelných jednotiek. </w:t>
      </w:r>
    </w:p>
    <w:p>
      <w:pPr>
        <w:jc w:val="both"/>
        <w:rPr>
          <w:i/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(7)  Úrad geodézie, kartografie a katastra Slovenskej republiky zabezpečí </w:t>
      </w:r>
    </w:p>
    <w:p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 spolupráci s obvodnými úradmi a Ministerstvom životného prostredia Slovenskej republiky aktualizáciu mapových podkladov potrebných na ústrednú revíziu vymedzenia základných sídelných jednotiek, 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b)  zakreslenie výsledkov ústrednej revízie základných sídelných jednotiek do </w:t>
      </w:r>
    </w:p>
    <w:p>
      <w:pPr>
        <w:tabs>
          <w:tab w:val="left" w:pos="720"/>
        </w:tabs>
        <w:ind w:left="360"/>
        <w:jc w:val="both"/>
        <w:rPr>
          <w:i/>
          <w:szCs w:val="24"/>
          <w:u w:val="single"/>
        </w:rPr>
      </w:pPr>
      <w:r>
        <w:rPr>
          <w:szCs w:val="24"/>
        </w:rPr>
        <w:t xml:space="preserve">     mapovej dokumentácie. </w:t>
      </w:r>
    </w:p>
    <w:p>
      <w:pPr>
        <w:pStyle w:val="BodyText2"/>
        <w:rPr>
          <w:b w:val="0"/>
          <w:color w:val="auto"/>
          <w:szCs w:val="24"/>
        </w:rPr>
      </w:pPr>
    </w:p>
    <w:p>
      <w:pPr>
        <w:tabs>
          <w:tab w:val="left" w:pos="825"/>
        </w:tabs>
        <w:jc w:val="both"/>
        <w:rPr>
          <w:szCs w:val="24"/>
        </w:rPr>
      </w:pPr>
      <w:r>
        <w:rPr>
          <w:szCs w:val="24"/>
        </w:rPr>
        <w:t>(8) Ústredné orgány štátnej správy uvedené v odsekoch 2 až 5 odovzdajú vyplnené sčítacie tlačivá úradu.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szCs w:val="24"/>
        </w:rPr>
      </w:pPr>
      <w:r>
        <w:rPr>
          <w:szCs w:val="24"/>
        </w:rPr>
        <w:t xml:space="preserve"> § 9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 xml:space="preserve"> Pôsobnosť obvodného úradu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pStyle w:val="BodyText3"/>
        <w:ind w:firstLine="360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Obvodný úrad pri príprave, priebehu a vykonaní sčítania v súčinnosti s úradom a obcami v jeho územnom obvode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vypracuje časový harmonogram prípravných a realizačných prác, 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vytvorí podľa návrhu obce sčítacie obvody v rámci základných sídelných jednotiek,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vyhotoví zoznamy sčítacích obvodov, 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vypracuje časový harmonogram školení sčítacích komisárov, 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zabezpečí školenie sčítacích komisárov, 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zabezpečí prevzatie a uskladnenie sčítacích tlačív, ich rozdelenie a doručenie obciam podľa rozdeľovníkov prerokovaných s úradom, 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zabezpečí podľa časového harmonogramu prevzatie vyplnených sčítacích tlačív doručených obcami a odovzdá ich úradu,</w:t>
      </w:r>
    </w:p>
    <w:p>
      <w:pPr>
        <w:numPr>
          <w:ilvl w:val="0"/>
          <w:numId w:val="8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dodá Úradu geodézie, kartografie a katastra Slovenskej republiky zaktualizované mapové podklady na vykonanie ústrednej revízie </w:t>
      </w:r>
    </w:p>
    <w:p>
      <w:p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vymedzenia základných sídelných jednotiek.</w:t>
      </w:r>
    </w:p>
    <w:p>
      <w:pPr>
        <w:tabs>
          <w:tab w:val="left" w:pos="720"/>
        </w:tabs>
        <w:ind w:left="360"/>
        <w:jc w:val="both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§ 10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Pôsobnosť obce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(1) Obec, a v hlavnom meste Slovenskej republiky Bratislave a v meste Košice ich mestské časti, zabezpečí prenesený výkon štátnej správy pri </w:t>
      </w:r>
      <w:r>
        <w:rPr>
          <w:szCs w:val="24"/>
        </w:rPr>
        <w:t>príprave, priebehu       a vykonaní</w:t>
      </w:r>
      <w:r>
        <w:rPr>
          <w:szCs w:val="24"/>
          <w:lang w:eastAsia="cs-CZ"/>
        </w:rPr>
        <w:t xml:space="preserve"> sčítania. </w:t>
      </w:r>
    </w:p>
    <w:p>
      <w:pPr>
        <w:pStyle w:val="zkon"/>
        <w:rPr>
          <w:szCs w:val="24"/>
        </w:rPr>
      </w:pPr>
    </w:p>
    <w:p>
      <w:pPr>
        <w:pStyle w:val="zkon"/>
        <w:tabs>
          <w:tab w:val="left" w:pos="420"/>
        </w:tabs>
        <w:rPr>
          <w:szCs w:val="24"/>
        </w:rPr>
      </w:pPr>
      <w:r>
        <w:rPr>
          <w:szCs w:val="24"/>
        </w:rPr>
        <w:t xml:space="preserve">(2) Obec pri príprave, priebehu a vykonaní sčítania </w:t>
      </w:r>
    </w:p>
    <w:p>
      <w:pPr>
        <w:numPr>
          <w:numId w:val="24"/>
        </w:numPr>
        <w:tabs>
          <w:tab w:val="left" w:pos="420"/>
        </w:tabs>
        <w:ind w:left="720"/>
        <w:rPr>
          <w:szCs w:val="24"/>
        </w:rPr>
      </w:pPr>
      <w:r>
        <w:rPr>
          <w:szCs w:val="24"/>
        </w:rPr>
        <w:t>zabezpečí v spolupráci s úradom informačnú a propagačnú kampaň,</w:t>
      </w:r>
    </w:p>
    <w:p>
      <w:pPr>
        <w:numPr>
          <w:numId w:val="24"/>
        </w:numPr>
        <w:tabs>
          <w:tab w:val="left" w:pos="420"/>
        </w:tabs>
        <w:ind w:left="720"/>
        <w:rPr>
          <w:szCs w:val="24"/>
        </w:rPr>
      </w:pPr>
      <w:r>
        <w:rPr>
          <w:szCs w:val="24"/>
        </w:rPr>
        <w:t xml:space="preserve">vytvorí nevyhnutné podmienky na prípravu, priebeh a vykonanie sčítania </w:t>
      </w:r>
    </w:p>
    <w:p>
      <w:pPr>
        <w:tabs>
          <w:tab w:val="left" w:pos="420"/>
        </w:tabs>
        <w:ind w:left="360"/>
        <w:rPr>
          <w:szCs w:val="24"/>
        </w:rPr>
      </w:pPr>
      <w:r>
        <w:rPr>
          <w:szCs w:val="24"/>
        </w:rPr>
        <w:t xml:space="preserve">      na svojom území,</w:t>
      </w:r>
    </w:p>
    <w:p>
      <w:pPr>
        <w:numPr>
          <w:numId w:val="24"/>
        </w:numPr>
        <w:tabs>
          <w:tab w:val="left" w:pos="420"/>
        </w:tabs>
        <w:ind w:left="720"/>
        <w:rPr>
          <w:szCs w:val="24"/>
        </w:rPr>
      </w:pPr>
      <w:r>
        <w:rPr>
          <w:szCs w:val="24"/>
        </w:rPr>
        <w:t>vypracuje a predloží obvodnému úradu návrh na vytvorenie sčítacích obvodov v rámci základných sídelných jednotiek,</w:t>
      </w:r>
    </w:p>
    <w:p>
      <w:pPr>
        <w:numPr>
          <w:numId w:val="24"/>
        </w:numPr>
        <w:tabs>
          <w:tab w:val="left" w:pos="420"/>
        </w:tabs>
        <w:ind w:left="720"/>
        <w:rPr>
          <w:szCs w:val="24"/>
        </w:rPr>
      </w:pPr>
      <w:r>
        <w:rPr>
          <w:szCs w:val="24"/>
        </w:rPr>
        <w:t xml:space="preserve">vykoná výber sčítacích komisárov na svojom území a zabezpečí výkon </w:t>
      </w:r>
    </w:p>
    <w:p>
      <w:pPr>
        <w:tabs>
          <w:tab w:val="left" w:pos="420"/>
        </w:tabs>
        <w:ind w:left="360"/>
        <w:rPr>
          <w:szCs w:val="24"/>
        </w:rPr>
      </w:pPr>
      <w:r>
        <w:rPr>
          <w:szCs w:val="24"/>
        </w:rPr>
        <w:t xml:space="preserve">     ich činnosti v súlade s metodickým pokynom úradu,</w:t>
      </w:r>
    </w:p>
    <w:p>
      <w:pPr>
        <w:tabs>
          <w:tab w:val="left" w:pos="720"/>
        </w:tabs>
        <w:ind w:left="360"/>
        <w:rPr>
          <w:szCs w:val="24"/>
        </w:rPr>
      </w:pPr>
      <w:r>
        <w:rPr>
          <w:szCs w:val="24"/>
        </w:rPr>
        <w:t>e</w:t>
      </w:r>
      <w:r>
        <w:rPr>
          <w:color w:val="008000"/>
          <w:szCs w:val="24"/>
        </w:rPr>
        <w:t xml:space="preserve">)  </w:t>
      </w:r>
      <w:r>
        <w:rPr>
          <w:szCs w:val="24"/>
        </w:rPr>
        <w:t xml:space="preserve">zabezpečí prevzatie sčítacích tlačív od obvodného úradu a ich odovzdanie </w:t>
      </w:r>
    </w:p>
    <w:p>
      <w:pPr>
        <w:tabs>
          <w:tab w:val="left" w:pos="720"/>
        </w:tabs>
        <w:ind w:left="360"/>
        <w:rPr>
          <w:szCs w:val="24"/>
        </w:rPr>
      </w:pPr>
      <w:r>
        <w:rPr>
          <w:color w:val="FF0000"/>
          <w:szCs w:val="24"/>
        </w:rPr>
        <w:t xml:space="preserve">     </w:t>
      </w:r>
      <w:r>
        <w:rPr>
          <w:szCs w:val="24"/>
        </w:rPr>
        <w:t>sčítacím komisárom,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f)   odovzdá vyplnené sčítacie tlačivá obvodnému úradu po overení počtu 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     obyvateľov obce a cudzincov, 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g) </w:t>
      </w:r>
      <w:r>
        <w:rPr>
          <w:i/>
          <w:szCs w:val="24"/>
        </w:rPr>
        <w:t xml:space="preserve"> </w:t>
      </w:r>
      <w:r>
        <w:rPr>
          <w:szCs w:val="24"/>
        </w:rPr>
        <w:t xml:space="preserve">zabezpečí ochranu údajov na vyplnených sčítacích tlačivách odovzdaných   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      sčítacími komisármi,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h)  zabezpečí zber, sumarizovanie a odovzdanie zistených údajov zo sčítania   </w:t>
      </w:r>
    </w:p>
    <w:p>
      <w:pPr>
        <w:tabs>
          <w:tab w:val="left" w:pos="720"/>
        </w:tabs>
        <w:ind w:left="360"/>
        <w:jc w:val="both"/>
        <w:rPr>
          <w:szCs w:val="24"/>
        </w:rPr>
      </w:pPr>
      <w:r>
        <w:rPr>
          <w:szCs w:val="24"/>
        </w:rPr>
        <w:t xml:space="preserve">    obvodnému úradu.</w:t>
      </w:r>
    </w:p>
    <w:p>
      <w:pPr>
        <w:tabs>
          <w:tab w:val="left" w:pos="720"/>
        </w:tabs>
        <w:ind w:left="360"/>
        <w:jc w:val="both"/>
        <w:rPr>
          <w:szCs w:val="24"/>
        </w:rPr>
      </w:pPr>
    </w:p>
    <w:p>
      <w:pPr>
        <w:pStyle w:val="BodyText2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(3) Obec zriadi obecné komisie pre sčítanie, ktoré budú zabezpečovať úlohy spojené s prípravou, priebehom a vykonaním sčítania podľa odseku 2.</w:t>
      </w:r>
    </w:p>
    <w:p>
      <w:pPr>
        <w:tabs>
          <w:tab w:val="left" w:pos="720"/>
        </w:tabs>
        <w:jc w:val="both"/>
        <w:rPr>
          <w:szCs w:val="24"/>
        </w:rPr>
      </w:pPr>
    </w:p>
    <w:p>
      <w:pPr>
        <w:pStyle w:val="BodyText"/>
        <w:tabs>
          <w:tab w:val="left" w:pos="720"/>
        </w:tabs>
        <w:rPr>
          <w:b w:val="0"/>
          <w:szCs w:val="24"/>
        </w:rPr>
      </w:pPr>
      <w:r>
        <w:rPr>
          <w:b w:val="0"/>
          <w:szCs w:val="24"/>
        </w:rPr>
        <w:t>(4) Obec vytvorí primerané technické podmienky, organizačné a administratívne opatrenia pre umožnenie elektronického vyplnenia a podávania sčítacích tlačív pre obyvateľov obce.</w:t>
      </w:r>
    </w:p>
    <w:p>
      <w:pPr>
        <w:jc w:val="both"/>
        <w:rPr>
          <w:szCs w:val="24"/>
          <w:u w:val="single"/>
        </w:rPr>
      </w:pPr>
    </w:p>
    <w:p>
      <w:pPr>
        <w:jc w:val="center"/>
        <w:rPr>
          <w:szCs w:val="24"/>
        </w:rPr>
      </w:pPr>
      <w:r>
        <w:rPr>
          <w:szCs w:val="24"/>
        </w:rPr>
        <w:t>§ 11</w:t>
      </w:r>
    </w:p>
    <w:p>
      <w:pPr>
        <w:jc w:val="center"/>
        <w:rPr>
          <w:szCs w:val="24"/>
        </w:rPr>
      </w:pPr>
      <w:r>
        <w:rPr>
          <w:szCs w:val="24"/>
        </w:rPr>
        <w:t>Pôsobnosť vyššieho územného celku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  <w:lang w:eastAsia="cs-CZ"/>
        </w:rPr>
      </w:pPr>
      <w:r>
        <w:rPr>
          <w:szCs w:val="24"/>
          <w:lang w:eastAsia="cs-CZ"/>
        </w:rPr>
        <w:t xml:space="preserve">(1) Vyšší územný celok zabezpečí prenesený výkon štátnej správy pri </w:t>
      </w:r>
      <w:r>
        <w:rPr>
          <w:szCs w:val="24"/>
        </w:rPr>
        <w:t>príprave, priebehu a vykonaní</w:t>
      </w:r>
      <w:r>
        <w:rPr>
          <w:szCs w:val="24"/>
          <w:lang w:eastAsia="cs-CZ"/>
        </w:rPr>
        <w:t xml:space="preserve"> sčítania. </w:t>
      </w:r>
    </w:p>
    <w:p>
      <w:pPr>
        <w:overflowPunct/>
        <w:ind w:left="360"/>
        <w:jc w:val="both"/>
        <w:textAlignment w:val="auto"/>
        <w:rPr>
          <w:szCs w:val="24"/>
          <w:lang w:eastAsia="cs-CZ"/>
        </w:rPr>
      </w:pPr>
    </w:p>
    <w:p>
      <w:pPr>
        <w:pStyle w:val="odrkaa"/>
        <w:overflowPunct/>
        <w:spacing w:line="240" w:lineRule="auto"/>
        <w:textAlignment w:val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(2) Vyšší územný celok pri príprave, priebehu a vykonaní sčítania v spolupráci s úradom zabezpečí informačnú a propagačnú kampaň vo svojom územnom obvode. </w:t>
      </w:r>
    </w:p>
    <w:p>
      <w:pPr>
        <w:pStyle w:val="BodyText3"/>
        <w:rPr>
          <w:i w:val="0"/>
          <w:szCs w:val="24"/>
          <w:u w:val="none"/>
        </w:rPr>
      </w:pPr>
    </w:p>
    <w:p>
      <w:pPr>
        <w:jc w:val="center"/>
        <w:rPr>
          <w:szCs w:val="24"/>
        </w:rPr>
      </w:pPr>
      <w:r>
        <w:rPr>
          <w:szCs w:val="24"/>
        </w:rPr>
        <w:t>§ 12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Ústredná komisia pre sčítanie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(1) Ústredná komisia je osobitný dočasný poradný orgán predsedu úradu pre prípravu, priebeh a vykonanie sčítania, zriadený jeho rozhodnutím. Počet členov ústrednej komisie určí predseda úradu. 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>(2) Hlavnou úlohou ústrednej komisie je metodické usmerňovanie, koordinovanie a dozor nad činnosťou obecných komisií.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(3) Podrobnosti o organizácii, činnosti a spôsob ustanovenia jej členov určí štatút, ktorý vydá predseda úradu. 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>(4) Predsedom ústrednej komisie je predseda úradu. Ďalších členov vymenúva predseda úradu zo zástupcov navrhnutých príslušnými ústrednými orgánmi štátnej správy, obvodnými úradmi, obcami a vyššími územnými celkami</w:t>
      </w:r>
      <w:r>
        <w:rPr>
          <w:i/>
          <w:szCs w:val="24"/>
        </w:rPr>
        <w:t xml:space="preserve"> </w:t>
      </w:r>
      <w:r>
        <w:rPr>
          <w:szCs w:val="24"/>
        </w:rPr>
        <w:t>alebo ich združeniami.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i/>
          <w:color w:val="FF0000"/>
          <w:szCs w:val="24"/>
          <w:u w:val="single"/>
        </w:rPr>
      </w:pPr>
      <w:r>
        <w:rPr>
          <w:szCs w:val="24"/>
        </w:rPr>
        <w:t>§ 13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Poskytovanie údajov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>(1) Údaje získané podľa tohto zákona sa poskytujú na štatistické účely v súlade s osobitným zákonom a medzinárodnými záväzkami, ktorými je Slovenská republika viazaná.</w:t>
      </w:r>
    </w:p>
    <w:p>
      <w:pPr>
        <w:pStyle w:val="BodyText3"/>
        <w:rPr>
          <w:i w:val="0"/>
          <w:color w:val="auto"/>
          <w:szCs w:val="24"/>
          <w:highlight w:val="green"/>
          <w:u w:val="none"/>
        </w:rPr>
      </w:pPr>
    </w:p>
    <w:p>
      <w:pPr>
        <w:jc w:val="both"/>
        <w:rPr>
          <w:color w:val="FF00FF"/>
          <w:szCs w:val="24"/>
          <w:u w:val="single"/>
        </w:rPr>
      </w:pPr>
      <w:r>
        <w:rPr>
          <w:szCs w:val="24"/>
        </w:rPr>
        <w:t xml:space="preserve">(2) Údaje získané pri sčítaní môžu byť poskytnuté na iné ako na štatistické účely, na výskumné a vedecké účely a na účely medzinárodného porovnávania pri zabezpečení podmienok na ich ochranu podľa osobitných predpisov. </w:t>
      </w:r>
      <w:r>
        <w:rPr>
          <w:rStyle w:val="FootnoteReference"/>
          <w:szCs w:val="24"/>
        </w:rPr>
        <w:footnoteReference w:customMarkFollows="1" w:id="16"/>
        <w:t xml:space="preserve">1</w:t>
      </w:r>
      <w:r>
        <w:rPr>
          <w:rStyle w:val="FootnoteReference"/>
          <w:szCs w:val="24"/>
        </w:rPr>
        <w:t>5)</w:t>
      </w:r>
    </w:p>
    <w:p>
      <w:pPr>
        <w:pStyle w:val="BodyText2"/>
        <w:rPr>
          <w:b w:val="0"/>
          <w:color w:val="auto"/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§ 14</w:t>
      </w:r>
    </w:p>
    <w:p>
      <w:pPr>
        <w:pStyle w:val="Heading1"/>
        <w:jc w:val="center"/>
        <w:outlineLvl w:val="0"/>
        <w:rPr>
          <w:b w:val="0"/>
          <w:szCs w:val="24"/>
        </w:rPr>
      </w:pPr>
      <w:r>
        <w:rPr>
          <w:b w:val="0"/>
          <w:szCs w:val="24"/>
        </w:rPr>
        <w:t>Uloženie dokumentov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     Úrad v spolupráci s obcami a v súčinnosti s Ministerstvom vnútra Slovenskej republiky zabezpečí uloženie sčítacích tlačív a dokumentov súvisiacich so sčítaním podľa</w:t>
      </w:r>
      <w:r>
        <w:rPr>
          <w:i/>
          <w:szCs w:val="24"/>
        </w:rPr>
        <w:t xml:space="preserve"> </w:t>
      </w:r>
      <w:r>
        <w:rPr>
          <w:szCs w:val="24"/>
        </w:rPr>
        <w:t>osobitného predpisu</w:t>
      </w:r>
      <w:r>
        <w:rPr>
          <w:i/>
          <w:szCs w:val="24"/>
        </w:rPr>
        <w:t>.</w:t>
      </w:r>
      <w:r>
        <w:rPr>
          <w:rStyle w:val="FootnoteReference"/>
          <w:szCs w:val="24"/>
        </w:rPr>
        <w:footnoteReference w:customMarkFollows="1" w:id="17"/>
        <w:t xml:space="preserve">1</w:t>
      </w:r>
      <w:r>
        <w:rPr>
          <w:rStyle w:val="FootnoteReference"/>
          <w:szCs w:val="24"/>
        </w:rPr>
        <w:t>6)</w:t>
      </w:r>
      <w:r>
        <w:rPr>
          <w:i/>
          <w:szCs w:val="24"/>
        </w:rPr>
        <w:t xml:space="preserve"> </w:t>
      </w:r>
    </w:p>
    <w:p>
      <w:pPr>
        <w:jc w:val="center"/>
        <w:rPr>
          <w:szCs w:val="24"/>
        </w:rPr>
      </w:pPr>
      <w:r>
        <w:rPr>
          <w:szCs w:val="24"/>
        </w:rPr>
        <w:t>§ 15</w:t>
      </w:r>
    </w:p>
    <w:p>
      <w:pPr>
        <w:pStyle w:val="Heading5"/>
        <w:outlineLvl w:val="4"/>
        <w:rPr>
          <w:i w:val="0"/>
          <w:szCs w:val="24"/>
          <w:u w:val="single"/>
        </w:rPr>
      </w:pPr>
      <w:r>
        <w:rPr>
          <w:i w:val="0"/>
          <w:szCs w:val="24"/>
        </w:rPr>
        <w:t>Úhrada nákladov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pStyle w:val="BodyText2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Výdavky spojené s prípravou, priebehom a vykonaním sčítania sa uhrádzajú zo štátneho rozpočtu.</w:t>
      </w:r>
    </w:p>
    <w:p>
      <w:pPr>
        <w:pStyle w:val="BodyText2"/>
        <w:rPr>
          <w:b w:val="0"/>
          <w:color w:val="auto"/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§ 16</w:t>
      </w:r>
    </w:p>
    <w:p>
      <w:pPr>
        <w:jc w:val="center"/>
        <w:rPr>
          <w:szCs w:val="24"/>
        </w:rPr>
      </w:pPr>
      <w:r>
        <w:rPr>
          <w:szCs w:val="24"/>
        </w:rPr>
        <w:t>Správa majetku štátu</w:t>
      </w:r>
    </w:p>
    <w:p>
      <w:pPr>
        <w:jc w:val="center"/>
        <w:rPr>
          <w:szCs w:val="24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     Hnuteľný majetok vo vlastníctve štátu obstaraný na zabezpečenie prípravy, priebehu a vykonania sčítania, zostane po ukončení sčítania v správe úradu pre využitie na iné štatistické účely.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center"/>
        <w:rPr>
          <w:szCs w:val="24"/>
        </w:rPr>
      </w:pPr>
      <w:r>
        <w:rPr>
          <w:szCs w:val="24"/>
        </w:rPr>
        <w:t>§ 17</w:t>
      </w:r>
    </w:p>
    <w:p>
      <w:pPr>
        <w:jc w:val="center"/>
        <w:rPr>
          <w:szCs w:val="24"/>
        </w:rPr>
      </w:pPr>
      <w:r>
        <w:rPr>
          <w:szCs w:val="24"/>
        </w:rPr>
        <w:t>Spoločné ustanovenie</w:t>
      </w:r>
    </w:p>
    <w:p>
      <w:pPr>
        <w:jc w:val="center"/>
        <w:rPr>
          <w:szCs w:val="24"/>
        </w:rPr>
      </w:pP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  Ak tento zákon neustanovuje inak, na postup a konanie v ňom neupravené sa použijú ustanovenia osobitného zákona. </w:t>
      </w:r>
      <w:r>
        <w:rPr>
          <w:rStyle w:val="FootnoteReference"/>
          <w:rFonts w:ascii="Arial" w:hAnsi="Arial" w:cs="Arial"/>
          <w:szCs w:val="24"/>
          <w:lang w:val="sk-SK"/>
        </w:rPr>
        <w:footnoteReference w:customMarkFollows="1" w:id="18"/>
        <w:t xml:space="preserve">1</w:t>
      </w:r>
      <w:r>
        <w:rPr>
          <w:rStyle w:val="FootnoteReference"/>
          <w:rFonts w:ascii="Arial" w:hAnsi="Arial" w:cs="Arial"/>
          <w:szCs w:val="24"/>
          <w:lang w:val="sk-SK"/>
        </w:rPr>
        <w:t>7)</w:t>
      </w:r>
    </w:p>
    <w:p>
      <w:pPr>
        <w:rPr>
          <w:szCs w:val="24"/>
          <w:lang w:val="cs-CZ"/>
        </w:rPr>
      </w:pPr>
    </w:p>
    <w:p>
      <w:pPr>
        <w:jc w:val="center"/>
        <w:rPr>
          <w:szCs w:val="24"/>
        </w:rPr>
      </w:pPr>
      <w:r>
        <w:rPr>
          <w:szCs w:val="24"/>
        </w:rPr>
        <w:t>§ 18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Zrušovacie ustanovenie</w:t>
      </w:r>
    </w:p>
    <w:p>
      <w:pPr>
        <w:pStyle w:val="odrkaa"/>
        <w:spacing w:line="240" w:lineRule="auto"/>
        <w:rPr>
          <w:rFonts w:ascii="Arial" w:hAnsi="Arial" w:cs="Arial"/>
          <w:szCs w:val="24"/>
          <w:lang w:val="sk-SK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Zrušujú sa: </w:t>
      </w:r>
    </w:p>
    <w:p>
      <w:pPr>
        <w:jc w:val="both"/>
        <w:rPr>
          <w:szCs w:val="24"/>
        </w:rPr>
      </w:pPr>
      <w:r>
        <w:rPr>
          <w:szCs w:val="24"/>
        </w:rPr>
        <w:t>1. zákon č. 165/1998 Z. z . o sčítaní obyvateľov, domov a bytov v roku 2001</w:t>
      </w:r>
      <w:r>
        <w:rPr>
          <w:sz w:val="28"/>
          <w:szCs w:val="24"/>
        </w:rPr>
        <w:t>,</w:t>
      </w:r>
      <w:r>
        <w:rPr>
          <w:sz w:val="40"/>
          <w:szCs w:val="24"/>
        </w:rPr>
        <w:t xml:space="preserve"> </w:t>
      </w:r>
    </w:p>
    <w:p>
      <w:pPr>
        <w:jc w:val="both"/>
        <w:rPr>
          <w:sz w:val="28"/>
          <w:szCs w:val="24"/>
        </w:rPr>
      </w:pPr>
      <w:r>
        <w:rPr>
          <w:szCs w:val="24"/>
        </w:rPr>
        <w:t>2. nariadenie vlády Slovenskej republiky č. 2/2001 Z. z. o dobe sčítania obyvateľov, domov a bytov v roku 2001</w:t>
      </w:r>
      <w:r>
        <w:rPr>
          <w:sz w:val="28"/>
          <w:szCs w:val="24"/>
        </w:rPr>
        <w:t>,</w:t>
      </w:r>
    </w:p>
    <w:p>
      <w:pPr>
        <w:jc w:val="both"/>
        <w:rPr>
          <w:sz w:val="28"/>
          <w:szCs w:val="24"/>
        </w:rPr>
      </w:pPr>
      <w:r>
        <w:rPr>
          <w:szCs w:val="24"/>
        </w:rPr>
        <w:t>3. opatrenie Štatistického úradu  Slovenskej republiky č. 4/2000 Z. z., ktorým sa vyhlasuje charakteristika, základné znaky a štruktúra údajov zisťovaných pri sčítaní obyvateľov, domov a bytov v roku 2001</w:t>
      </w:r>
      <w:r>
        <w:rPr>
          <w:sz w:val="28"/>
          <w:szCs w:val="24"/>
        </w:rPr>
        <w:t>,</w:t>
      </w:r>
    </w:p>
    <w:p>
      <w:pPr>
        <w:pStyle w:val="BodyText3"/>
        <w:rPr>
          <w:i w:val="0"/>
          <w:color w:val="auto"/>
          <w:szCs w:val="24"/>
          <w:u w:val="none"/>
        </w:rPr>
      </w:pPr>
      <w:r>
        <w:rPr>
          <w:i w:val="0"/>
          <w:color w:val="auto"/>
          <w:szCs w:val="24"/>
          <w:u w:val="none"/>
        </w:rPr>
        <w:t>4. opatrenie Štatistického úradu  Slovenskej republiky č. 127/2001 Z. z., ktorým sa mení opatrenie Štatistického úradu  Slovenskej republiky č. 4/2000  Z. z., ktorým sa vyhlasuje charakteristika, základné znaky a štruktúra údajov zisťovaných pri sčítaní obyvateľov, domov a bytov v roku 2001</w:t>
      </w:r>
      <w:r>
        <w:rPr>
          <w:i w:val="0"/>
          <w:color w:val="auto"/>
          <w:sz w:val="28"/>
          <w:szCs w:val="24"/>
          <w:u w:val="none"/>
        </w:rPr>
        <w:t>.</w:t>
      </w:r>
      <w:r>
        <w:rPr>
          <w:i w:val="0"/>
          <w:color w:val="auto"/>
          <w:szCs w:val="24"/>
          <w:u w:val="none"/>
        </w:rPr>
        <w:t xml:space="preserve">  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>§ 19</w:t>
      </w:r>
    </w:p>
    <w:p>
      <w:pPr>
        <w:pStyle w:val="Heading5"/>
        <w:outlineLvl w:val="4"/>
        <w:rPr>
          <w:i w:val="0"/>
          <w:szCs w:val="24"/>
        </w:rPr>
      </w:pPr>
      <w:r>
        <w:rPr>
          <w:i w:val="0"/>
          <w:szCs w:val="24"/>
        </w:rPr>
        <w:t>Účinnosť</w:t>
      </w:r>
    </w:p>
    <w:p>
      <w:pPr>
        <w:pStyle w:val="BodyText3"/>
        <w:rPr>
          <w:i w:val="0"/>
          <w:color w:val="auto"/>
          <w:szCs w:val="24"/>
          <w:u w:val="none"/>
        </w:rPr>
      </w:pPr>
    </w:p>
    <w:p>
      <w:pPr>
        <w:jc w:val="both"/>
        <w:rPr>
          <w:szCs w:val="24"/>
        </w:rPr>
      </w:pPr>
      <w:r>
        <w:rPr>
          <w:szCs w:val="24"/>
        </w:rPr>
        <w:t xml:space="preserve">    Tento zákon nadobúda účinnosť 1. októbra 2008.</w:t>
      </w: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jc w:val="both"/>
        <w:rPr>
          <w:b/>
          <w:color w:val="000080"/>
          <w:sz w:val="20"/>
          <w:szCs w:val="24"/>
        </w:rPr>
      </w:pPr>
    </w:p>
    <w:p>
      <w:pPr>
        <w:ind w:left="6372"/>
        <w:jc w:val="both"/>
        <w:rPr>
          <w:szCs w:val="24"/>
        </w:rPr>
      </w:pPr>
    </w:p>
    <w:p>
      <w:pPr>
        <w:ind w:left="6372"/>
        <w:jc w:val="both"/>
        <w:rPr>
          <w:szCs w:val="24"/>
        </w:rPr>
      </w:pPr>
    </w:p>
    <w:p>
      <w:pPr>
        <w:ind w:left="6372"/>
        <w:jc w:val="both"/>
        <w:rPr>
          <w:b/>
          <w:szCs w:val="24"/>
        </w:rPr>
      </w:pPr>
      <w:r>
        <w:rPr>
          <w:b/>
          <w:szCs w:val="24"/>
        </w:rPr>
        <w:t xml:space="preserve">Príloha </w:t>
      </w:r>
    </w:p>
    <w:p>
      <w:pPr>
        <w:ind w:left="5664" w:firstLine="708"/>
        <w:jc w:val="both"/>
        <w:rPr>
          <w:szCs w:val="24"/>
        </w:rPr>
      </w:pPr>
      <w:r>
        <w:rPr>
          <w:szCs w:val="24"/>
        </w:rPr>
        <w:t>zákona č. .../2008 Z. z.</w:t>
      </w:r>
    </w:p>
    <w:p>
      <w:pPr>
        <w:jc w:val="both"/>
        <w:rPr>
          <w:szCs w:val="24"/>
        </w:rPr>
      </w:pPr>
    </w:p>
    <w:p>
      <w:pPr>
        <w:jc w:val="both"/>
        <w:rPr>
          <w:szCs w:val="24"/>
        </w:rPr>
      </w:pPr>
    </w:p>
    <w:p>
      <w:pPr>
        <w:pStyle w:val="BodyText"/>
        <w:jc w:val="center"/>
        <w:rPr>
          <w:szCs w:val="24"/>
        </w:rPr>
      </w:pPr>
      <w:r>
        <w:rPr>
          <w:szCs w:val="24"/>
        </w:rPr>
        <w:t xml:space="preserve">Zoznam </w:t>
      </w:r>
    </w:p>
    <w:p>
      <w:pPr>
        <w:pStyle w:val="BodyText"/>
        <w:jc w:val="center"/>
        <w:rPr>
          <w:b w:val="0"/>
          <w:szCs w:val="24"/>
        </w:rPr>
      </w:pPr>
      <w:r>
        <w:rPr>
          <w:b w:val="0"/>
          <w:szCs w:val="24"/>
        </w:rPr>
        <w:t>údajov zisťovaných pri sčítaní obyvateľov, domov a bytov v roku 2011</w:t>
      </w:r>
    </w:p>
    <w:p>
      <w:pPr>
        <w:jc w:val="both"/>
        <w:rPr>
          <w:szCs w:val="24"/>
        </w:rPr>
      </w:pPr>
    </w:p>
    <w:p>
      <w:pPr>
        <w:pStyle w:val="Heading1"/>
        <w:outlineLvl w:val="0"/>
        <w:rPr>
          <w:szCs w:val="24"/>
        </w:rPr>
      </w:pPr>
      <w:r>
        <w:rPr>
          <w:szCs w:val="24"/>
        </w:rPr>
        <w:t>A. Údaje o obyvateľoch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 xml:space="preserve">Miesto trvalého pobytu alebo obvyklého bydliska 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Pohlavie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Dátum narodenia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 xml:space="preserve">Rodinný stav 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Štát a miesto narodenia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Štátna príslušnosť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Predchádzajúce miesto pobytu, dátum a dôvod prisťahovania do súčasného miesta pobytu 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Vzťahy medzi členmi domácnosti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Súčasná ekonomická aktivita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Zamestnanie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Postavenie v zamestnaní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Odvetvie ekonomickej činnosti 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Miesto výkonu zamestnania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Najvyššie dosiahnuté vzdelanie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Študijný odbor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Miesto školy, vysokej školy alebo univerzity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Spôsob dopravy do zamestnania, do školy 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Počet živo narodených detí (iba ženy)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Rok uzavretia súčasného manželstva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Národnosť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Materinský jazyk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 xml:space="preserve"> Najčastejšie používaný jazyk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Náboženské vyznanie</w:t>
      </w:r>
    </w:p>
    <w:p>
      <w:pPr>
        <w:numPr>
          <w:numId w:val="34"/>
        </w:numPr>
        <w:tabs>
          <w:tab w:val="left" w:pos="720"/>
        </w:tabs>
        <w:ind w:left="720"/>
        <w:jc w:val="both"/>
        <w:rPr>
          <w:szCs w:val="24"/>
        </w:rPr>
      </w:pPr>
      <w:r>
        <w:rPr>
          <w:szCs w:val="24"/>
        </w:rPr>
        <w:t>Počítačová znalosť</w:t>
      </w:r>
    </w:p>
    <w:p>
      <w:pPr>
        <w:numPr>
          <w:ilvl w:val="12"/>
        </w:numPr>
        <w:ind w:left="360"/>
        <w:jc w:val="both"/>
        <w:rPr>
          <w:color w:val="FF00FF"/>
          <w:szCs w:val="24"/>
        </w:rPr>
      </w:pPr>
    </w:p>
    <w:p>
      <w:pPr>
        <w:pStyle w:val="Heading1"/>
        <w:numPr>
          <w:ilvl w:val="12"/>
        </w:numPr>
        <w:outlineLvl w:val="0"/>
        <w:rPr>
          <w:szCs w:val="24"/>
        </w:rPr>
      </w:pPr>
      <w:r>
        <w:rPr>
          <w:szCs w:val="24"/>
        </w:rPr>
        <w:t>B. Údaje o bytoch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Forma vlastníctva bytu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Obývanosť  bytu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 xml:space="preserve">Podlahová plocha bytu 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Obytná plocha bytu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Počet obytných miestností v byte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Poloha bytu v dome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Zásobovanie vodou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Teplá voda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Záchod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Kúpeľňa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Typ kúrenia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Zdroje energie používané na vykurovanie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Klimatizácia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Kuchyňa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Pripojenie na telefón a internet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Vybavenosť domácnosti (mobilný telefón, osobný počítač, auto)</w:t>
      </w:r>
    </w:p>
    <w:p>
      <w:pPr>
        <w:ind w:left="360"/>
        <w:jc w:val="both"/>
        <w:rPr>
          <w:szCs w:val="24"/>
        </w:rPr>
      </w:pPr>
    </w:p>
    <w:p>
      <w:pPr>
        <w:ind w:left="360"/>
        <w:jc w:val="both"/>
        <w:rPr>
          <w:b/>
          <w:szCs w:val="24"/>
        </w:rPr>
      </w:pPr>
      <w:r>
        <w:rPr>
          <w:b/>
          <w:szCs w:val="24"/>
        </w:rPr>
        <w:t>C. Údaje za domy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Typ domu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Obývanosť domu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Forma vlastníctva domu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Obdobie výstavby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Obdobie rekonštrukcie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Počet podlaží v dome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Počet bytov v dome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Materiál nosnej konštrukcie domu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Typ kanalizačného systému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Tepelná izolácia  domu</w:t>
      </w:r>
    </w:p>
    <w:p>
      <w:pPr>
        <w:numPr>
          <w:numId w:val="34"/>
        </w:numPr>
        <w:ind w:left="720"/>
        <w:jc w:val="both"/>
        <w:rPr>
          <w:szCs w:val="24"/>
        </w:rPr>
      </w:pPr>
      <w:r>
        <w:rPr>
          <w:szCs w:val="24"/>
        </w:rPr>
        <w:t>Plynová prípojka</w:t>
      </w:r>
    </w:p>
    <w:sectPr>
      <w:footerReference w:type="default" r:id="rId5"/>
      <w:pgSz w:w="11907" w:h="16840"/>
      <w:pgMar w:top="709" w:right="1418" w:bottom="1418" w:left="1418" w:header="1418" w:footer="141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0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2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1</w:t>
    </w:r>
    <w:r>
      <w:rPr>
        <w:rStyle w:val="PageNumber"/>
        <w:szCs w:val="24"/>
      </w:rPr>
      <w:fldChar w:fldCharType="end"/>
    </w:r>
  </w:p>
  <w:p>
    <w:pPr>
      <w:pStyle w:val="Foo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1">
    <w:p>
      <w:pPr>
        <w:rPr>
          <w:szCs w:val="24"/>
        </w:rPr>
      </w:pPr>
      <w:r>
        <w:rPr>
          <w:szCs w:val="24"/>
        </w:rPr>
        <w:continuationSeparator/>
      </w:r>
    </w:p>
  </w:footnote>
  <w:footnote w:id="2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1)</w:t>
      </w:r>
      <w:r>
        <w:rPr>
          <w:b w:val="0"/>
          <w:color w:val="auto"/>
          <w:szCs w:val="24"/>
        </w:rPr>
        <w:t xml:space="preserve"> § 2 zákona Národnej rady Slovenskej republiky č. 40/1993 Z. z. o štátnom občianstve Slovenskej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republiky.</w:t>
      </w:r>
    </w:p>
  </w:footnote>
  <w:footnote w:id="3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2)</w:t>
      </w:r>
      <w:r>
        <w:rPr>
          <w:b w:val="0"/>
          <w:color w:val="auto"/>
          <w:szCs w:val="24"/>
        </w:rPr>
        <w:t xml:space="preserve"> § 1 ods. 2 zákona č. 48/2002 Z. z. o pobyte cudzincov a o zmene a doplnení niektorých zákonov     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v znení neskorších predpisov.</w:t>
      </w:r>
    </w:p>
  </w:footnote>
  <w:footnote w:id="4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3)</w:t>
      </w:r>
      <w:r>
        <w:rPr>
          <w:b w:val="0"/>
          <w:color w:val="auto"/>
          <w:szCs w:val="24"/>
        </w:rPr>
        <w:t xml:space="preserve"> § 43b ods. 1 zákona č. 50/1976 Zb. o územnom plánovaní a stavebnom poriadku (stavebný zákon)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v znení zákona č. 237/2000 Z. z.</w:t>
      </w:r>
    </w:p>
  </w:footnote>
  <w:footnote w:id="5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4)</w:t>
      </w:r>
      <w:r>
        <w:rPr>
          <w:b w:val="0"/>
          <w:color w:val="auto"/>
          <w:szCs w:val="24"/>
        </w:rPr>
        <w:t xml:space="preserve"> § 43c zákona č. 50/1976 Zb. v znení zákona č. 237/2000 Z. z.</w:t>
      </w:r>
    </w:p>
  </w:footnote>
  <w:footnote w:id="6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5)</w:t>
      </w:r>
      <w:r>
        <w:rPr>
          <w:b w:val="0"/>
          <w:color w:val="auto"/>
          <w:szCs w:val="24"/>
        </w:rPr>
        <w:t xml:space="preserve">  § 43b ods. 4 zákona č. 50/1976 Zb. v znení zákona č. 237/2000 Z. z.</w:t>
      </w:r>
    </w:p>
  </w:footnote>
  <w:footnote w:id="7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6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auto"/>
          <w:szCs w:val="24"/>
        </w:rPr>
        <w:t xml:space="preserve"> § 26 Občianskeho zákonníka v znení zákona č. 509/1991 Z. z.</w:t>
      </w:r>
    </w:p>
  </w:footnote>
  <w:footnote w:id="8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7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auto"/>
          <w:szCs w:val="24"/>
        </w:rPr>
        <w:t xml:space="preserve"> § 116 Občianskeho zákonníka.</w:t>
      </w:r>
    </w:p>
  </w:footnote>
  <w:footnote w:id="9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8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auto"/>
          <w:szCs w:val="24"/>
        </w:rPr>
        <w:t xml:space="preserve"> § 115 Občianskeho zákonníka.</w:t>
      </w:r>
    </w:p>
  </w:footnote>
  <w:footnote w:id="10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9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auto"/>
          <w:szCs w:val="24"/>
        </w:rPr>
        <w:t xml:space="preserve"> § 24 zákona č. 253/1998 Z. z. o hlásení pobytu občanov Slovenskej republiky a registri obyvateľov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Slovenskej republiky v znení neskorších predpisov,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§ 754 až 759 Občianskeho zákonníka.  </w:t>
      </w:r>
    </w:p>
  </w:footnote>
  <w:footnote w:id="11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10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auto"/>
          <w:szCs w:val="24"/>
        </w:rPr>
        <w:t xml:space="preserve"> Napríklad zákon č. 213/1997 Z. z. o neziskových organizáciách poskytujúcich všeobecne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 prospešné služby v znení neskorších predpisov.</w:t>
      </w:r>
    </w:p>
  </w:footnote>
  <w:footnote w:id="12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11)</w:t>
      </w:r>
      <w:r>
        <w:rPr>
          <w:b w:val="0"/>
          <w:color w:val="auto"/>
          <w:szCs w:val="24"/>
        </w:rPr>
        <w:t xml:space="preserve"> § 9 ods. 3 Zákonníka práce.</w:t>
      </w:r>
    </w:p>
  </w:footnote>
  <w:footnote w:id="13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12)</w:t>
      </w:r>
      <w:r>
        <w:rPr>
          <w:b w:val="0"/>
          <w:color w:val="auto"/>
          <w:szCs w:val="24"/>
        </w:rPr>
        <w:t xml:space="preserve"> Zákon č. 275/2006 Z. z. o informačných systémoch verejnej správy a o zmene a doplnení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 niektorých zákonov v znení zákona č. 678/2006 Z. z.</w:t>
      </w:r>
    </w:p>
  </w:footnote>
  <w:footnote w:id="14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13</w:t>
      </w:r>
      <w:r>
        <w:rPr>
          <w:rStyle w:val="FootnoteReference"/>
          <w:rFonts w:ascii="Symbol" w:eastAsia="Times New Roman" w:hAnsi="Symbol" w:cs="Times New Roman"/>
          <w:b w:val="0"/>
          <w:color w:val="auto"/>
          <w:szCs w:val="24"/>
        </w:rPr>
        <w:sym w:font="Symbol" w:char="F029"/>
      </w:r>
      <w:r>
        <w:rPr>
          <w:b w:val="0"/>
          <w:color w:val="FF6600"/>
          <w:szCs w:val="24"/>
        </w:rPr>
        <w:t xml:space="preserve"> </w:t>
      </w:r>
      <w:r>
        <w:rPr>
          <w:b w:val="0"/>
          <w:color w:val="auto"/>
          <w:szCs w:val="24"/>
        </w:rPr>
        <w:t xml:space="preserve">Zákon č. 281/1997 Z. z.  o  vojenských  obvodoch  a zákon, ktorým sa mení  zákon  Národnej rady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Slovenskej republiky č. 222/1996 Z. z. o organizácii  miestnej  štátnej  správy  a o zmene a 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 doplnení niektorých zákonov v znení  neskorších predpisov.</w:t>
      </w:r>
    </w:p>
  </w:footnote>
  <w:footnote w:id="15">
    <w:p>
      <w:pPr>
        <w:pStyle w:val="FootnoteText"/>
        <w:rPr>
          <w:szCs w:val="24"/>
        </w:rPr>
      </w:pPr>
      <w:r>
        <w:rPr>
          <w:rStyle w:val="FootnoteReference"/>
          <w:b w:val="0"/>
          <w:color w:val="auto"/>
          <w:szCs w:val="24"/>
        </w:rPr>
        <w:t>14)</w:t>
      </w:r>
      <w:r>
        <w:rPr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>§ 83 Zákonníka práce v znení neskorších predpisov.</w:t>
      </w:r>
    </w:p>
  </w:footnote>
  <w:footnote w:id="16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15)</w:t>
      </w:r>
      <w:r>
        <w:rPr>
          <w:color w:val="FF6600"/>
          <w:szCs w:val="24"/>
        </w:rPr>
        <w:t xml:space="preserve"> </w:t>
      </w:r>
      <w:r>
        <w:rPr>
          <w:b w:val="0"/>
          <w:color w:val="auto"/>
          <w:szCs w:val="24"/>
        </w:rPr>
        <w:t xml:space="preserve">Nariadenie Komisie (ES) č. 831/2002 zo 17. mája 2002, ktorým sa vykonáva nariadenie Rady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(ES) č. 322/97 o štatistike spoločenstva so zreteľom na prístup k dôverným údajom na výskumné 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účely (Mimoriadne vydanie Ú. v. EÚ, kap. 01/zv. 04), Nariadenie Rady (ES) č. 322/97 zo 17.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februára 1997 o štatistike spoločenstva (Mimoriadne vydanie Ú. v. EÚ kap. 01/zv. 01), nariadenie 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vlády Slovenskej republiky č. 221/1999 Z. z., ktorým sa vydáva zoznam obcí, v ktorých občania</w:t>
      </w:r>
    </w:p>
    <w:p>
      <w:pPr>
        <w:pStyle w:val="FootnoteText"/>
        <w:rPr>
          <w:szCs w:val="24"/>
        </w:rPr>
      </w:pPr>
      <w:r>
        <w:rPr>
          <w:b w:val="0"/>
          <w:color w:val="auto"/>
          <w:szCs w:val="24"/>
        </w:rPr>
        <w:t xml:space="preserve">    Slovenskej republiky patriaci k národnostnej menšine tvoria najmenej 20 % obyvateľstva.</w:t>
      </w:r>
    </w:p>
    <w:p>
      <w:pPr>
        <w:pStyle w:val="FootnoteText"/>
        <w:rPr>
          <w:szCs w:val="24"/>
        </w:rPr>
      </w:pPr>
    </w:p>
  </w:footnote>
  <w:footnote w:id="17">
    <w:p>
      <w:pPr>
        <w:pStyle w:val="FootnoteText"/>
        <w:rPr>
          <w:b w:val="0"/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16)</w:t>
      </w:r>
      <w:r>
        <w:rPr>
          <w:b w:val="0"/>
          <w:color w:val="auto"/>
          <w:szCs w:val="24"/>
        </w:rPr>
        <w:t xml:space="preserve"> § 5 ods. 2 písm. a) a b) a § 24 ods. 3 písm. e) zákona č. 395/2002 Z. z. o archívoch a </w:t>
      </w:r>
    </w:p>
    <w:p>
      <w:pPr>
        <w:pStyle w:val="FootnoteText"/>
        <w:rPr>
          <w:b w:val="0"/>
          <w:color w:val="auto"/>
          <w:szCs w:val="24"/>
        </w:rPr>
      </w:pPr>
      <w:r>
        <w:rPr>
          <w:b w:val="0"/>
          <w:color w:val="FF6600"/>
          <w:szCs w:val="24"/>
        </w:rPr>
        <w:t xml:space="preserve">    </w:t>
      </w:r>
      <w:r>
        <w:rPr>
          <w:b w:val="0"/>
          <w:color w:val="auto"/>
          <w:szCs w:val="24"/>
        </w:rPr>
        <w:t>registratúrach a o doplnení niektorých zákonov v znení neskorších predpisov.</w:t>
      </w:r>
    </w:p>
    <w:p>
      <w:pPr>
        <w:pStyle w:val="FootnoteText"/>
        <w:rPr>
          <w:szCs w:val="24"/>
        </w:rPr>
      </w:pPr>
    </w:p>
  </w:footnote>
  <w:footnote w:id="18">
    <w:p>
      <w:pPr>
        <w:pStyle w:val="FootnoteText"/>
        <w:rPr>
          <w:color w:val="auto"/>
          <w:szCs w:val="24"/>
        </w:rPr>
      </w:pPr>
      <w:r>
        <w:rPr>
          <w:rStyle w:val="FootnoteReference"/>
          <w:b w:val="0"/>
          <w:color w:val="auto"/>
          <w:szCs w:val="24"/>
        </w:rPr>
        <w:t>17)</w:t>
      </w:r>
      <w:r>
        <w:rPr>
          <w:color w:val="auto"/>
          <w:szCs w:val="24"/>
        </w:rPr>
        <w:t xml:space="preserve"> </w:t>
      </w:r>
      <w:r>
        <w:rPr>
          <w:b w:val="0"/>
          <w:color w:val="auto"/>
          <w:szCs w:val="24"/>
        </w:rPr>
        <w:t>Zákon č. 540/2001 Z. z. o štátnej štatistike v znení neskorších predpisov.</w:t>
      </w:r>
    </w:p>
    <w:p>
      <w:pPr>
        <w:pStyle w:val="FootnoteText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946"/>
    <w:multiLevelType w:val="hybridMultilevel"/>
    <w:tmpl w:val="2B50F47C"/>
    <w:lvl w:ilvl="0">
      <w:start w:val="7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">
    <w:nsid w:val="030F064A"/>
    <w:multiLevelType w:val="hybridMultilevel"/>
    <w:tmpl w:val="10BE858C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">
    <w:nsid w:val="062455DC"/>
    <w:multiLevelType w:val="hybridMultilevel"/>
    <w:tmpl w:val="F05EEFC2"/>
    <w:lvl w:ilvl="0">
      <w:start w:val="5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">
    <w:nsid w:val="0D145AA6"/>
    <w:multiLevelType w:val="hybridMultilevel"/>
    <w:tmpl w:val="9BE63B9A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4">
    <w:nsid w:val="0E7B2F06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5">
    <w:nsid w:val="19D3746D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6">
    <w:nsid w:val="1A4757C9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7">
    <w:nsid w:val="1BD90EA4"/>
    <w:multiLevelType w:val="hybridMultilevel"/>
    <w:tmpl w:val="FEE8B988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8">
    <w:nsid w:val="205067BC"/>
    <w:multiLevelType w:val="hybridMultilevel"/>
    <w:tmpl w:val="2B5A8C2C"/>
    <w:lvl w:ilvl="0">
      <w:start w:val="1"/>
      <w:numFmt w:val="decimal"/>
      <w:lvlText w:val="(%1)"/>
      <w:lvlJc w:val="left"/>
      <w:pPr>
        <w:tabs>
          <w:tab w:val="num" w:pos="4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</w:lvl>
  </w:abstractNum>
  <w:abstractNum w:abstractNumId="9">
    <w:nsid w:val="232919AE"/>
    <w:multiLevelType w:val="singleLevel"/>
    <w:tmpl w:val="E10C17C4"/>
    <w:lvl w:ilvl="0">
      <w:start w:val="1"/>
      <w:numFmt w:val="decimal"/>
      <w:lvlText w:val="%1."/>
      <w:legacy w:legacy="1" w:legacySpace="120" w:legacyIndent="360"/>
      <w:lvlJc w:val="left"/>
      <w:pPr>
        <w:ind w:hanging="360"/>
      </w:pPr>
    </w:lvl>
  </w:abstractNum>
  <w:abstractNum w:abstractNumId="10">
    <w:nsid w:val="26D02620"/>
    <w:multiLevelType w:val="hybridMultilevel"/>
    <w:tmpl w:val="8E5037F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1">
    <w:nsid w:val="30EC7F87"/>
    <w:multiLevelType w:val="hybridMultilevel"/>
    <w:tmpl w:val="EE5E0E26"/>
    <w:lvl w:ilvl="0">
      <w:start w:val="1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2">
    <w:nsid w:val="39F407A6"/>
    <w:multiLevelType w:val="hybridMultilevel"/>
    <w:tmpl w:val="32DECB14"/>
    <w:lvl w:ilvl="0">
      <w:start w:val="1"/>
      <w:numFmt w:val="decimal"/>
      <w:lvlText w:val="%1."/>
      <w:lvlJc w:val="left"/>
      <w:pPr>
        <w:tabs>
          <w:tab w:val="num" w:pos="108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hanging="180"/>
      </w:pPr>
    </w:lvl>
  </w:abstractNum>
  <w:abstractNum w:abstractNumId="13">
    <w:nsid w:val="3C9C6422"/>
    <w:multiLevelType w:val="hybridMultilevel"/>
    <w:tmpl w:val="93ACC49C"/>
    <w:lvl w:ilvl="0">
      <w:start w:val="1"/>
      <w:numFmt w:val="decimal"/>
      <w:lvlText w:val="(%1)"/>
      <w:lvlJc w:val="left"/>
      <w:pPr>
        <w:tabs>
          <w:tab w:val="num" w:pos="765"/>
        </w:tabs>
        <w:ind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4">
    <w:nsid w:val="3CD31B32"/>
    <w:multiLevelType w:val="hybridMultilevel"/>
    <w:tmpl w:val="CF9E6D34"/>
    <w:lvl w:ilvl="0">
      <w:start w:val="1"/>
      <w:numFmt w:val="decimal"/>
      <w:lvlText w:val="(%1)"/>
      <w:lvlJc w:val="left"/>
      <w:pPr>
        <w:tabs>
          <w:tab w:val="num" w:pos="804"/>
        </w:tabs>
        <w:ind w:hanging="444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5">
    <w:nsid w:val="41076276"/>
    <w:multiLevelType w:val="hybridMultilevel"/>
    <w:tmpl w:val="D394965C"/>
    <w:lvl w:ilvl="0">
      <w:start w:val="1"/>
      <w:numFmt w:val="decimal"/>
      <w:lvlText w:val="(%1)"/>
      <w:lvlJc w:val="left"/>
      <w:pPr>
        <w:tabs>
          <w:tab w:val="num" w:pos="780"/>
        </w:tabs>
        <w:ind w:hanging="42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6">
    <w:nsid w:val="46CD5E89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17">
    <w:nsid w:val="4C274779"/>
    <w:multiLevelType w:val="hybridMultilevel"/>
    <w:tmpl w:val="2318C4C6"/>
    <w:lvl w:ilvl="0">
      <w:start w:val="1"/>
      <w:numFmt w:val="decimal"/>
      <w:lvlText w:val="(%1)"/>
      <w:lvlJc w:val="left"/>
      <w:pPr>
        <w:tabs>
          <w:tab w:val="num" w:pos="732"/>
        </w:tabs>
        <w:ind w:hanging="372"/>
      </w:pPr>
      <w:rPr>
        <w:rFonts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18">
    <w:nsid w:val="4F9F5D89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19">
    <w:nsid w:val="515F74E0"/>
    <w:multiLevelType w:val="hybridMultilevel"/>
    <w:tmpl w:val="F2F06728"/>
    <w:lvl w:ilvl="0">
      <w:start w:val="1"/>
      <w:numFmt w:val="decimal"/>
      <w:lvlText w:val="(%1)"/>
      <w:lvlJc w:val="left"/>
      <w:pPr>
        <w:tabs>
          <w:tab w:val="num" w:pos="735"/>
        </w:tabs>
        <w:ind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0">
    <w:nsid w:val="519039BB"/>
    <w:multiLevelType w:val="hybridMultilevel"/>
    <w:tmpl w:val="A75CF6A6"/>
    <w:lvl w:ilvl="0">
      <w:start w:val="1"/>
      <w:numFmt w:val="decimal"/>
      <w:lvlText w:val="(%1)"/>
      <w:lvlJc w:val="left"/>
      <w:pPr>
        <w:tabs>
          <w:tab w:val="num" w:pos="756"/>
        </w:tabs>
        <w:ind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1">
    <w:nsid w:val="53912F2C"/>
    <w:multiLevelType w:val="hybridMultilevel"/>
    <w:tmpl w:val="4B16FD64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2">
    <w:nsid w:val="61B225CD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23">
    <w:nsid w:val="64282BFC"/>
    <w:multiLevelType w:val="hybridMultilevel"/>
    <w:tmpl w:val="495CC5E6"/>
    <w:lvl w:ilvl="0">
      <w:start w:val="7"/>
      <w:numFmt w:val="lowerLetter"/>
      <w:lvlText w:val="%1)"/>
      <w:lvlJc w:val="left"/>
      <w:pPr>
        <w:tabs>
          <w:tab w:val="num" w:pos="720"/>
        </w:tabs>
        <w:ind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4">
    <w:nsid w:val="672E2FC0"/>
    <w:multiLevelType w:val="hybridMultilevel"/>
    <w:tmpl w:val="C53281B8"/>
    <w:lvl w:ilvl="0">
      <w:start w:val="1"/>
      <w:numFmt w:val="decimal"/>
      <w:lvlText w:val="(%1)"/>
      <w:lvlJc w:val="left"/>
      <w:pPr>
        <w:tabs>
          <w:tab w:val="num" w:pos="744"/>
        </w:tabs>
        <w:ind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5">
    <w:nsid w:val="67515AAF"/>
    <w:multiLevelType w:val="hybridMultilevel"/>
    <w:tmpl w:val="50181F4C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6">
    <w:nsid w:val="68A00D84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27">
    <w:nsid w:val="69844819"/>
    <w:multiLevelType w:val="hybridMultilevel"/>
    <w:tmpl w:val="89C49554"/>
    <w:lvl w:ilvl="0">
      <w:start w:val="1"/>
      <w:numFmt w:val="decimal"/>
      <w:lvlText w:val="(%1)"/>
      <w:lvlJc w:val="left"/>
      <w:pPr>
        <w:tabs>
          <w:tab w:val="num" w:pos="744"/>
        </w:tabs>
        <w:ind w:hanging="3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28">
    <w:nsid w:val="6C652257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29">
    <w:nsid w:val="6C8D2617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30">
    <w:nsid w:val="6FCC3B7E"/>
    <w:multiLevelType w:val="hybridMultilevel"/>
    <w:tmpl w:val="996AE4CC"/>
    <w:lvl w:ilvl="0">
      <w:start w:val="2"/>
      <w:numFmt w:val="decimal"/>
      <w:lvlText w:val="%1.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1">
    <w:nsid w:val="70332C89"/>
    <w:multiLevelType w:val="hybridMultilevel"/>
    <w:tmpl w:val="7DAE02D2"/>
    <w:lvl w:ilvl="0">
      <w:start w:val="1"/>
      <w:numFmt w:val="decimal"/>
      <w:lvlText w:val="(%1)"/>
      <w:lvlJc w:val="left"/>
      <w:pPr>
        <w:tabs>
          <w:tab w:val="num" w:pos="780"/>
        </w:tabs>
        <w:ind w:hanging="420"/>
      </w:pPr>
      <w:rPr>
        <w:rFonts w:hint="default"/>
        <w:b w:val="0"/>
        <w:i/>
        <w:color w:val="FF0000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2">
    <w:nsid w:val="72C13102"/>
    <w:multiLevelType w:val="hybridMultilevel"/>
    <w:tmpl w:val="4EDE24DC"/>
    <w:lvl w:ilvl="0">
      <w:start w:val="1"/>
      <w:numFmt w:val="decimal"/>
      <w:lvlText w:val="(%1)"/>
      <w:lvlJc w:val="left"/>
      <w:pPr>
        <w:tabs>
          <w:tab w:val="num" w:pos="450"/>
        </w:tabs>
        <w:ind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hanging="180"/>
      </w:pPr>
    </w:lvl>
  </w:abstractNum>
  <w:abstractNum w:abstractNumId="33">
    <w:nsid w:val="73E15F49"/>
    <w:multiLevelType w:val="singleLevel"/>
    <w:tmpl w:val="37447776"/>
    <w:lvl w:ilvl="0">
      <w:start w:val="1"/>
      <w:numFmt w:val="lowerLetter"/>
      <w:lvlText w:val="%1)"/>
      <w:legacy w:legacy="1" w:legacySpace="120" w:legacyIndent="360"/>
      <w:lvlJc w:val="left"/>
      <w:pPr>
        <w:ind w:hanging="360"/>
      </w:pPr>
    </w:lvl>
  </w:abstractNum>
  <w:abstractNum w:abstractNumId="34">
    <w:nsid w:val="74301DCF"/>
    <w:multiLevelType w:val="hybridMultilevel"/>
    <w:tmpl w:val="FA821A38"/>
    <w:lvl w:ilvl="0">
      <w:start w:val="1"/>
      <w:numFmt w:val="decimal"/>
      <w:lvlText w:val="(%1)"/>
      <w:lvlJc w:val="left"/>
      <w:pPr>
        <w:tabs>
          <w:tab w:val="num" w:pos="732"/>
        </w:tabs>
        <w:ind w:hanging="372"/>
      </w:pPr>
      <w:rPr>
        <w:rFonts w:hint="default"/>
        <w:b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abstractNum w:abstractNumId="35">
    <w:nsid w:val="7A735C6A"/>
    <w:multiLevelType w:val="hybridMultilevel"/>
    <w:tmpl w:val="E3B2E8CA"/>
    <w:lvl w:ilvl="0">
      <w:start w:val="1"/>
      <w:numFmt w:val="decimal"/>
      <w:lvlText w:val="(%1)"/>
      <w:lvlJc w:val="left"/>
      <w:pPr>
        <w:tabs>
          <w:tab w:val="num" w:pos="72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4"/>
  </w:num>
  <w:num w:numId="5">
    <w:abstractNumId w:val="26"/>
  </w:num>
  <w:num w:numId="6">
    <w:abstractNumId w:val="29"/>
  </w:num>
  <w:num w:numId="7">
    <w:abstractNumId w:val="22"/>
  </w:num>
  <w:num w:numId="8">
    <w:abstractNumId w:val="28"/>
  </w:num>
  <w:num w:numId="9">
    <w:abstractNumId w:val="33"/>
  </w:num>
  <w:num w:numId="10">
    <w:abstractNumId w:val="16"/>
  </w:num>
  <w:num w:numId="11">
    <w:abstractNumId w:val="9"/>
  </w:num>
  <w:num w:numId="12">
    <w:abstractNumId w:val="34"/>
  </w:num>
  <w:num w:numId="13">
    <w:abstractNumId w:val="20"/>
  </w:num>
  <w:num w:numId="14">
    <w:abstractNumId w:val="23"/>
  </w:num>
  <w:num w:numId="15">
    <w:abstractNumId w:val="0"/>
  </w:num>
  <w:num w:numId="16">
    <w:abstractNumId w:val="24"/>
  </w:num>
  <w:num w:numId="17">
    <w:abstractNumId w:val="19"/>
  </w:num>
  <w:num w:numId="18">
    <w:abstractNumId w:val="35"/>
  </w:num>
  <w:num w:numId="19">
    <w:abstractNumId w:val="7"/>
  </w:num>
  <w:num w:numId="20">
    <w:abstractNumId w:val="8"/>
  </w:num>
  <w:num w:numId="21">
    <w:abstractNumId w:val="32"/>
  </w:num>
  <w:num w:numId="22">
    <w:abstractNumId w:val="14"/>
  </w:num>
  <w:num w:numId="23">
    <w:abstractNumId w:val="27"/>
  </w:num>
  <w:num w:numId="24">
    <w:abstractNumId w:val="11"/>
  </w:num>
  <w:num w:numId="25">
    <w:abstractNumId w:val="13"/>
  </w:num>
  <w:num w:numId="26">
    <w:abstractNumId w:val="3"/>
  </w:num>
  <w:num w:numId="27">
    <w:abstractNumId w:val="25"/>
  </w:num>
  <w:num w:numId="28">
    <w:abstractNumId w:val="1"/>
  </w:num>
  <w:num w:numId="29">
    <w:abstractNumId w:val="31"/>
  </w:num>
  <w:num w:numId="30">
    <w:abstractNumId w:val="15"/>
  </w:num>
  <w:num w:numId="31">
    <w:abstractNumId w:val="30"/>
  </w:num>
  <w:num w:numId="32">
    <w:abstractNumId w:val="2"/>
  </w:num>
  <w:num w:numId="33">
    <w:abstractNumId w:val="17"/>
  </w:num>
  <w:num w:numId="34">
    <w:abstractNumId w:val="10"/>
  </w:num>
  <w:num w:numId="35">
    <w:abstractNumId w:val="21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footnotePr>
    <w:footnote w:id="0"/>
    <w:footnote w:id="1"/>
  </w:foot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</w:style>
  <w:style w:type="paragraph" w:styleId="Heading3">
    <w:name w:val="heading 3"/>
    <w:basedOn w:val="Normal"/>
    <w:next w:val="Normal"/>
    <w:uiPriority w:val="99"/>
    <w:pPr>
      <w:keepNext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9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uiPriority w:val="99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uiPriority w:val="99"/>
    <w:pPr>
      <w:keepNext/>
      <w:jc w:val="center"/>
      <w:outlineLvl w:val="5"/>
    </w:pPr>
    <w:rPr>
      <w:b/>
      <w:i/>
      <w:spacing w:val="20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color w:val="008080"/>
      <w:lang w:val="cs-CZ"/>
    </w:rPr>
  </w:style>
  <w:style w:type="paragraph" w:styleId="Heading8">
    <w:name w:val="heading 8"/>
    <w:basedOn w:val="Normal"/>
    <w:next w:val="Normal"/>
    <w:uiPriority w:val="99"/>
    <w:pPr>
      <w:keepNext/>
      <w:ind w:left="360"/>
      <w:jc w:val="both"/>
      <w:outlineLvl w:val="7"/>
    </w:pPr>
    <w:rPr>
      <w:b/>
      <w:color w:val="008080"/>
      <w:lang w:val="cs-CZ"/>
    </w:rPr>
  </w:style>
  <w:style w:type="paragraph" w:styleId="Heading9">
    <w:name w:val="heading 9"/>
    <w:basedOn w:val="Normal"/>
    <w:next w:val="Normal"/>
    <w:uiPriority w:val="99"/>
    <w:pPr>
      <w:keepNext/>
      <w:jc w:val="left"/>
      <w:outlineLvl w:val="8"/>
    </w:pPr>
    <w:rPr>
      <w:b/>
      <w:color w:val="008080"/>
      <w:lang w:val="cs-CZ"/>
    </w:rPr>
  </w:style>
  <w:style w:type="character" w:default="1" w:styleId="DefaultParagraphFont">
    <w:name w:val="Default Paragraph Font"/>
    <w:uiPriority w:val="99"/>
  </w:style>
  <w:style w:type="paragraph" w:customStyle="1" w:styleId="zkon">
    <w:name w:val="zákon"/>
    <w:basedOn w:val="Normal"/>
    <w:uiPriority w:val="99"/>
    <w:pPr>
      <w:jc w:val="left"/>
    </w:pPr>
  </w:style>
  <w:style w:type="paragraph" w:styleId="BodyText2">
    <w:name w:val="Body Text 2"/>
    <w:basedOn w:val="Normal"/>
    <w:uiPriority w:val="99"/>
    <w:pPr>
      <w:jc w:val="both"/>
    </w:pPr>
    <w:rPr>
      <w:b/>
      <w:color w:val="0000FF"/>
    </w:rPr>
  </w:style>
  <w:style w:type="paragraph" w:styleId="BodyText">
    <w:name w:val="Body Text"/>
    <w:basedOn w:val="Normal"/>
    <w:uiPriority w:val="99"/>
    <w:pPr>
      <w:jc w:val="both"/>
    </w:pPr>
    <w:rPr>
      <w:b/>
    </w:rPr>
  </w:style>
  <w:style w:type="paragraph" w:customStyle="1" w:styleId="odrkaa">
    <w:name w:val="odrážka a"/>
    <w:basedOn w:val="Normal"/>
    <w:uiPriority w:val="99"/>
    <w:pPr>
      <w:spacing w:line="360" w:lineRule="atLeast"/>
      <w:jc w:val="both"/>
    </w:pPr>
    <w:rPr>
      <w:rFonts w:ascii="Georgia" w:hAnsi="Georgia" w:cs="Georgia"/>
      <w:lang w:val="cs-CZ"/>
    </w:rPr>
  </w:style>
  <w:style w:type="character" w:styleId="HTMLTypewriter">
    <w:name w:val="HTML Typewriter"/>
    <w:basedOn w:val="DefaultParagraphFont"/>
    <w:uiPriority w:val="99"/>
    <w:rPr>
      <w:rFonts w:ascii="Arial Unicode MS" w:eastAsia="Arial Unicode MS"/>
      <w:sz w:val="20"/>
    </w:rPr>
  </w:style>
  <w:style w:type="paragraph" w:styleId="Title">
    <w:name w:val="Title"/>
    <w:basedOn w:val="Normal"/>
    <w:uiPriority w:val="99"/>
    <w:pPr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i/>
      <w:color w:val="FF0000"/>
      <w:u w:val="single"/>
    </w:rPr>
  </w:style>
  <w:style w:type="paragraph" w:styleId="BodyTextIndent2">
    <w:name w:val="Body Text Indent 2"/>
    <w:basedOn w:val="Normal"/>
    <w:uiPriority w:val="99"/>
    <w:pPr>
      <w:ind w:firstLine="708"/>
      <w:jc w:val="both"/>
    </w:pPr>
    <w:rPr>
      <w:i/>
    </w:rPr>
  </w:style>
  <w:style w:type="paragraph" w:styleId="Subtitle">
    <w:name w:val="Subtitle"/>
    <w:basedOn w:val="Normal"/>
    <w:uiPriority w:val="99"/>
    <w:pPr>
      <w:jc w:val="center"/>
    </w:pPr>
    <w:rPr>
      <w:b/>
    </w:rPr>
  </w:style>
  <w:style w:type="character" w:styleId="Emphasis">
    <w:name w:val="Emphasis"/>
    <w:basedOn w:val="DefaultParagraphFont"/>
    <w:uiPriority w:val="99"/>
    <w:rPr>
      <w:i/>
    </w:rPr>
  </w:style>
  <w:style w:type="paragraph" w:styleId="FootnoteText">
    <w:name w:val="footnote text"/>
    <w:basedOn w:val="Normal"/>
    <w:uiPriority w:val="99"/>
    <w:pPr>
      <w:jc w:val="left"/>
    </w:pPr>
    <w:rPr>
      <w:b/>
      <w:color w:val="008080"/>
      <w:sz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italic1">
    <w:name w:val="italic1"/>
    <w:basedOn w:val="DefaultParagraphFont"/>
    <w:uiPriority w:val="99"/>
    <w:rPr>
      <w:i/>
    </w:rPr>
  </w:style>
  <w:style w:type="paragraph" w:styleId="NormalWeb">
    <w:name w:val="Normal (Web)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Times New Roman"/>
      <w:lang w:val="cs-CZ" w:eastAsia="cs-CZ"/>
    </w:rPr>
  </w:style>
  <w:style w:type="paragraph" w:styleId="BodyTextIndent3">
    <w:name w:val="Body Text Indent 3"/>
    <w:basedOn w:val="Normal"/>
    <w:uiPriority w:val="99"/>
    <w:pPr>
      <w:tabs>
        <w:tab w:val="left" w:pos="420"/>
      </w:tabs>
      <w:ind w:left="60"/>
      <w:jc w:val="both"/>
    </w:pPr>
    <w:rPr>
      <w:b/>
      <w:color w:val="0000FF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10</Pages>
  <Words>2287</Words>
  <Characters>13040</Characters>
  <Application>Microsoft Office Word</Application>
  <DocSecurity>0</DocSecurity>
  <Lines>0</Lines>
  <Paragraphs>0</Paragraphs>
  <ScaleCrop>false</ScaleCrop>
  <Company>ŠÚ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Zbierka zákonov č</dc:title>
  <dc:creator>******</dc:creator>
  <cp:lastModifiedBy>******</cp:lastModifiedBy>
  <cp:revision>7</cp:revision>
  <cp:lastPrinted>2008-04-17T11:31:00Z</cp:lastPrinted>
  <dcterms:created xsi:type="dcterms:W3CDTF">2008-04-17T11:34:00Z</dcterms:created>
  <dcterms:modified xsi:type="dcterms:W3CDTF">2008-04-24T12:20:00Z</dcterms:modified>
</cp:coreProperties>
</file>