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121"/>
        <w:gridCol w:w="3969"/>
        <w:gridCol w:w="567"/>
        <w:gridCol w:w="1003"/>
        <w:gridCol w:w="900"/>
        <w:gridCol w:w="4320"/>
        <w:gridCol w:w="581"/>
        <w:gridCol w:w="1134"/>
        <w:gridCol w:w="1134"/>
      </w:tblGrid>
      <w:tr>
        <w:tblPrEx>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Height w:hRule="auto" w:val="0"/>
        </w:trPr>
        <w:tc>
          <w:tcPr>
            <w:tcW w:w="14729" w:type="dxa"/>
            <w:gridSpan w:val="9"/>
            <w:tcBorders>
              <w:top w:val="nil"/>
              <w:left w:val="nil"/>
              <w:bottom w:val="single" w:sz="4" w:space="0" w:color="auto"/>
              <w:right w:val="nil"/>
              <w:tl2br w:val="nil"/>
              <w:tr2bl w:val="nil"/>
            </w:tcBorders>
            <w:textDirection w:val="lrTb"/>
            <w:vAlign w:val="top"/>
          </w:tcPr>
          <w:p w:rsidR="008415E8" w:rsidP="008415E8">
            <w:pPr>
              <w:pStyle w:val="Heading7"/>
              <w:rPr>
                <w:rFonts w:ascii="Times New Roman" w:hAnsi="Times New Roman" w:cs="Times New Roman"/>
              </w:rPr>
            </w:pPr>
            <w:r>
              <w:rPr>
                <w:rFonts w:ascii="Times New Roman" w:hAnsi="Times New Roman" w:cs="Times New Roman"/>
              </w:rPr>
              <w:t>TABUĽKA ZHODY</w:t>
            </w:r>
          </w:p>
          <w:p w:rsidR="008415E8" w:rsidP="008415E8">
            <w:pPr>
              <w:jc w:val="center"/>
              <w:rPr>
                <w:rFonts w:ascii="Times New Roman" w:hAnsi="Times New Roman" w:cs="Times New Roman"/>
                <w:b/>
                <w:sz w:val="20"/>
              </w:rPr>
            </w:pPr>
            <w:r>
              <w:rPr>
                <w:rFonts w:ascii="Times New Roman" w:hAnsi="Times New Roman" w:cs="Times New Roman"/>
                <w:b/>
                <w:i/>
                <w:sz w:val="20"/>
              </w:rPr>
              <w:t>návrhu zákona</w:t>
            </w:r>
            <w:r w:rsidR="00647CCC">
              <w:rPr>
                <w:rFonts w:ascii="Times New Roman" w:hAnsi="Times New Roman" w:cs="Times New Roman"/>
                <w:b/>
                <w:i/>
                <w:sz w:val="20"/>
              </w:rPr>
              <w:t xml:space="preserve"> o výchove a vzdelávaní a o zmene a doplnení niektorých zákonov (školský zákon) </w:t>
            </w:r>
            <w:r>
              <w:rPr>
                <w:rFonts w:ascii="Times New Roman" w:hAnsi="Times New Roman" w:cs="Times New Roman"/>
                <w:b/>
                <w:i/>
                <w:sz w:val="20"/>
              </w:rPr>
              <w:t xml:space="preserve"> s právom  Európskych spoločenstiev a s právom Európskej únie</w:t>
            </w:r>
          </w:p>
          <w:p w:rsidR="008415E8" w:rsidP="008415E8">
            <w:pPr>
              <w:rPr>
                <w:rFonts w:ascii="Times New Roman" w:hAnsi="Times New Roman" w:cs="Times New Roman"/>
                <w:sz w:val="20"/>
              </w:rPr>
            </w:pPr>
          </w:p>
        </w:tc>
      </w:tr>
      <w:tr>
        <w:tblPrEx>
          <w:tblW w:w="0" w:type="auto"/>
          <w:tblInd w:w="70" w:type="dxa"/>
          <w:tblLayout w:type="fixed"/>
          <w:tblCellMar>
            <w:top w:w="0" w:type="dxa"/>
            <w:left w:w="70" w:type="dxa"/>
            <w:bottom w:w="0" w:type="dxa"/>
            <w:right w:w="70" w:type="dxa"/>
          </w:tblCellMar>
        </w:tblPrEx>
        <w:trPr>
          <w:cantSplit/>
          <w:trHeight w:hRule="auto" w:val="0"/>
        </w:trPr>
        <w:tc>
          <w:tcPr>
            <w:tcW w:w="565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jc w:val="center"/>
              <w:rPr>
                <w:rFonts w:ascii="Times New Roman" w:hAnsi="Times New Roman" w:cs="Times New Roman"/>
                <w:b/>
                <w:i/>
                <w:iCs/>
                <w:sz w:val="20"/>
              </w:rPr>
            </w:pPr>
          </w:p>
          <w:p w:rsidR="008415E8" w:rsidRPr="000D6F0E" w:rsidP="00152D46">
            <w:pPr>
              <w:jc w:val="both"/>
              <w:rPr>
                <w:rFonts w:ascii="Times New Roman" w:hAnsi="Times New Roman" w:cs="Times New Roman"/>
                <w:bCs/>
                <w:i/>
                <w:iCs/>
                <w:sz w:val="20"/>
              </w:rPr>
            </w:pPr>
            <w:r w:rsidRPr="000D6F0E">
              <w:rPr>
                <w:rFonts w:ascii="Times New Roman" w:hAnsi="Times New Roman" w:cs="Times New Roman"/>
                <w:b/>
                <w:i/>
                <w:iCs/>
                <w:sz w:val="20"/>
              </w:rPr>
              <w:t xml:space="preserve">SMERNICA RADY </w:t>
            </w:r>
            <w:r w:rsidR="00152D46">
              <w:rPr>
                <w:rFonts w:ascii="Times New Roman" w:hAnsi="Times New Roman" w:cs="Times New Roman"/>
                <w:b/>
                <w:i/>
                <w:iCs/>
                <w:sz w:val="20"/>
              </w:rPr>
              <w:t>7</w:t>
            </w:r>
            <w:r>
              <w:rPr>
                <w:rFonts w:ascii="Times New Roman" w:hAnsi="Times New Roman" w:cs="Times New Roman"/>
                <w:b/>
                <w:i/>
                <w:iCs/>
                <w:sz w:val="20"/>
              </w:rPr>
              <w:t>7</w:t>
            </w:r>
            <w:r w:rsidRPr="000D6F0E">
              <w:rPr>
                <w:rFonts w:ascii="Times New Roman" w:hAnsi="Times New Roman" w:cs="Times New Roman"/>
                <w:b/>
                <w:i/>
                <w:iCs/>
                <w:sz w:val="20"/>
              </w:rPr>
              <w:t>/</w:t>
            </w:r>
            <w:r w:rsidR="00152D46">
              <w:rPr>
                <w:rFonts w:ascii="Times New Roman" w:hAnsi="Times New Roman" w:cs="Times New Roman"/>
                <w:b/>
                <w:i/>
                <w:iCs/>
                <w:sz w:val="20"/>
              </w:rPr>
              <w:t>4</w:t>
            </w:r>
            <w:r>
              <w:rPr>
                <w:rFonts w:ascii="Times New Roman" w:hAnsi="Times New Roman" w:cs="Times New Roman"/>
                <w:b/>
                <w:i/>
                <w:iCs/>
                <w:sz w:val="20"/>
              </w:rPr>
              <w:t>8</w:t>
            </w:r>
            <w:r w:rsidR="00152D46">
              <w:rPr>
                <w:rFonts w:ascii="Times New Roman" w:hAnsi="Times New Roman" w:cs="Times New Roman"/>
                <w:b/>
                <w:i/>
                <w:iCs/>
                <w:sz w:val="20"/>
              </w:rPr>
              <w:t>6</w:t>
            </w:r>
            <w:r w:rsidRPr="000D6F0E">
              <w:rPr>
                <w:rFonts w:ascii="Times New Roman" w:hAnsi="Times New Roman" w:cs="Times New Roman"/>
                <w:b/>
                <w:i/>
                <w:iCs/>
                <w:sz w:val="20"/>
              </w:rPr>
              <w:t>/E</w:t>
            </w:r>
            <w:r w:rsidR="00152D46">
              <w:rPr>
                <w:rFonts w:ascii="Times New Roman" w:hAnsi="Times New Roman" w:cs="Times New Roman"/>
                <w:b/>
                <w:i/>
                <w:iCs/>
                <w:sz w:val="20"/>
              </w:rPr>
              <w:t>H</w:t>
            </w:r>
            <w:r w:rsidRPr="000D6F0E">
              <w:rPr>
                <w:rFonts w:ascii="Times New Roman" w:hAnsi="Times New Roman" w:cs="Times New Roman"/>
                <w:b/>
                <w:i/>
                <w:iCs/>
                <w:sz w:val="20"/>
              </w:rPr>
              <w:t xml:space="preserve">S z </w:t>
            </w:r>
            <w:r w:rsidR="00152D46">
              <w:rPr>
                <w:rFonts w:ascii="Times New Roman" w:hAnsi="Times New Roman" w:cs="Times New Roman"/>
                <w:b/>
                <w:i/>
                <w:iCs/>
                <w:sz w:val="20"/>
              </w:rPr>
              <w:t>2</w:t>
            </w:r>
            <w:r>
              <w:rPr>
                <w:rFonts w:ascii="Times New Roman" w:hAnsi="Times New Roman" w:cs="Times New Roman"/>
                <w:b/>
                <w:i/>
                <w:iCs/>
                <w:sz w:val="20"/>
              </w:rPr>
              <w:t>5</w:t>
            </w:r>
            <w:r w:rsidRPr="000D6F0E">
              <w:rPr>
                <w:rFonts w:ascii="Times New Roman" w:hAnsi="Times New Roman" w:cs="Times New Roman"/>
                <w:b/>
                <w:i/>
                <w:iCs/>
                <w:sz w:val="20"/>
              </w:rPr>
              <w:t xml:space="preserve">. </w:t>
            </w:r>
            <w:r w:rsidR="00152D46">
              <w:rPr>
                <w:rFonts w:ascii="Times New Roman" w:hAnsi="Times New Roman" w:cs="Times New Roman"/>
                <w:b/>
                <w:i/>
                <w:iCs/>
                <w:sz w:val="20"/>
              </w:rPr>
              <w:t>júla</w:t>
            </w:r>
            <w:r w:rsidRPr="000D6F0E">
              <w:rPr>
                <w:rFonts w:ascii="Times New Roman" w:hAnsi="Times New Roman" w:cs="Times New Roman"/>
                <w:b/>
                <w:i/>
                <w:iCs/>
                <w:sz w:val="20"/>
              </w:rPr>
              <w:t xml:space="preserve"> 19</w:t>
            </w:r>
            <w:r w:rsidR="00152D46">
              <w:rPr>
                <w:rFonts w:ascii="Times New Roman" w:hAnsi="Times New Roman" w:cs="Times New Roman"/>
                <w:b/>
                <w:i/>
                <w:iCs/>
                <w:sz w:val="20"/>
              </w:rPr>
              <w:t>7</w:t>
            </w:r>
            <w:r>
              <w:rPr>
                <w:rFonts w:ascii="Times New Roman" w:hAnsi="Times New Roman" w:cs="Times New Roman"/>
                <w:b/>
                <w:i/>
                <w:iCs/>
                <w:sz w:val="20"/>
              </w:rPr>
              <w:t>7</w:t>
            </w:r>
            <w:r w:rsidRPr="000D6F0E">
              <w:rPr>
                <w:rFonts w:ascii="Times New Roman" w:hAnsi="Times New Roman" w:cs="Times New Roman"/>
                <w:b/>
                <w:i/>
                <w:iCs/>
                <w:sz w:val="20"/>
              </w:rPr>
              <w:t xml:space="preserve"> </w:t>
            </w:r>
            <w:r w:rsidRPr="000D6F0E">
              <w:rPr>
                <w:rFonts w:ascii="Times New Roman" w:hAnsi="Times New Roman" w:cs="Times New Roman"/>
                <w:bCs/>
                <w:i/>
                <w:iCs/>
                <w:sz w:val="20"/>
              </w:rPr>
              <w:t>o</w:t>
            </w:r>
            <w:r w:rsidR="00152D46">
              <w:rPr>
                <w:rFonts w:ascii="Times New Roman" w:hAnsi="Times New Roman" w:cs="Times New Roman"/>
                <w:bCs/>
                <w:i/>
                <w:iCs/>
                <w:sz w:val="20"/>
              </w:rPr>
              <w:t> vzdelávaní detí migrujúcich pracovníkov</w:t>
            </w:r>
          </w:p>
          <w:p w:rsidR="008415E8" w:rsidRPr="000D6F0E" w:rsidP="008415E8">
            <w:pPr>
              <w:jc w:val="center"/>
              <w:rPr>
                <w:rFonts w:ascii="Times New Roman" w:hAnsi="Times New Roman" w:cs="Times New Roman"/>
                <w:i/>
                <w:iCs/>
                <w:sz w:val="20"/>
              </w:rPr>
            </w:pPr>
          </w:p>
        </w:tc>
        <w:tc>
          <w:tcPr>
            <w:tcW w:w="9072"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pStyle w:val="BodyText2"/>
              <w:rPr>
                <w:rFonts w:ascii="Times New Roman" w:hAnsi="Times New Roman" w:cs="Times New Roman"/>
                <w:bCs/>
                <w:i/>
                <w:sz w:val="20"/>
              </w:rPr>
            </w:pPr>
          </w:p>
          <w:p w:rsidR="008415E8" w:rsidP="00AE5EB4">
            <w:pPr>
              <w:pStyle w:val="BodyText2"/>
              <w:rPr>
                <w:rFonts w:ascii="Times New Roman" w:hAnsi="Times New Roman" w:cs="Times New Roman"/>
                <w:b w:val="0"/>
                <w:i/>
                <w:sz w:val="20"/>
              </w:rPr>
            </w:pPr>
            <w:r>
              <w:rPr>
                <w:rFonts w:ascii="Times New Roman" w:hAnsi="Times New Roman" w:cs="Times New Roman"/>
                <w:bCs/>
                <w:i/>
                <w:sz w:val="20"/>
              </w:rPr>
              <w:t xml:space="preserve">  </w:t>
            </w:r>
            <w:r w:rsidRPr="00DE5ABE">
              <w:rPr>
                <w:rFonts w:ascii="Times New Roman" w:hAnsi="Times New Roman" w:cs="Times New Roman"/>
                <w:bCs/>
                <w:i/>
                <w:sz w:val="20"/>
              </w:rPr>
              <w:t xml:space="preserve">Zákon č. </w:t>
            </w:r>
            <w:r w:rsidR="0063596C">
              <w:rPr>
                <w:rFonts w:ascii="Times New Roman" w:hAnsi="Times New Roman" w:cs="Times New Roman"/>
                <w:bCs/>
                <w:i/>
                <w:sz w:val="20"/>
              </w:rPr>
              <w:t xml:space="preserve">... </w:t>
            </w:r>
            <w:r w:rsidRPr="00DE5ABE">
              <w:rPr>
                <w:rFonts w:ascii="Times New Roman" w:hAnsi="Times New Roman" w:cs="Times New Roman"/>
                <w:bCs/>
                <w:i/>
                <w:sz w:val="20"/>
              </w:rPr>
              <w:t>/200</w:t>
            </w:r>
            <w:r w:rsidR="0063596C">
              <w:rPr>
                <w:rFonts w:ascii="Times New Roman" w:hAnsi="Times New Roman" w:cs="Times New Roman"/>
                <w:bCs/>
                <w:i/>
                <w:sz w:val="20"/>
              </w:rPr>
              <w:t>8</w:t>
            </w:r>
            <w:r w:rsidRPr="00DE5ABE">
              <w:rPr>
                <w:rFonts w:ascii="Times New Roman" w:hAnsi="Times New Roman" w:cs="Times New Roman"/>
                <w:bCs/>
                <w:i/>
                <w:sz w:val="20"/>
              </w:rPr>
              <w:t xml:space="preserve"> Z. z. </w:t>
            </w:r>
            <w:r w:rsidRPr="0063596C">
              <w:rPr>
                <w:rFonts w:ascii="Times New Roman" w:hAnsi="Times New Roman" w:cs="Times New Roman"/>
                <w:b w:val="0"/>
                <w:bCs/>
                <w:i/>
                <w:sz w:val="20"/>
              </w:rPr>
              <w:t>o</w:t>
            </w:r>
            <w:r w:rsidRPr="0063596C" w:rsidR="0063596C">
              <w:rPr>
                <w:rFonts w:ascii="Times New Roman" w:hAnsi="Times New Roman" w:cs="Times New Roman"/>
                <w:b w:val="0"/>
                <w:bCs/>
                <w:i/>
                <w:sz w:val="20"/>
              </w:rPr>
              <w:t xml:space="preserve"> výchove a vzdelávaní a o zmene a doplnení niektorých zákonov</w:t>
            </w:r>
            <w:r w:rsidR="00647CCC">
              <w:rPr>
                <w:rFonts w:ascii="Times New Roman" w:hAnsi="Times New Roman" w:cs="Times New Roman"/>
                <w:b w:val="0"/>
                <w:bCs/>
                <w:i/>
                <w:sz w:val="20"/>
              </w:rPr>
              <w:t xml:space="preserve"> </w:t>
            </w:r>
            <w:r w:rsidRPr="0063596C" w:rsidR="00647CCC">
              <w:rPr>
                <w:rFonts w:ascii="Times New Roman" w:hAnsi="Times New Roman" w:cs="Times New Roman"/>
                <w:b w:val="0"/>
                <w:bCs/>
                <w:i/>
                <w:sz w:val="20"/>
              </w:rPr>
              <w:t xml:space="preserve">(školský zákon) </w:t>
            </w:r>
            <w:r>
              <w:rPr>
                <w:rFonts w:ascii="Times New Roman" w:hAnsi="Times New Roman" w:cs="Times New Roman"/>
                <w:b w:val="0"/>
                <w:i/>
                <w:sz w:val="20"/>
              </w:rPr>
              <w:t xml:space="preserve"> </w:t>
            </w:r>
            <w:r w:rsidRPr="00DE5ABE">
              <w:rPr>
                <w:rFonts w:ascii="Times New Roman" w:hAnsi="Times New Roman" w:cs="Times New Roman"/>
                <w:b w:val="0"/>
                <w:i/>
                <w:sz w:val="20"/>
              </w:rPr>
              <w:t>(ďalej len „</w:t>
            </w:r>
            <w:r w:rsidR="0063596C">
              <w:rPr>
                <w:rFonts w:ascii="Times New Roman" w:hAnsi="Times New Roman" w:cs="Times New Roman"/>
                <w:b w:val="0"/>
                <w:i/>
                <w:sz w:val="20"/>
              </w:rPr>
              <w:t>Návrh</w:t>
            </w:r>
            <w:r w:rsidR="00327080">
              <w:rPr>
                <w:rFonts w:ascii="Times New Roman" w:hAnsi="Times New Roman" w:cs="Times New Roman"/>
                <w:b w:val="0"/>
                <w:i/>
                <w:sz w:val="20"/>
              </w:rPr>
              <w:t>“</w:t>
            </w:r>
            <w:r w:rsidRPr="00DE5ABE">
              <w:rPr>
                <w:rFonts w:ascii="Times New Roman" w:hAnsi="Times New Roman" w:cs="Times New Roman"/>
                <w:b w:val="0"/>
                <w:i/>
                <w:sz w:val="20"/>
              </w:rPr>
              <w:t>)</w:t>
            </w:r>
          </w:p>
          <w:p w:rsidR="008415E8" w:rsidP="008415E8">
            <w:pPr>
              <w:pStyle w:val="BodyText2"/>
              <w:jc w:val="center"/>
              <w:rPr>
                <w:rFonts w:ascii="Times New Roman" w:hAnsi="Times New Roman" w:cs="Times New Roman"/>
                <w:b w:val="0"/>
                <w:i/>
                <w:sz w:val="20"/>
              </w:rPr>
            </w:pPr>
          </w:p>
          <w:p w:rsidR="008415E8" w:rsidRPr="00327080" w:rsidP="008415E8">
            <w:pPr>
              <w:pStyle w:val="BodyText2"/>
              <w:rPr>
                <w:rFonts w:ascii="Times New Roman" w:hAnsi="Times New Roman" w:cs="Times New Roman"/>
                <w:b w:val="0"/>
                <w:bCs/>
                <w:i/>
                <w:sz w:val="20"/>
              </w:rPr>
            </w:pPr>
            <w:r w:rsidR="00327080">
              <w:rPr>
                <w:rFonts w:ascii="Times New Roman" w:hAnsi="Times New Roman" w:cs="Times New Roman"/>
                <w:b w:val="0"/>
                <w:bCs/>
                <w:i/>
                <w:iCs/>
                <w:sz w:val="20"/>
              </w:rPr>
              <w:t xml:space="preserve">       </w:t>
            </w:r>
          </w:p>
          <w:p w:rsidR="008415E8" w:rsidRPr="00DE5ABE" w:rsidP="008415E8">
            <w:pPr>
              <w:pStyle w:val="BodyText2"/>
              <w:jc w:val="center"/>
              <w:rPr>
                <w:rFonts w:ascii="Times New Roman" w:hAnsi="Times New Roman" w:cs="Times New Roman"/>
                <w:b w:val="0"/>
                <w:i/>
                <w:sz w:val="20"/>
              </w:rPr>
            </w:pPr>
          </w:p>
          <w:p w:rsidR="008415E8" w:rsidRPr="00DE5ABE" w:rsidP="008415E8">
            <w:pPr>
              <w:pStyle w:val="BodyText2"/>
              <w:rPr>
                <w:rFonts w:ascii="Times New Roman" w:hAnsi="Times New Roman" w:cs="Times New Roman"/>
                <w:b w:val="0"/>
                <w:i/>
                <w:sz w:val="16"/>
              </w:rPr>
            </w:pPr>
          </w:p>
        </w:tc>
      </w:tr>
      <w:tr>
        <w:tblPrEx>
          <w:tblW w:w="0" w:type="auto"/>
          <w:tblInd w:w="70" w:type="dxa"/>
          <w:tblLayout w:type="fixed"/>
          <w:tblCellMar>
            <w:top w:w="0" w:type="dxa"/>
            <w:left w:w="70" w:type="dxa"/>
            <w:bottom w:w="0" w:type="dxa"/>
            <w:right w:w="70" w:type="dxa"/>
          </w:tblCellMar>
        </w:tblPrEx>
        <w:trPr>
          <w:trHeight w:hRule="auto" w:val="0"/>
        </w:trPr>
        <w:tc>
          <w:tcPr>
            <w:tcW w:w="11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jc w:val="center"/>
              <w:rPr>
                <w:rFonts w:ascii="Times New Roman" w:hAnsi="Times New Roman" w:cs="Times New Roman"/>
                <w:sz w:val="20"/>
              </w:rPr>
            </w:pPr>
            <w:r>
              <w:rPr>
                <w:rFonts w:ascii="Times New Roman" w:hAnsi="Times New Roman" w:cs="Times New Roman"/>
                <w:sz w:val="20"/>
              </w:rPr>
              <w:t>1</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jc w:val="center"/>
              <w:rPr>
                <w:rFonts w:ascii="Times New Roman" w:hAnsi="Times New Roman" w:cs="Times New Roman"/>
                <w:sz w:val="20"/>
              </w:rPr>
            </w:pPr>
            <w:r>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jc w:val="center"/>
              <w:rPr>
                <w:rFonts w:ascii="Times New Roman" w:hAnsi="Times New Roman" w:cs="Times New Roman"/>
                <w:sz w:val="20"/>
              </w:rPr>
            </w:pPr>
            <w:r>
              <w:rPr>
                <w:rFonts w:ascii="Times New Roman" w:hAnsi="Times New Roman" w:cs="Times New Roman"/>
                <w:sz w:val="20"/>
              </w:rPr>
              <w:t>3</w:t>
            </w:r>
          </w:p>
        </w:tc>
        <w:tc>
          <w:tcPr>
            <w:tcW w:w="10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jc w:val="center"/>
              <w:rPr>
                <w:rFonts w:ascii="Times New Roman" w:hAnsi="Times New Roman" w:cs="Times New Roman"/>
                <w:sz w:val="20"/>
              </w:rPr>
            </w:pPr>
            <w:r>
              <w:rPr>
                <w:rFonts w:ascii="Times New Roman" w:hAnsi="Times New Roman" w:cs="Times New Roman"/>
                <w:sz w:val="20"/>
              </w:rPr>
              <w:t>4</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jc w:val="center"/>
              <w:rPr>
                <w:rFonts w:ascii="Times New Roman" w:hAnsi="Times New Roman" w:cs="Times New Roman"/>
                <w:sz w:val="20"/>
              </w:rPr>
            </w:pPr>
            <w:r>
              <w:rPr>
                <w:rFonts w:ascii="Times New Roman" w:hAnsi="Times New Roman" w:cs="Times New Roman"/>
                <w:sz w:val="20"/>
              </w:rPr>
              <w:t>5</w:t>
            </w:r>
          </w:p>
        </w:tc>
        <w:tc>
          <w:tcPr>
            <w:tcW w:w="43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jc w:val="center"/>
              <w:rPr>
                <w:rFonts w:ascii="Times New Roman" w:hAnsi="Times New Roman" w:cs="Times New Roman"/>
                <w:sz w:val="20"/>
              </w:rPr>
            </w:pPr>
            <w:r>
              <w:rPr>
                <w:rFonts w:ascii="Times New Roman" w:hAnsi="Times New Roman" w:cs="Times New Roman"/>
                <w:sz w:val="20"/>
              </w:rPr>
              <w:t>6</w:t>
            </w:r>
          </w:p>
        </w:tc>
        <w:tc>
          <w:tcPr>
            <w:tcW w:w="58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jc w:val="center"/>
              <w:rPr>
                <w:rFonts w:ascii="Times New Roman" w:hAnsi="Times New Roman" w:cs="Times New Roman"/>
                <w:sz w:val="20"/>
              </w:rPr>
            </w:pPr>
            <w:r>
              <w:rPr>
                <w:rFonts w:ascii="Times New Roman" w:hAnsi="Times New Roman" w:cs="Times New Roman"/>
                <w:sz w:val="20"/>
              </w:rPr>
              <w:t>7</w:t>
            </w: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jc w:val="center"/>
              <w:rPr>
                <w:rFonts w:ascii="Times New Roman" w:hAnsi="Times New Roman" w:cs="Times New Roman"/>
                <w:sz w:val="20"/>
              </w:rPr>
            </w:pPr>
            <w:r>
              <w:rPr>
                <w:rFonts w:ascii="Times New Roman" w:hAnsi="Times New Roman" w:cs="Times New Roman"/>
                <w:sz w:val="20"/>
              </w:rPr>
              <w:t>8</w:t>
            </w: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jc w:val="center"/>
              <w:rPr>
                <w:rFonts w:ascii="Times New Roman" w:hAnsi="Times New Roman" w:cs="Times New Roman"/>
                <w:sz w:val="20"/>
              </w:rPr>
            </w:pPr>
            <w:r>
              <w:rPr>
                <w:rFonts w:ascii="Times New Roman" w:hAnsi="Times New Roman" w:cs="Times New Roman"/>
                <w:sz w:val="20"/>
              </w:rPr>
              <w:t>9</w:t>
            </w:r>
          </w:p>
        </w:tc>
      </w:tr>
      <w:tr>
        <w:tblPrEx>
          <w:tblW w:w="0" w:type="auto"/>
          <w:tblInd w:w="70" w:type="dxa"/>
          <w:tblLayout w:type="fixed"/>
          <w:tblCellMar>
            <w:top w:w="0" w:type="dxa"/>
            <w:left w:w="70" w:type="dxa"/>
            <w:bottom w:w="0" w:type="dxa"/>
            <w:right w:w="70" w:type="dxa"/>
          </w:tblCellMar>
        </w:tblPrEx>
        <w:trPr>
          <w:trHeight w:hRule="auto" w:val="0"/>
        </w:trPr>
        <w:tc>
          <w:tcPr>
            <w:tcW w:w="11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rPr>
                <w:rFonts w:ascii="Times New Roman" w:hAnsi="Times New Roman" w:cs="Times New Roman"/>
                <w:b/>
                <w:i/>
                <w:sz w:val="20"/>
              </w:rPr>
            </w:pPr>
            <w:r>
              <w:rPr>
                <w:rFonts w:ascii="Times New Roman" w:hAnsi="Times New Roman" w:cs="Times New Roman"/>
                <w:b/>
                <w:i/>
                <w:sz w:val="20"/>
              </w:rPr>
              <w:t>Č:1</w:t>
            </w:r>
          </w:p>
          <w:p w:rsidR="008415E8" w:rsidP="008415E8">
            <w:pPr>
              <w:rPr>
                <w:rFonts w:ascii="Times New Roman" w:hAnsi="Times New Roman" w:cs="Times New Roman"/>
                <w:b/>
                <w:i/>
                <w:sz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2DCB" w:rsidP="009E2DCB">
            <w:pPr>
              <w:spacing w:before="75" w:after="75"/>
              <w:ind w:right="225"/>
              <w:jc w:val="both"/>
              <w:rPr>
                <w:rFonts w:ascii="Tahoma" w:hAnsi="Tahoma" w:cs="Tahoma"/>
                <w:sz w:val="20"/>
                <w:szCs w:val="20"/>
              </w:rPr>
            </w:pPr>
            <w:r w:rsidRPr="009E2DCB">
              <w:rPr>
                <w:rFonts w:ascii="Times New Roman" w:hAnsi="Times New Roman" w:cs="Times New Roman"/>
                <w:sz w:val="20"/>
                <w:szCs w:val="20"/>
              </w:rPr>
              <w:t>Táto smernica sa vzťahuje na deti, pre ktoré je školská dochádzka povinná podľa právnych predpisov hostiteľského štátu, sú rodinnými príslušníkmi ktoréhokoľvek pracovníka, ktorý je štátnym príslušníkom iného členského štátu, kde majú tieto deti pobyt a v ktorom tento štátny príslušník vykonáva alebo vykonával činnosť ako zamestnanec</w:t>
            </w:r>
            <w:r>
              <w:rPr>
                <w:rFonts w:ascii="Tahoma" w:hAnsi="Tahoma" w:cs="Tahoma"/>
                <w:sz w:val="20"/>
                <w:szCs w:val="20"/>
              </w:rPr>
              <w:t>.</w:t>
            </w:r>
          </w:p>
          <w:p w:rsidR="009E2DCB" w:rsidP="008415E8">
            <w:pPr>
              <w:pStyle w:val="BodyText"/>
              <w:tabs>
                <w:tab w:val="left" w:pos="356"/>
              </w:tabs>
              <w:jc w:val="both"/>
              <w:rPr>
                <w:rFonts w:ascii="Times New Roman" w:hAnsi="Times New Roman" w:cs="Times New Roman"/>
              </w:rPr>
            </w:pPr>
          </w:p>
          <w:p w:rsidR="008415E8" w:rsidRPr="005A07D6" w:rsidP="008415E8">
            <w:pPr>
              <w:pStyle w:val="BodyText"/>
              <w:tabs>
                <w:tab w:val="left" w:pos="356"/>
              </w:tabs>
              <w:jc w:val="both"/>
              <w:rPr>
                <w:rFonts w:ascii="Times New Roman" w:hAnsi="Times New Roman" w:cs="Times New Roman"/>
                <w:i/>
              </w:rPr>
            </w:pPr>
          </w:p>
          <w:p w:rsidR="008415E8" w:rsidRPr="005A07D6" w:rsidP="008415E8">
            <w:pPr>
              <w:pStyle w:val="BodyText"/>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pStyle w:val="Heading4"/>
              <w:rPr>
                <w:rFonts w:ascii="Times New Roman" w:hAnsi="Times New Roman" w:cs="Times New Roman"/>
                <w:b w:val="0"/>
                <w:sz w:val="20"/>
              </w:rPr>
            </w:pPr>
            <w:r>
              <w:rPr>
                <w:rFonts w:ascii="Times New Roman" w:hAnsi="Times New Roman" w:cs="Times New Roman"/>
                <w:b w:val="0"/>
                <w:sz w:val="20"/>
              </w:rPr>
              <w:t>N</w:t>
            </w:r>
          </w:p>
        </w:tc>
        <w:tc>
          <w:tcPr>
            <w:tcW w:w="10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rPr>
                <w:rFonts w:ascii="Times New Roman" w:hAnsi="Times New Roman" w:cs="Times New Roman"/>
                <w:sz w:val="20"/>
              </w:rPr>
            </w:pPr>
            <w:r w:rsidR="00E076C3">
              <w:rPr>
                <w:rFonts w:ascii="Times New Roman" w:hAnsi="Times New Roman" w:cs="Times New Roman"/>
                <w:sz w:val="20"/>
              </w:rPr>
              <w:t>Návrh</w:t>
            </w:r>
            <w:r w:rsidR="00327080">
              <w:rPr>
                <w:rFonts w:ascii="Times New Roman" w:hAnsi="Times New Roman" w:cs="Times New Roman"/>
                <w:sz w:val="20"/>
              </w:rPr>
              <w:t xml:space="preserve"> </w:t>
            </w: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pStyle w:val="Heading3"/>
              <w:rPr>
                <w:rFonts w:ascii="Times New Roman" w:hAnsi="Times New Roman" w:cs="Times New Roman"/>
                <w:b w:val="0"/>
                <w:sz w:val="20"/>
              </w:rPr>
            </w:pPr>
            <w:r>
              <w:rPr>
                <w:rFonts w:ascii="Times New Roman" w:hAnsi="Times New Roman" w:cs="Times New Roman"/>
                <w:b w:val="0"/>
                <w:sz w:val="20"/>
              </w:rPr>
              <w:t>§ 1</w:t>
            </w:r>
            <w:r w:rsidR="00CD5FF3">
              <w:rPr>
                <w:rFonts w:ascii="Times New Roman" w:hAnsi="Times New Roman" w:cs="Times New Roman"/>
                <w:b w:val="0"/>
                <w:sz w:val="20"/>
              </w:rPr>
              <w:t>4</w:t>
            </w:r>
            <w:r w:rsidR="00F12382">
              <w:rPr>
                <w:rFonts w:ascii="Times New Roman" w:hAnsi="Times New Roman" w:cs="Times New Roman"/>
                <w:b w:val="0"/>
                <w:sz w:val="20"/>
              </w:rPr>
              <w:t>6</w:t>
            </w:r>
          </w:p>
          <w:p w:rsidR="008415E8" w:rsidP="008415E8">
            <w:pPr>
              <w:rPr>
                <w:rFonts w:ascii="Times New Roman" w:hAnsi="Times New Roman" w:cs="Times New Roman"/>
                <w:sz w:val="20"/>
                <w:szCs w:val="20"/>
                <w:lang w:val="cs-CZ" w:eastAsia="cs-CZ"/>
              </w:rPr>
            </w:pPr>
            <w:r w:rsidR="00E076C3">
              <w:rPr>
                <w:rFonts w:ascii="Times New Roman" w:hAnsi="Times New Roman" w:cs="Times New Roman"/>
                <w:sz w:val="20"/>
                <w:szCs w:val="20"/>
                <w:lang w:val="cs-CZ" w:eastAsia="cs-CZ"/>
              </w:rPr>
              <w:t>O: 2</w:t>
            </w:r>
          </w:p>
          <w:p w:rsidR="008415E8" w:rsidP="008415E8">
            <w:pPr>
              <w:rPr>
                <w:rFonts w:ascii="Times New Roman" w:hAnsi="Times New Roman" w:cs="Times New Roman"/>
                <w:sz w:val="20"/>
                <w:szCs w:val="20"/>
                <w:lang w:val="cs-CZ" w:eastAsia="cs-CZ"/>
              </w:rPr>
            </w:pPr>
          </w:p>
          <w:p w:rsidR="008415E8" w:rsidP="008415E8">
            <w:pPr>
              <w:rPr>
                <w:rFonts w:ascii="Times New Roman" w:hAnsi="Times New Roman" w:cs="Times New Roman"/>
                <w:sz w:val="20"/>
                <w:szCs w:val="20"/>
                <w:lang w:val="cs-CZ" w:eastAsia="cs-CZ"/>
              </w:rPr>
            </w:pPr>
          </w:p>
          <w:p w:rsidR="008415E8" w:rsidP="008415E8">
            <w:pPr>
              <w:rPr>
                <w:rFonts w:ascii="Times New Roman" w:hAnsi="Times New Roman" w:cs="Times New Roman"/>
                <w:sz w:val="20"/>
                <w:szCs w:val="20"/>
                <w:lang w:val="cs-CZ" w:eastAsia="cs-CZ"/>
              </w:rPr>
            </w:pPr>
          </w:p>
          <w:p w:rsidR="008415E8" w:rsidP="008415E8">
            <w:pPr>
              <w:rPr>
                <w:rFonts w:ascii="Times New Roman" w:hAnsi="Times New Roman" w:cs="Times New Roman"/>
                <w:sz w:val="20"/>
                <w:szCs w:val="20"/>
                <w:lang w:val="cs-CZ" w:eastAsia="cs-CZ"/>
              </w:rPr>
            </w:pPr>
          </w:p>
          <w:p w:rsidR="008415E8" w:rsidP="008415E8">
            <w:pPr>
              <w:rPr>
                <w:rFonts w:ascii="Times New Roman" w:hAnsi="Times New Roman" w:cs="Times New Roman"/>
                <w:sz w:val="20"/>
                <w:szCs w:val="20"/>
                <w:lang w:val="cs-CZ" w:eastAsia="cs-CZ"/>
              </w:rPr>
            </w:pPr>
          </w:p>
          <w:p w:rsidR="008415E8" w:rsidP="008415E8">
            <w:pPr>
              <w:rPr>
                <w:rFonts w:ascii="Times New Roman" w:hAnsi="Times New Roman" w:cs="Times New Roman"/>
                <w:sz w:val="20"/>
                <w:szCs w:val="20"/>
                <w:lang w:val="cs-CZ" w:eastAsia="cs-CZ"/>
              </w:rPr>
            </w:pPr>
          </w:p>
          <w:p w:rsidR="008415E8" w:rsidP="008415E8">
            <w:pPr>
              <w:rPr>
                <w:rFonts w:ascii="Times New Roman" w:hAnsi="Times New Roman" w:cs="Times New Roman"/>
                <w:sz w:val="20"/>
                <w:szCs w:val="20"/>
                <w:lang w:val="cs-CZ" w:eastAsia="cs-CZ"/>
              </w:rPr>
            </w:pPr>
          </w:p>
          <w:p w:rsidR="008415E8" w:rsidP="008415E8">
            <w:pPr>
              <w:rPr>
                <w:rFonts w:ascii="Times New Roman" w:hAnsi="Times New Roman" w:cs="Times New Roman"/>
                <w:sz w:val="20"/>
                <w:szCs w:val="20"/>
                <w:lang w:val="cs-CZ" w:eastAsia="cs-CZ"/>
              </w:rPr>
            </w:pPr>
          </w:p>
          <w:p w:rsidR="008415E8" w:rsidP="008415E8">
            <w:pPr>
              <w:rPr>
                <w:rFonts w:ascii="Times New Roman" w:hAnsi="Times New Roman" w:cs="Times New Roman"/>
                <w:sz w:val="20"/>
                <w:szCs w:val="20"/>
                <w:lang w:val="cs-CZ" w:eastAsia="cs-CZ"/>
              </w:rPr>
            </w:pPr>
          </w:p>
          <w:p w:rsidR="008415E8" w:rsidP="008415E8">
            <w:pPr>
              <w:rPr>
                <w:rFonts w:ascii="Times New Roman" w:hAnsi="Times New Roman" w:cs="Times New Roman"/>
                <w:sz w:val="20"/>
                <w:szCs w:val="20"/>
                <w:lang w:val="cs-CZ" w:eastAsia="cs-CZ"/>
              </w:rPr>
            </w:pPr>
          </w:p>
          <w:p w:rsidR="008415E8" w:rsidP="008415E8">
            <w:pPr>
              <w:rPr>
                <w:rFonts w:ascii="Times New Roman" w:hAnsi="Times New Roman" w:cs="Times New Roman"/>
                <w:sz w:val="20"/>
                <w:szCs w:val="20"/>
                <w:lang w:val="cs-CZ" w:eastAsia="cs-CZ"/>
              </w:rPr>
            </w:pPr>
          </w:p>
          <w:p w:rsidR="008415E8" w:rsidP="008415E8">
            <w:pPr>
              <w:rPr>
                <w:rFonts w:ascii="Times New Roman" w:hAnsi="Times New Roman" w:cs="Times New Roman"/>
                <w:sz w:val="20"/>
                <w:szCs w:val="20"/>
                <w:lang w:val="cs-CZ" w:eastAsia="cs-CZ"/>
              </w:rPr>
            </w:pPr>
          </w:p>
          <w:p w:rsidR="008415E8" w:rsidP="008415E8">
            <w:pPr>
              <w:rPr>
                <w:rFonts w:ascii="Times New Roman" w:hAnsi="Times New Roman" w:cs="Times New Roman"/>
                <w:sz w:val="20"/>
                <w:szCs w:val="20"/>
                <w:lang w:val="cs-CZ" w:eastAsia="cs-CZ"/>
              </w:rPr>
            </w:pPr>
          </w:p>
          <w:p w:rsidR="008415E8" w:rsidP="008415E8">
            <w:pPr>
              <w:rPr>
                <w:rFonts w:ascii="Times New Roman" w:hAnsi="Times New Roman" w:cs="Times New Roman"/>
                <w:sz w:val="20"/>
                <w:szCs w:val="20"/>
                <w:lang w:val="cs-CZ" w:eastAsia="cs-CZ"/>
              </w:rPr>
            </w:pPr>
          </w:p>
          <w:p w:rsidR="008415E8" w:rsidRPr="00A56FDA" w:rsidP="008415E8">
            <w:pPr>
              <w:rPr>
                <w:rFonts w:ascii="Times New Roman" w:hAnsi="Times New Roman" w:cs="Times New Roman"/>
                <w:sz w:val="20"/>
                <w:szCs w:val="20"/>
                <w:lang w:val="cs-CZ" w:eastAsia="cs-CZ"/>
              </w:rPr>
            </w:pPr>
          </w:p>
        </w:tc>
        <w:tc>
          <w:tcPr>
            <w:tcW w:w="43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076C3" w:rsidRPr="00E076C3" w:rsidP="00E076C3">
            <w:pPr>
              <w:pStyle w:val="BodyTextFirstIndent"/>
              <w:tabs>
                <w:tab w:val="left" w:pos="0"/>
              </w:tabs>
              <w:spacing w:after="0"/>
              <w:ind w:firstLine="0"/>
              <w:jc w:val="both"/>
              <w:rPr>
                <w:rFonts w:ascii="Times New Roman" w:hAnsi="Times New Roman" w:cs="Times New Roman"/>
                <w:sz w:val="20"/>
                <w:szCs w:val="20"/>
              </w:rPr>
            </w:pPr>
            <w:r w:rsidRPr="00E076C3">
              <w:rPr>
                <w:rFonts w:ascii="Times New Roman" w:hAnsi="Times New Roman" w:cs="Times New Roman"/>
                <w:sz w:val="20"/>
                <w:szCs w:val="20"/>
              </w:rPr>
              <w:t>Deťom cudzincov s povoleným pobytom na území Slovenskej republiky a deťom žiadateľov o udelenie azylu</w:t>
            </w:r>
            <w:r>
              <w:rPr>
                <w:rStyle w:val="FootnoteReference"/>
                <w:rFonts w:ascii="Times New Roman" w:hAnsi="Times New Roman" w:cs="Times New Roman"/>
                <w:szCs w:val="20"/>
                <w:rtl w:val="0"/>
              </w:rPr>
              <w:footnoteReference w:id="2"/>
            </w:r>
            <w:r w:rsidRPr="00E076C3">
              <w:rPr>
                <w:rFonts w:ascii="Times New Roman" w:hAnsi="Times New Roman" w:cs="Times New Roman"/>
                <w:sz w:val="20"/>
                <w:szCs w:val="20"/>
              </w:rPr>
              <w:t>) a zahraničných Slovákov sa poskytuje výchova a vzdelávanie, ubytovanie a stravovanie v školách podľa tohto zákona za tých istých podmienok ako občanom Slovenskej republiky.</w:t>
            </w:r>
          </w:p>
          <w:p w:rsidR="00E076C3" w:rsidP="008415E8">
            <w:pPr>
              <w:jc w:val="both"/>
              <w:rPr>
                <w:rFonts w:ascii="Times New Roman" w:hAnsi="Times New Roman" w:cs="Times New Roman"/>
                <w:color w:val="000000"/>
                <w:sz w:val="20"/>
                <w:szCs w:val="20"/>
              </w:rPr>
            </w:pPr>
          </w:p>
          <w:p w:rsidR="008415E8" w:rsidP="008415E8">
            <w:pPr>
              <w:jc w:val="both"/>
              <w:rPr>
                <w:rFonts w:ascii="Times New Roman" w:hAnsi="Times New Roman" w:cs="Times New Roman"/>
                <w:color w:val="000000"/>
                <w:sz w:val="20"/>
                <w:szCs w:val="20"/>
              </w:rPr>
            </w:pPr>
          </w:p>
          <w:p w:rsidR="008415E8" w:rsidP="008415E8">
            <w:pPr>
              <w:jc w:val="both"/>
              <w:rPr>
                <w:rFonts w:ascii="Times New Roman" w:hAnsi="Times New Roman" w:cs="Times New Roman"/>
                <w:color w:val="000000"/>
                <w:sz w:val="20"/>
                <w:szCs w:val="20"/>
              </w:rPr>
            </w:pPr>
          </w:p>
          <w:p w:rsidR="008415E8" w:rsidRPr="00A56FDA" w:rsidP="00E076C3">
            <w:pPr>
              <w:jc w:val="both"/>
              <w:rPr>
                <w:rFonts w:ascii="Times New Roman" w:hAnsi="Times New Roman" w:cs="Times New Roman"/>
                <w:sz w:val="20"/>
              </w:rPr>
            </w:pPr>
          </w:p>
        </w:tc>
        <w:tc>
          <w:tcPr>
            <w:tcW w:w="58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jc w:val="center"/>
              <w:rPr>
                <w:rFonts w:ascii="Times New Roman" w:hAnsi="Times New Roman" w:cs="Times New Roman"/>
                <w:sz w:val="20"/>
              </w:rPr>
            </w:pPr>
            <w:r>
              <w:rPr>
                <w:rFonts w:ascii="Times New Roman" w:hAnsi="Times New Roman" w:cs="Times New Roman"/>
                <w:sz w:val="20"/>
              </w:rPr>
              <w:t>Ú</w:t>
            </w: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rPr>
                <w:rFonts w:ascii="Times New Roman" w:hAnsi="Times New Roman" w:cs="Times New Roman"/>
                <w:sz w:val="20"/>
              </w:rPr>
            </w:pPr>
          </w:p>
        </w:tc>
      </w:tr>
      <w:tr>
        <w:tblPrEx>
          <w:tblW w:w="0" w:type="auto"/>
          <w:tblInd w:w="70" w:type="dxa"/>
          <w:tblLayout w:type="fixed"/>
          <w:tblCellMar>
            <w:top w:w="0" w:type="dxa"/>
            <w:left w:w="70" w:type="dxa"/>
            <w:bottom w:w="0" w:type="dxa"/>
            <w:right w:w="70" w:type="dxa"/>
          </w:tblCellMar>
        </w:tblPrEx>
        <w:trPr>
          <w:trHeight w:val="3938"/>
        </w:trPr>
        <w:tc>
          <w:tcPr>
            <w:tcW w:w="11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rPr>
                <w:rFonts w:ascii="Times New Roman" w:hAnsi="Times New Roman" w:cs="Times New Roman"/>
                <w:b/>
                <w:i/>
                <w:sz w:val="20"/>
              </w:rPr>
            </w:pPr>
            <w:r>
              <w:rPr>
                <w:rFonts w:ascii="Times New Roman" w:hAnsi="Times New Roman" w:cs="Times New Roman"/>
                <w:b/>
                <w:i/>
                <w:sz w:val="20"/>
              </w:rPr>
              <w:t>Č: 2</w:t>
            </w:r>
          </w:p>
          <w:p w:rsidR="008415E8" w:rsidP="008415E8">
            <w:pPr>
              <w:rPr>
                <w:rFonts w:ascii="Times New Roman" w:hAnsi="Times New Roman" w:cs="Times New Roman"/>
                <w:b/>
                <w:i/>
                <w:sz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2DCB" w:rsidRPr="009E2DCB" w:rsidP="009E2DCB">
            <w:pPr>
              <w:spacing w:before="75" w:after="75"/>
              <w:ind w:right="225"/>
              <w:jc w:val="both"/>
              <w:rPr>
                <w:rFonts w:ascii="Times New Roman" w:hAnsi="Times New Roman" w:cs="Times New Roman"/>
                <w:sz w:val="20"/>
                <w:szCs w:val="20"/>
              </w:rPr>
            </w:pPr>
            <w:r w:rsidRPr="009E2DCB">
              <w:rPr>
                <w:rFonts w:ascii="Times New Roman" w:hAnsi="Times New Roman" w:cs="Times New Roman"/>
                <w:sz w:val="20"/>
                <w:szCs w:val="20"/>
              </w:rPr>
              <w:t>Členské štáty podniknú, v súlade s ich štátnymi pomermi a právnymi systémami, vhodné opatrenia na zabezpečenie toho, aby na svojom území ponúkli bezplatnú výučbu na uľahčenie počiatočného prijatia detí, uvedených v článku 1, najmä vrátane vyučovania — prispôsobeného špecifickým potrebám týchto detí — úradného jazyka alebo jedného z úradných jazykov hostiteľského štátu.</w:t>
            </w:r>
          </w:p>
          <w:p w:rsidR="009E2DCB" w:rsidP="009E2DCB">
            <w:pPr>
              <w:spacing w:before="75" w:after="75"/>
              <w:ind w:right="225"/>
              <w:jc w:val="both"/>
              <w:rPr>
                <w:rFonts w:ascii="Tahoma" w:hAnsi="Tahoma" w:cs="Tahoma"/>
                <w:sz w:val="20"/>
                <w:szCs w:val="20"/>
              </w:rPr>
            </w:pPr>
            <w:r w:rsidRPr="009E2DCB">
              <w:rPr>
                <w:rFonts w:ascii="Times New Roman" w:hAnsi="Times New Roman" w:cs="Times New Roman"/>
                <w:sz w:val="20"/>
                <w:szCs w:val="20"/>
              </w:rPr>
              <w:t>Členské štáty podniknú nevyhnutné opatrenia na prípravu a ďalšie vzdelávanie učiteľov, ktorí zabezpečujú túto výučbu</w:t>
            </w:r>
            <w:r>
              <w:rPr>
                <w:rFonts w:ascii="Tahoma" w:hAnsi="Tahoma" w:cs="Tahoma"/>
                <w:sz w:val="20"/>
                <w:szCs w:val="20"/>
              </w:rPr>
              <w:t>.</w:t>
            </w:r>
          </w:p>
          <w:p w:rsidR="008415E8" w:rsidRPr="00A56FDA" w:rsidP="008415E8">
            <w:pPr>
              <w:tabs>
                <w:tab w:val="left" w:pos="214"/>
                <w:tab w:val="left" w:pos="356"/>
              </w:tabs>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pStyle w:val="Heading1"/>
              <w:rPr>
                <w:rFonts w:ascii="Times New Roman" w:hAnsi="Times New Roman" w:cs="Times New Roman"/>
                <w:bCs w:val="0"/>
                <w:i w:val="0"/>
              </w:rPr>
            </w:pPr>
            <w:r w:rsidRPr="00304D6B">
              <w:rPr>
                <w:rFonts w:ascii="Times New Roman" w:hAnsi="Times New Roman" w:cs="Times New Roman"/>
                <w:bCs w:val="0"/>
                <w:i w:val="0"/>
              </w:rPr>
              <w:t>N</w:t>
            </w:r>
          </w:p>
          <w:p w:rsidR="00327080" w:rsidP="00327080">
            <w:pPr>
              <w:rPr>
                <w:rFonts w:ascii="Times New Roman" w:hAnsi="Times New Roman" w:cs="Times New Roman"/>
              </w:rPr>
            </w:pPr>
          </w:p>
          <w:p w:rsidR="00327080" w:rsidP="00327080">
            <w:pPr>
              <w:rPr>
                <w:rFonts w:ascii="Times New Roman" w:hAnsi="Times New Roman" w:cs="Times New Roman"/>
              </w:rPr>
            </w:pPr>
          </w:p>
          <w:p w:rsidR="00327080" w:rsidP="00327080">
            <w:pPr>
              <w:rPr>
                <w:rFonts w:ascii="Times New Roman" w:hAnsi="Times New Roman" w:cs="Times New Roman"/>
              </w:rPr>
            </w:pPr>
          </w:p>
          <w:p w:rsidR="00327080" w:rsidP="00327080">
            <w:pPr>
              <w:rPr>
                <w:rFonts w:ascii="Times New Roman" w:hAnsi="Times New Roman" w:cs="Times New Roman"/>
              </w:rPr>
            </w:pPr>
          </w:p>
          <w:p w:rsidR="00327080" w:rsidP="00327080">
            <w:pPr>
              <w:rPr>
                <w:rFonts w:ascii="Times New Roman" w:hAnsi="Times New Roman" w:cs="Times New Roman"/>
              </w:rPr>
            </w:pPr>
          </w:p>
          <w:p w:rsidR="00327080" w:rsidP="00327080">
            <w:pPr>
              <w:rPr>
                <w:rFonts w:ascii="Times New Roman" w:hAnsi="Times New Roman" w:cs="Times New Roman"/>
              </w:rPr>
            </w:pPr>
          </w:p>
          <w:p w:rsidR="00327080" w:rsidP="00327080">
            <w:pPr>
              <w:rPr>
                <w:rFonts w:ascii="Times New Roman" w:hAnsi="Times New Roman" w:cs="Times New Roman"/>
              </w:rPr>
            </w:pPr>
          </w:p>
          <w:p w:rsidR="00327080" w:rsidP="00327080">
            <w:pPr>
              <w:rPr>
                <w:rFonts w:ascii="Times New Roman" w:hAnsi="Times New Roman" w:cs="Times New Roman"/>
              </w:rPr>
            </w:pPr>
          </w:p>
          <w:p w:rsidR="00327080" w:rsidRPr="00327080" w:rsidP="00327080">
            <w:pPr>
              <w:rPr>
                <w:rFonts w:ascii="Times New Roman" w:hAnsi="Times New Roman" w:cs="Times New Roman"/>
              </w:rPr>
            </w:pPr>
            <w:r>
              <w:rPr>
                <w:rFonts w:ascii="Times New Roman" w:hAnsi="Times New Roman" w:cs="Times New Roman"/>
              </w:rPr>
              <w:t>N</w:t>
            </w:r>
          </w:p>
          <w:p w:rsidR="006D5F95" w:rsidP="006D5F95">
            <w:pPr>
              <w:rPr>
                <w:rFonts w:ascii="Times New Roman" w:hAnsi="Times New Roman" w:cs="Times New Roman"/>
              </w:rPr>
            </w:pPr>
          </w:p>
          <w:p w:rsidR="006D5F95" w:rsidP="006D5F95">
            <w:pPr>
              <w:rPr>
                <w:rFonts w:ascii="Times New Roman" w:hAnsi="Times New Roman" w:cs="Times New Roman"/>
              </w:rPr>
            </w:pPr>
          </w:p>
          <w:p w:rsidR="006D5F95" w:rsidP="006D5F95">
            <w:pPr>
              <w:rPr>
                <w:rFonts w:ascii="Times New Roman" w:hAnsi="Times New Roman" w:cs="Times New Roman"/>
              </w:rPr>
            </w:pPr>
          </w:p>
          <w:p w:rsidR="006D5F95" w:rsidP="006D5F95">
            <w:pPr>
              <w:rPr>
                <w:rFonts w:ascii="Times New Roman" w:hAnsi="Times New Roman" w:cs="Times New Roman"/>
              </w:rPr>
            </w:pPr>
          </w:p>
          <w:p w:rsidR="006D5F95" w:rsidP="006D5F95">
            <w:pPr>
              <w:rPr>
                <w:rFonts w:ascii="Times New Roman" w:hAnsi="Times New Roman" w:cs="Times New Roman"/>
              </w:rPr>
            </w:pPr>
          </w:p>
          <w:p w:rsidR="006D5F95" w:rsidRPr="006D5F95" w:rsidP="006D5F95">
            <w:pPr>
              <w:rPr>
                <w:rFonts w:ascii="Times New Roman" w:hAnsi="Times New Roman" w:cs="Times New Roman"/>
              </w:rPr>
            </w:pPr>
          </w:p>
        </w:tc>
        <w:tc>
          <w:tcPr>
            <w:tcW w:w="10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rPr>
                <w:rFonts w:ascii="Times New Roman" w:hAnsi="Times New Roman" w:cs="Times New Roman"/>
                <w:sz w:val="20"/>
              </w:rPr>
            </w:pPr>
            <w:r w:rsidR="00E076C3">
              <w:rPr>
                <w:rFonts w:ascii="Times New Roman" w:hAnsi="Times New Roman" w:cs="Times New Roman"/>
                <w:sz w:val="20"/>
              </w:rPr>
              <w:t>Návrh</w:t>
            </w:r>
            <w:r w:rsidR="00327080">
              <w:rPr>
                <w:rFonts w:ascii="Times New Roman" w:hAnsi="Times New Roman" w:cs="Times New Roman"/>
                <w:sz w:val="20"/>
              </w:rPr>
              <w:t xml:space="preserve"> </w:t>
            </w:r>
          </w:p>
          <w:p w:rsidR="00FD33BE" w:rsidP="008415E8">
            <w:pPr>
              <w:rPr>
                <w:rFonts w:ascii="Times New Roman" w:hAnsi="Times New Roman" w:cs="Times New Roman"/>
                <w:sz w:val="20"/>
              </w:rPr>
            </w:pPr>
          </w:p>
          <w:p w:rsidR="00FD33BE" w:rsidP="008415E8">
            <w:pPr>
              <w:rPr>
                <w:rFonts w:ascii="Times New Roman" w:hAnsi="Times New Roman" w:cs="Times New Roman"/>
                <w:sz w:val="20"/>
              </w:rPr>
            </w:pPr>
          </w:p>
          <w:p w:rsidR="00FD33BE" w:rsidP="008415E8">
            <w:pPr>
              <w:rPr>
                <w:rFonts w:ascii="Times New Roman" w:hAnsi="Times New Roman" w:cs="Times New Roman"/>
                <w:sz w:val="20"/>
              </w:rPr>
            </w:pPr>
          </w:p>
          <w:p w:rsidR="00FD33BE" w:rsidP="008415E8">
            <w:pPr>
              <w:rPr>
                <w:rFonts w:ascii="Times New Roman" w:hAnsi="Times New Roman" w:cs="Times New Roman"/>
                <w:sz w:val="20"/>
              </w:rPr>
            </w:pPr>
          </w:p>
          <w:p w:rsidR="00FD33BE" w:rsidP="008415E8">
            <w:pPr>
              <w:rPr>
                <w:rFonts w:ascii="Times New Roman" w:hAnsi="Times New Roman" w:cs="Times New Roman"/>
                <w:sz w:val="20"/>
              </w:rPr>
            </w:pPr>
          </w:p>
          <w:p w:rsidR="00FD33BE" w:rsidP="008415E8">
            <w:pPr>
              <w:rPr>
                <w:rFonts w:ascii="Times New Roman" w:hAnsi="Times New Roman" w:cs="Times New Roman"/>
                <w:sz w:val="20"/>
              </w:rPr>
            </w:pPr>
          </w:p>
          <w:p w:rsidR="00FD33BE" w:rsidP="008415E8">
            <w:pPr>
              <w:rPr>
                <w:rFonts w:ascii="Times New Roman" w:hAnsi="Times New Roman" w:cs="Times New Roman"/>
                <w:sz w:val="20"/>
              </w:rPr>
            </w:pPr>
          </w:p>
          <w:p w:rsidR="00FD33BE" w:rsidP="008415E8">
            <w:pPr>
              <w:rPr>
                <w:rFonts w:ascii="Times New Roman" w:hAnsi="Times New Roman" w:cs="Times New Roman"/>
                <w:sz w:val="20"/>
              </w:rPr>
            </w:pPr>
          </w:p>
          <w:p w:rsidR="00FD33BE" w:rsidP="008415E8">
            <w:pPr>
              <w:rPr>
                <w:rFonts w:ascii="Times New Roman" w:hAnsi="Times New Roman" w:cs="Times New Roman"/>
                <w:sz w:val="20"/>
              </w:rPr>
            </w:pPr>
          </w:p>
          <w:p w:rsidR="00FD33BE" w:rsidP="008415E8">
            <w:pPr>
              <w:rPr>
                <w:rFonts w:ascii="Times New Roman" w:hAnsi="Times New Roman" w:cs="Times New Roman"/>
                <w:sz w:val="20"/>
              </w:rPr>
            </w:pPr>
          </w:p>
          <w:p w:rsidR="00FD33BE" w:rsidP="008415E8">
            <w:pPr>
              <w:rPr>
                <w:rFonts w:ascii="Times New Roman" w:hAnsi="Times New Roman" w:cs="Times New Roman"/>
                <w:sz w:val="20"/>
              </w:rPr>
            </w:pPr>
            <w:r>
              <w:rPr>
                <w:rFonts w:ascii="Times New Roman" w:hAnsi="Times New Roman" w:cs="Times New Roman"/>
                <w:sz w:val="20"/>
              </w:rPr>
              <w:t xml:space="preserve">Návrh </w:t>
            </w:r>
          </w:p>
          <w:p w:rsidR="00FD33BE"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rPr>
                <w:rFonts w:ascii="Times New Roman" w:hAnsi="Times New Roman" w:cs="Times New Roman"/>
                <w:sz w:val="20"/>
              </w:rPr>
            </w:pPr>
            <w:r>
              <w:rPr>
                <w:rFonts w:ascii="Times New Roman" w:hAnsi="Times New Roman" w:cs="Times New Roman"/>
                <w:sz w:val="20"/>
              </w:rPr>
              <w:t xml:space="preserve">§ </w:t>
            </w:r>
            <w:r w:rsidR="00CD5FF3">
              <w:rPr>
                <w:rFonts w:ascii="Times New Roman" w:hAnsi="Times New Roman" w:cs="Times New Roman"/>
                <w:sz w:val="20"/>
              </w:rPr>
              <w:t>14</w:t>
            </w:r>
            <w:r w:rsidR="00F12382">
              <w:rPr>
                <w:rFonts w:ascii="Times New Roman" w:hAnsi="Times New Roman" w:cs="Times New Roman"/>
                <w:sz w:val="20"/>
              </w:rPr>
              <w:t>6</w:t>
            </w:r>
          </w:p>
          <w:p w:rsidR="008415E8" w:rsidP="008415E8">
            <w:pPr>
              <w:rPr>
                <w:rFonts w:ascii="Times New Roman" w:hAnsi="Times New Roman" w:cs="Times New Roman"/>
                <w:sz w:val="20"/>
              </w:rPr>
            </w:pPr>
            <w:r>
              <w:rPr>
                <w:rFonts w:ascii="Times New Roman" w:hAnsi="Times New Roman" w:cs="Times New Roman"/>
                <w:sz w:val="20"/>
              </w:rPr>
              <w:t xml:space="preserve">O: </w:t>
            </w:r>
            <w:r w:rsidR="00CD5FF3">
              <w:rPr>
                <w:rFonts w:ascii="Times New Roman" w:hAnsi="Times New Roman" w:cs="Times New Roman"/>
                <w:sz w:val="20"/>
              </w:rPr>
              <w:t>3</w:t>
            </w: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r w:rsidR="00FD33BE">
              <w:rPr>
                <w:rFonts w:ascii="Times New Roman" w:hAnsi="Times New Roman" w:cs="Times New Roman"/>
                <w:sz w:val="20"/>
              </w:rPr>
              <w:t>§</w:t>
            </w:r>
            <w:r w:rsidR="003555F9">
              <w:rPr>
                <w:rFonts w:ascii="Times New Roman" w:hAnsi="Times New Roman" w:cs="Times New Roman"/>
                <w:sz w:val="20"/>
              </w:rPr>
              <w:t xml:space="preserve"> 1</w:t>
            </w:r>
            <w:r w:rsidR="0079672C">
              <w:rPr>
                <w:rFonts w:ascii="Times New Roman" w:hAnsi="Times New Roman" w:cs="Times New Roman"/>
                <w:sz w:val="20"/>
              </w:rPr>
              <w:t>4</w:t>
            </w:r>
            <w:r w:rsidR="00F12382">
              <w:rPr>
                <w:rFonts w:ascii="Times New Roman" w:hAnsi="Times New Roman" w:cs="Times New Roman"/>
                <w:sz w:val="20"/>
              </w:rPr>
              <w:t>6</w:t>
            </w:r>
          </w:p>
          <w:p w:rsidR="0079672C" w:rsidP="008415E8">
            <w:pPr>
              <w:rPr>
                <w:rFonts w:ascii="Times New Roman" w:hAnsi="Times New Roman" w:cs="Times New Roman"/>
                <w:sz w:val="20"/>
              </w:rPr>
            </w:pPr>
            <w:r>
              <w:rPr>
                <w:rFonts w:ascii="Times New Roman" w:hAnsi="Times New Roman" w:cs="Times New Roman"/>
                <w:sz w:val="20"/>
              </w:rPr>
              <w:t>O:9</w:t>
            </w: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tc>
        <w:tc>
          <w:tcPr>
            <w:tcW w:w="43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D5FF3" w:rsidRPr="00F12382" w:rsidP="00CD5FF3">
            <w:pPr>
              <w:pStyle w:val="BodyTextFirstIndent"/>
              <w:tabs>
                <w:tab w:val="left" w:pos="0"/>
              </w:tabs>
              <w:spacing w:after="0"/>
              <w:ind w:firstLine="0"/>
              <w:jc w:val="both"/>
              <w:rPr>
                <w:rFonts w:ascii="Times New Roman" w:hAnsi="Times New Roman" w:cs="Times New Roman"/>
                <w:sz w:val="20"/>
                <w:szCs w:val="20"/>
              </w:rPr>
            </w:pPr>
            <w:r w:rsidRPr="00F12382" w:rsidR="00F12382">
              <w:rPr>
                <w:rFonts w:ascii="Times New Roman" w:hAnsi="Times New Roman" w:cs="Times New Roman"/>
                <w:sz w:val="20"/>
                <w:szCs w:val="20"/>
              </w:rPr>
              <w:t>Pre deti cudzincov sa na odstránenie jazykových bariér organizujú základné a rozširujúce jazykové kurzy štátneho jaz</w:t>
            </w:r>
            <w:r w:rsidRPr="00F12382" w:rsidR="00F12382">
              <w:rPr>
                <w:rFonts w:ascii="Times New Roman" w:hAnsi="Times New Roman" w:cs="Times New Roman"/>
                <w:sz w:val="20"/>
                <w:szCs w:val="20"/>
              </w:rPr>
              <w:t>yka.</w:t>
            </w:r>
          </w:p>
          <w:p w:rsidR="00CD5FF3" w:rsidP="008415E8">
            <w:pPr>
              <w:pStyle w:val="NormlnsWWW"/>
              <w:spacing w:before="120" w:after="0"/>
              <w:jc w:val="both"/>
              <w:rPr>
                <w:rFonts w:ascii="Times New Roman" w:hAnsi="Times New Roman" w:cs="Times New Roman"/>
                <w:sz w:val="20"/>
                <w:lang w:val="sk-SK"/>
              </w:rPr>
            </w:pPr>
          </w:p>
          <w:p w:rsidR="008415E8" w:rsidP="008415E8">
            <w:pPr>
              <w:jc w:val="both"/>
              <w:rPr>
                <w:rFonts w:ascii="Times New Roman" w:hAnsi="Times New Roman" w:cs="Times New Roman"/>
                <w:sz w:val="20"/>
              </w:rPr>
            </w:pPr>
          </w:p>
          <w:p w:rsidR="003555F9" w:rsidP="008415E8">
            <w:pPr>
              <w:jc w:val="both"/>
              <w:rPr>
                <w:rFonts w:ascii="Times New Roman" w:hAnsi="Times New Roman" w:cs="Times New Roman"/>
                <w:sz w:val="20"/>
              </w:rPr>
            </w:pPr>
          </w:p>
          <w:p w:rsidR="003555F9" w:rsidP="008415E8">
            <w:pPr>
              <w:jc w:val="both"/>
              <w:rPr>
                <w:rFonts w:ascii="Times New Roman" w:hAnsi="Times New Roman" w:cs="Times New Roman"/>
                <w:sz w:val="20"/>
              </w:rPr>
            </w:pPr>
          </w:p>
          <w:p w:rsidR="003555F9" w:rsidP="008415E8">
            <w:pPr>
              <w:jc w:val="both"/>
              <w:rPr>
                <w:rFonts w:ascii="Times New Roman" w:hAnsi="Times New Roman" w:cs="Times New Roman"/>
                <w:sz w:val="20"/>
              </w:rPr>
            </w:pPr>
          </w:p>
          <w:p w:rsidR="00F12382" w:rsidP="008415E8">
            <w:pPr>
              <w:jc w:val="both"/>
              <w:rPr>
                <w:rFonts w:ascii="Times New Roman" w:hAnsi="Times New Roman" w:cs="Times New Roman"/>
                <w:sz w:val="20"/>
              </w:rPr>
            </w:pPr>
          </w:p>
          <w:p w:rsidR="00F12382" w:rsidP="008415E8">
            <w:pPr>
              <w:jc w:val="both"/>
              <w:rPr>
                <w:rFonts w:ascii="Times New Roman" w:hAnsi="Times New Roman" w:cs="Times New Roman"/>
                <w:sz w:val="20"/>
              </w:rPr>
            </w:pPr>
          </w:p>
          <w:p w:rsidR="00F12382" w:rsidP="008415E8">
            <w:pPr>
              <w:jc w:val="both"/>
              <w:rPr>
                <w:rFonts w:ascii="Times New Roman" w:hAnsi="Times New Roman" w:cs="Times New Roman"/>
                <w:sz w:val="20"/>
              </w:rPr>
            </w:pPr>
          </w:p>
          <w:p w:rsidR="0079672C" w:rsidRPr="0079672C" w:rsidP="0079672C">
            <w:pPr>
              <w:pStyle w:val="BodyTextFirstIndent"/>
              <w:ind w:firstLine="0"/>
              <w:jc w:val="both"/>
              <w:rPr>
                <w:rFonts w:ascii="Times New Roman" w:hAnsi="Times New Roman" w:cs="Times New Roman"/>
                <w:sz w:val="20"/>
                <w:szCs w:val="20"/>
              </w:rPr>
            </w:pPr>
            <w:r w:rsidRPr="0079672C">
              <w:rPr>
                <w:rFonts w:ascii="Times New Roman" w:hAnsi="Times New Roman" w:cs="Times New Roman"/>
                <w:sz w:val="20"/>
                <w:szCs w:val="20"/>
              </w:rPr>
              <w:t>Vzdelávanie pedagogických zamestnancov detí cudzincov podľa odseku 1 odborne, organizačne, metodicky a finančne zabezpečuje ministerstvo školstva.</w:t>
            </w:r>
          </w:p>
          <w:p w:rsidR="003555F9" w:rsidP="0079672C">
            <w:pPr>
              <w:pStyle w:val="odsek"/>
              <w:numPr>
                <w:ilvl w:val="0"/>
                <w:numId w:val="0"/>
              </w:numPr>
              <w:spacing w:line="240" w:lineRule="auto"/>
              <w:rPr>
                <w:rFonts w:ascii="Times New Roman" w:hAnsi="Times New Roman" w:cs="Times New Roman"/>
                <w:sz w:val="20"/>
              </w:rPr>
            </w:pPr>
          </w:p>
        </w:tc>
        <w:tc>
          <w:tcPr>
            <w:tcW w:w="58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jc w:val="center"/>
              <w:rPr>
                <w:rFonts w:ascii="Times New Roman" w:hAnsi="Times New Roman" w:cs="Times New Roman"/>
                <w:sz w:val="20"/>
              </w:rPr>
            </w:pPr>
            <w:r>
              <w:rPr>
                <w:rFonts w:ascii="Times New Roman" w:hAnsi="Times New Roman" w:cs="Times New Roman"/>
                <w:sz w:val="20"/>
              </w:rPr>
              <w:t>Ú</w:t>
            </w:r>
          </w:p>
          <w:p w:rsidR="008415E8" w:rsidP="008415E8">
            <w:pPr>
              <w:jc w:val="center"/>
              <w:rPr>
                <w:rFonts w:ascii="Times New Roman" w:hAnsi="Times New Roman" w:cs="Times New Roman"/>
                <w:sz w:val="20"/>
              </w:rPr>
            </w:pPr>
          </w:p>
          <w:p w:rsidR="008415E8" w:rsidP="008415E8">
            <w:pPr>
              <w:jc w:val="center"/>
              <w:rPr>
                <w:rFonts w:ascii="Times New Roman" w:hAnsi="Times New Roman" w:cs="Times New Roman"/>
                <w:sz w:val="20"/>
              </w:rPr>
            </w:pPr>
          </w:p>
          <w:p w:rsidR="00C23D9C" w:rsidP="008415E8">
            <w:pPr>
              <w:jc w:val="center"/>
              <w:rPr>
                <w:rFonts w:ascii="Times New Roman" w:hAnsi="Times New Roman" w:cs="Times New Roman"/>
                <w:sz w:val="20"/>
              </w:rPr>
            </w:pPr>
          </w:p>
          <w:p w:rsidR="00C23D9C" w:rsidP="008415E8">
            <w:pPr>
              <w:jc w:val="center"/>
              <w:rPr>
                <w:rFonts w:ascii="Times New Roman" w:hAnsi="Times New Roman" w:cs="Times New Roman"/>
                <w:sz w:val="20"/>
              </w:rPr>
            </w:pPr>
          </w:p>
          <w:p w:rsidR="00C23D9C" w:rsidP="008415E8">
            <w:pPr>
              <w:jc w:val="center"/>
              <w:rPr>
                <w:rFonts w:ascii="Times New Roman" w:hAnsi="Times New Roman" w:cs="Times New Roman"/>
                <w:sz w:val="20"/>
              </w:rPr>
            </w:pPr>
          </w:p>
          <w:p w:rsidR="00C23D9C" w:rsidP="008415E8">
            <w:pPr>
              <w:jc w:val="center"/>
              <w:rPr>
                <w:rFonts w:ascii="Times New Roman" w:hAnsi="Times New Roman" w:cs="Times New Roman"/>
                <w:sz w:val="20"/>
              </w:rPr>
            </w:pPr>
          </w:p>
          <w:p w:rsidR="00C23D9C" w:rsidP="008415E8">
            <w:pPr>
              <w:jc w:val="center"/>
              <w:rPr>
                <w:rFonts w:ascii="Times New Roman" w:hAnsi="Times New Roman" w:cs="Times New Roman"/>
                <w:sz w:val="20"/>
              </w:rPr>
            </w:pPr>
          </w:p>
          <w:p w:rsidR="00C23D9C" w:rsidP="008415E8">
            <w:pPr>
              <w:jc w:val="center"/>
              <w:rPr>
                <w:rFonts w:ascii="Times New Roman" w:hAnsi="Times New Roman" w:cs="Times New Roman"/>
                <w:sz w:val="20"/>
              </w:rPr>
            </w:pPr>
          </w:p>
          <w:p w:rsidR="00C23D9C" w:rsidP="008415E8">
            <w:pPr>
              <w:jc w:val="center"/>
              <w:rPr>
                <w:rFonts w:ascii="Times New Roman" w:hAnsi="Times New Roman" w:cs="Times New Roman"/>
                <w:sz w:val="20"/>
              </w:rPr>
            </w:pPr>
          </w:p>
          <w:p w:rsidR="00C23D9C" w:rsidP="008415E8">
            <w:pPr>
              <w:jc w:val="center"/>
              <w:rPr>
                <w:rFonts w:ascii="Times New Roman" w:hAnsi="Times New Roman" w:cs="Times New Roman"/>
                <w:sz w:val="20"/>
              </w:rPr>
            </w:pPr>
          </w:p>
          <w:p w:rsidR="00C23D9C" w:rsidP="008415E8">
            <w:pPr>
              <w:jc w:val="center"/>
              <w:rPr>
                <w:rFonts w:ascii="Times New Roman" w:hAnsi="Times New Roman" w:cs="Times New Roman"/>
                <w:sz w:val="20"/>
              </w:rPr>
            </w:pPr>
            <w:r>
              <w:rPr>
                <w:rFonts w:ascii="Times New Roman" w:hAnsi="Times New Roman" w:cs="Times New Roman"/>
                <w:sz w:val="20"/>
              </w:rPr>
              <w:t>Ú</w:t>
            </w: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tc>
      </w:tr>
      <w:tr>
        <w:tblPrEx>
          <w:tblW w:w="0" w:type="auto"/>
          <w:tblInd w:w="70" w:type="dxa"/>
          <w:tblLayout w:type="fixed"/>
          <w:tblCellMar>
            <w:top w:w="0" w:type="dxa"/>
            <w:left w:w="70" w:type="dxa"/>
            <w:bottom w:w="0" w:type="dxa"/>
            <w:right w:w="70" w:type="dxa"/>
          </w:tblCellMar>
        </w:tblPrEx>
        <w:trPr>
          <w:trHeight w:val="70"/>
        </w:trPr>
        <w:tc>
          <w:tcPr>
            <w:tcW w:w="11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9E2DCB">
            <w:pPr>
              <w:rPr>
                <w:rFonts w:ascii="Times New Roman" w:hAnsi="Times New Roman" w:cs="Times New Roman"/>
                <w:b/>
                <w:i/>
                <w:sz w:val="20"/>
              </w:rPr>
            </w:pPr>
            <w:r w:rsidR="00AC19A3">
              <w:rPr>
                <w:rFonts w:ascii="Times New Roman" w:hAnsi="Times New Roman" w:cs="Times New Roman"/>
                <w:b/>
                <w:i/>
                <w:sz w:val="20"/>
              </w:rPr>
              <w:t>C: 3</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C19A3" w:rsidRPr="008C5475" w:rsidP="00AC19A3">
            <w:pPr>
              <w:spacing w:before="75" w:after="75"/>
              <w:ind w:right="225"/>
              <w:jc w:val="both"/>
              <w:rPr>
                <w:rFonts w:ascii="Times New Roman" w:hAnsi="Times New Roman" w:cs="Times New Roman"/>
                <w:sz w:val="20"/>
                <w:szCs w:val="20"/>
              </w:rPr>
            </w:pPr>
            <w:r w:rsidRPr="008C5475">
              <w:rPr>
                <w:rFonts w:ascii="Times New Roman" w:hAnsi="Times New Roman" w:cs="Times New Roman"/>
                <w:sz w:val="20"/>
                <w:szCs w:val="20"/>
              </w:rPr>
              <w:t>Členské štáty, v súlade s ich štátnymi pomermi a právnymi systémami a v spolupráci so štátmi pôvodu, podniknú primerané opatrenia na podporu, v spolupráci s bežným vzdelávaním, vyučovania materinského jazyka a kultúry krajiny pôvodu detí, uvedených v článku 1.</w:t>
            </w:r>
          </w:p>
          <w:p w:rsidR="008415E8" w:rsidRPr="005A07D6" w:rsidP="008415E8">
            <w:pPr>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53B1B" w:rsidRPr="00953B1B" w:rsidP="00953B1B">
            <w:pPr>
              <w:rPr>
                <w:rFonts w:ascii="Times New Roman" w:hAnsi="Times New Roman" w:cs="Times New Roman"/>
                <w:sz w:val="20"/>
                <w:szCs w:val="20"/>
              </w:rPr>
            </w:pPr>
            <w:r w:rsidR="003555F9">
              <w:rPr>
                <w:rFonts w:ascii="Times New Roman" w:hAnsi="Times New Roman" w:cs="Times New Roman"/>
                <w:sz w:val="20"/>
                <w:szCs w:val="20"/>
              </w:rPr>
              <w:t>N</w:t>
            </w:r>
          </w:p>
        </w:tc>
        <w:tc>
          <w:tcPr>
            <w:tcW w:w="10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53B1B" w:rsidP="008415E8">
            <w:pPr>
              <w:rPr>
                <w:rFonts w:ascii="Times New Roman" w:hAnsi="Times New Roman" w:cs="Times New Roman"/>
                <w:sz w:val="20"/>
              </w:rPr>
            </w:pPr>
            <w:r w:rsidR="003555F9">
              <w:rPr>
                <w:rFonts w:ascii="Times New Roman" w:hAnsi="Times New Roman" w:cs="Times New Roman"/>
                <w:sz w:val="20"/>
              </w:rPr>
              <w:t xml:space="preserve">Návrh </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rPr>
                <w:rFonts w:ascii="Times New Roman" w:hAnsi="Times New Roman" w:cs="Times New Roman"/>
                <w:sz w:val="20"/>
              </w:rPr>
            </w:pPr>
            <w:r w:rsidR="003555F9">
              <w:rPr>
                <w:rFonts w:ascii="Times New Roman" w:hAnsi="Times New Roman" w:cs="Times New Roman"/>
                <w:sz w:val="20"/>
              </w:rPr>
              <w:t>§ 14</w:t>
            </w:r>
            <w:r w:rsidR="00F12382">
              <w:rPr>
                <w:rFonts w:ascii="Times New Roman" w:hAnsi="Times New Roman" w:cs="Times New Roman"/>
                <w:sz w:val="20"/>
              </w:rPr>
              <w:t>6</w:t>
            </w:r>
          </w:p>
          <w:p w:rsidR="003555F9" w:rsidP="008415E8">
            <w:pPr>
              <w:rPr>
                <w:rFonts w:ascii="Times New Roman" w:hAnsi="Times New Roman" w:cs="Times New Roman"/>
                <w:sz w:val="20"/>
              </w:rPr>
            </w:pPr>
            <w:r>
              <w:rPr>
                <w:rFonts w:ascii="Times New Roman" w:hAnsi="Times New Roman" w:cs="Times New Roman"/>
                <w:sz w:val="20"/>
              </w:rPr>
              <w:t>O:</w:t>
            </w:r>
            <w:r w:rsidR="00C23D9C">
              <w:rPr>
                <w:rFonts w:ascii="Times New Roman" w:hAnsi="Times New Roman" w:cs="Times New Roman"/>
                <w:sz w:val="20"/>
              </w:rPr>
              <w:t xml:space="preserve"> 7</w:t>
            </w: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666179" w:rsidP="008415E8">
            <w:pPr>
              <w:rPr>
                <w:rFonts w:ascii="Times New Roman" w:hAnsi="Times New Roman" w:cs="Times New Roman"/>
                <w:sz w:val="20"/>
              </w:rPr>
            </w:pPr>
          </w:p>
          <w:p w:rsidR="00666179" w:rsidP="008415E8">
            <w:pPr>
              <w:rPr>
                <w:rFonts w:ascii="Times New Roman" w:hAnsi="Times New Roman" w:cs="Times New Roman"/>
                <w:sz w:val="20"/>
              </w:rPr>
            </w:pPr>
          </w:p>
          <w:p w:rsidR="00666179" w:rsidP="008415E8">
            <w:pPr>
              <w:rPr>
                <w:rFonts w:ascii="Times New Roman" w:hAnsi="Times New Roman" w:cs="Times New Roman"/>
                <w:sz w:val="20"/>
              </w:rPr>
            </w:pPr>
          </w:p>
          <w:p w:rsidR="00666179" w:rsidP="008415E8">
            <w:pPr>
              <w:rPr>
                <w:rFonts w:ascii="Times New Roman" w:hAnsi="Times New Roman" w:cs="Times New Roman"/>
                <w:sz w:val="20"/>
              </w:rPr>
            </w:pPr>
          </w:p>
          <w:p w:rsidR="00666179" w:rsidP="008415E8">
            <w:pPr>
              <w:rPr>
                <w:rFonts w:ascii="Times New Roman" w:hAnsi="Times New Roman" w:cs="Times New Roman"/>
                <w:sz w:val="20"/>
              </w:rPr>
            </w:pPr>
          </w:p>
          <w:p w:rsidR="00666179" w:rsidP="008415E8">
            <w:pPr>
              <w:rPr>
                <w:rFonts w:ascii="Times New Roman" w:hAnsi="Times New Roman" w:cs="Times New Roman"/>
                <w:sz w:val="20"/>
              </w:rPr>
            </w:pPr>
          </w:p>
          <w:p w:rsidR="00666179" w:rsidP="008415E8">
            <w:pPr>
              <w:rPr>
                <w:rFonts w:ascii="Times New Roman" w:hAnsi="Times New Roman" w:cs="Times New Roman"/>
                <w:sz w:val="20"/>
              </w:rPr>
            </w:pPr>
          </w:p>
          <w:p w:rsidR="00666179" w:rsidP="008415E8">
            <w:pPr>
              <w:rPr>
                <w:rFonts w:ascii="Times New Roman" w:hAnsi="Times New Roman" w:cs="Times New Roman"/>
                <w:sz w:val="20"/>
              </w:rPr>
            </w:pPr>
          </w:p>
          <w:p w:rsidR="00953B1B" w:rsidP="008415E8">
            <w:pPr>
              <w:rPr>
                <w:rFonts w:ascii="Times New Roman" w:hAnsi="Times New Roman" w:cs="Times New Roman"/>
                <w:sz w:val="20"/>
              </w:rPr>
            </w:pPr>
          </w:p>
          <w:p w:rsidR="00953B1B" w:rsidP="009C52AC">
            <w:pPr>
              <w:rPr>
                <w:rFonts w:ascii="Times New Roman" w:hAnsi="Times New Roman" w:cs="Times New Roman"/>
                <w:sz w:val="20"/>
              </w:rPr>
            </w:pPr>
          </w:p>
        </w:tc>
        <w:tc>
          <w:tcPr>
            <w:tcW w:w="43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23D9C" w:rsidRPr="00C23D9C" w:rsidP="00C23D9C">
            <w:pPr>
              <w:pStyle w:val="BodyTextFirstIndent"/>
              <w:ind w:firstLine="0"/>
              <w:rPr>
                <w:rFonts w:ascii="Times New Roman" w:hAnsi="Times New Roman" w:cs="Times New Roman"/>
                <w:sz w:val="20"/>
                <w:szCs w:val="20"/>
              </w:rPr>
            </w:pPr>
            <w:r w:rsidRPr="00C23D9C">
              <w:rPr>
                <w:rFonts w:ascii="Times New Roman" w:hAnsi="Times New Roman" w:cs="Times New Roman"/>
                <w:sz w:val="20"/>
                <w:szCs w:val="20"/>
              </w:rPr>
              <w:t xml:space="preserve">Pre deti cudzincov </w:t>
            </w:r>
            <w:r w:rsidR="00F12382">
              <w:rPr>
                <w:rFonts w:ascii="Times New Roman" w:hAnsi="Times New Roman" w:cs="Times New Roman"/>
                <w:sz w:val="20"/>
                <w:szCs w:val="20"/>
              </w:rPr>
              <w:t> s povoleným</w:t>
            </w:r>
            <w:r w:rsidRPr="00C23D9C">
              <w:rPr>
                <w:rFonts w:ascii="Times New Roman" w:hAnsi="Times New Roman" w:cs="Times New Roman"/>
                <w:sz w:val="20"/>
                <w:szCs w:val="20"/>
              </w:rPr>
              <w:t xml:space="preserve"> pobytom na území Slovenskej republiky možno zriaďovať iné ako štátne školy a zabezpečovať výchovu a vzdelávanie aj v inom ako štátnom jazyku za finančnú úhradu.</w:t>
            </w:r>
          </w:p>
          <w:p w:rsidR="008415E8" w:rsidP="008415E8">
            <w:pPr>
              <w:jc w:val="both"/>
              <w:rPr>
                <w:rFonts w:ascii="Times New Roman" w:hAnsi="Times New Roman" w:cs="Times New Roman"/>
                <w:sz w:val="20"/>
              </w:rPr>
            </w:pPr>
          </w:p>
          <w:p w:rsidR="008415E8" w:rsidP="008415E8">
            <w:pPr>
              <w:jc w:val="both"/>
              <w:rPr>
                <w:rFonts w:ascii="Times New Roman" w:hAnsi="Times New Roman" w:cs="Times New Roman"/>
                <w:sz w:val="20"/>
              </w:rPr>
            </w:pPr>
          </w:p>
          <w:p w:rsidR="008415E8" w:rsidP="008415E8">
            <w:pPr>
              <w:jc w:val="both"/>
              <w:rPr>
                <w:rFonts w:ascii="Times New Roman" w:hAnsi="Times New Roman" w:cs="Times New Roman"/>
                <w:sz w:val="20"/>
              </w:rPr>
            </w:pPr>
            <w:r>
              <w:rPr>
                <w:rFonts w:ascii="Times New Roman" w:hAnsi="Times New Roman" w:cs="Times New Roman"/>
                <w:sz w:val="20"/>
              </w:rPr>
              <w:t>.</w:t>
            </w:r>
          </w:p>
          <w:p w:rsidR="00A401E0" w:rsidP="008415E8">
            <w:pPr>
              <w:jc w:val="both"/>
              <w:rPr>
                <w:rFonts w:ascii="Times New Roman" w:hAnsi="Times New Roman" w:cs="Times New Roman"/>
                <w:sz w:val="20"/>
              </w:rPr>
            </w:pPr>
          </w:p>
          <w:p w:rsidR="00953B1B" w:rsidP="00A401E0">
            <w:pPr>
              <w:pStyle w:val="BodyTextFirstIndent"/>
              <w:tabs>
                <w:tab w:val="left" w:pos="0"/>
              </w:tabs>
              <w:spacing w:after="0"/>
              <w:ind w:firstLine="0"/>
              <w:jc w:val="both"/>
              <w:rPr>
                <w:rFonts w:ascii="Times New Roman" w:hAnsi="Times New Roman" w:cs="Times New Roman"/>
                <w:sz w:val="20"/>
                <w:szCs w:val="20"/>
              </w:rPr>
            </w:pPr>
          </w:p>
          <w:p w:rsidR="00666179" w:rsidP="008415E8">
            <w:pPr>
              <w:jc w:val="both"/>
              <w:rPr>
                <w:rFonts w:ascii="Times New Roman" w:hAnsi="Times New Roman" w:cs="Times New Roman"/>
                <w:sz w:val="20"/>
              </w:rPr>
            </w:pPr>
          </w:p>
          <w:p w:rsidR="00666179" w:rsidP="008415E8">
            <w:pPr>
              <w:jc w:val="both"/>
              <w:rPr>
                <w:rFonts w:ascii="Times New Roman" w:hAnsi="Times New Roman" w:cs="Times New Roman"/>
                <w:sz w:val="20"/>
              </w:rPr>
            </w:pPr>
          </w:p>
        </w:tc>
        <w:tc>
          <w:tcPr>
            <w:tcW w:w="58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53B1B" w:rsidP="008415E8">
            <w:pPr>
              <w:jc w:val="center"/>
              <w:rPr>
                <w:rFonts w:ascii="Times New Roman" w:hAnsi="Times New Roman" w:cs="Times New Roman"/>
                <w:sz w:val="20"/>
              </w:rPr>
            </w:pPr>
            <w:r w:rsidR="00C23D9C">
              <w:rPr>
                <w:rFonts w:ascii="Times New Roman" w:hAnsi="Times New Roman" w:cs="Times New Roman"/>
                <w:sz w:val="20"/>
              </w:rPr>
              <w:t>Ú</w:t>
            </w:r>
          </w:p>
          <w:p w:rsidR="00953B1B" w:rsidP="008415E8">
            <w:pPr>
              <w:jc w:val="center"/>
              <w:rPr>
                <w:rFonts w:ascii="Times New Roman" w:hAnsi="Times New Roman" w:cs="Times New Roman"/>
                <w:sz w:val="20"/>
              </w:rPr>
            </w:pPr>
          </w:p>
          <w:p w:rsidR="00953B1B" w:rsidP="008415E8">
            <w:pPr>
              <w:jc w:val="center"/>
              <w:rPr>
                <w:rFonts w:ascii="Times New Roman" w:hAnsi="Times New Roman" w:cs="Times New Roman"/>
                <w:sz w:val="20"/>
              </w:rPr>
            </w:pPr>
          </w:p>
          <w:p w:rsidR="00953B1B" w:rsidP="008415E8">
            <w:pPr>
              <w:jc w:val="center"/>
              <w:rPr>
                <w:rFonts w:ascii="Times New Roman" w:hAnsi="Times New Roman" w:cs="Times New Roman"/>
                <w:sz w:val="20"/>
              </w:rPr>
            </w:pPr>
          </w:p>
          <w:p w:rsidR="00953B1B" w:rsidP="008415E8">
            <w:pPr>
              <w:jc w:val="center"/>
              <w:rPr>
                <w:rFonts w:ascii="Times New Roman" w:hAnsi="Times New Roman" w:cs="Times New Roman"/>
                <w:sz w:val="20"/>
              </w:rPr>
            </w:pPr>
          </w:p>
          <w:p w:rsidR="00953B1B" w:rsidP="008415E8">
            <w:pPr>
              <w:jc w:val="center"/>
              <w:rPr>
                <w:rFonts w:ascii="Times New Roman" w:hAnsi="Times New Roman" w:cs="Times New Roman"/>
                <w:sz w:val="20"/>
              </w:rPr>
            </w:pPr>
          </w:p>
          <w:p w:rsidR="00953B1B" w:rsidP="008415E8">
            <w:pPr>
              <w:jc w:val="center"/>
              <w:rPr>
                <w:rFonts w:ascii="Times New Roman" w:hAnsi="Times New Roman" w:cs="Times New Roman"/>
                <w:sz w:val="20"/>
              </w:rPr>
            </w:pPr>
          </w:p>
          <w:p w:rsidR="00953B1B" w:rsidP="008415E8">
            <w:pPr>
              <w:jc w:val="center"/>
              <w:rPr>
                <w:rFonts w:ascii="Times New Roman" w:hAnsi="Times New Roman" w:cs="Times New Roman"/>
                <w:sz w:val="20"/>
              </w:rPr>
            </w:pPr>
          </w:p>
          <w:p w:rsidR="00953B1B" w:rsidP="008415E8">
            <w:pPr>
              <w:jc w:val="center"/>
              <w:rPr>
                <w:rFonts w:ascii="Times New Roman" w:hAnsi="Times New Roman" w:cs="Times New Roman"/>
                <w:sz w:val="20"/>
              </w:rPr>
            </w:pPr>
          </w:p>
          <w:p w:rsidR="00953B1B" w:rsidP="008415E8">
            <w:pPr>
              <w:jc w:val="center"/>
              <w:rPr>
                <w:rFonts w:ascii="Times New Roman" w:hAnsi="Times New Roman" w:cs="Times New Roman"/>
                <w:sz w:val="20"/>
              </w:rPr>
            </w:pPr>
          </w:p>
          <w:p w:rsidR="00953B1B" w:rsidP="008415E8">
            <w:pPr>
              <w:jc w:val="center"/>
              <w:rPr>
                <w:rFonts w:ascii="Times New Roman" w:hAnsi="Times New Roman" w:cs="Times New Roman"/>
                <w:sz w:val="20"/>
              </w:rPr>
            </w:pPr>
          </w:p>
          <w:p w:rsidR="00953B1B" w:rsidP="008415E8">
            <w:pPr>
              <w:jc w:val="center"/>
              <w:rPr>
                <w:rFonts w:ascii="Times New Roman" w:hAnsi="Times New Roman" w:cs="Times New Roman"/>
                <w:sz w:val="20"/>
              </w:rPr>
            </w:pPr>
          </w:p>
          <w:p w:rsidR="00953B1B" w:rsidP="008415E8">
            <w:pPr>
              <w:jc w:val="center"/>
              <w:rPr>
                <w:rFonts w:ascii="Times New Roman" w:hAnsi="Times New Roman" w:cs="Times New Roman"/>
                <w:sz w:val="20"/>
              </w:rPr>
            </w:pPr>
          </w:p>
          <w:p w:rsidR="00953B1B" w:rsidP="008415E8">
            <w:pPr>
              <w:jc w:val="center"/>
              <w:rPr>
                <w:rFonts w:ascii="Times New Roman" w:hAnsi="Times New Roman" w:cs="Times New Roman"/>
                <w:sz w:val="20"/>
              </w:rPr>
            </w:pPr>
          </w:p>
          <w:p w:rsidR="00953B1B" w:rsidP="008415E8">
            <w:pPr>
              <w:jc w:val="center"/>
              <w:rPr>
                <w:rFonts w:ascii="Times New Roman" w:hAnsi="Times New Roman" w:cs="Times New Roman"/>
                <w:sz w:val="20"/>
              </w:rPr>
            </w:pPr>
          </w:p>
          <w:p w:rsidR="00953B1B" w:rsidP="009C52AC">
            <w:pP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p w:rsidR="008415E8" w:rsidP="008415E8">
            <w:pPr>
              <w:rPr>
                <w:rFonts w:ascii="Times New Roman" w:hAnsi="Times New Roman" w:cs="Times New Roman"/>
                <w:sz w:val="20"/>
              </w:rPr>
            </w:pPr>
          </w:p>
        </w:tc>
      </w:tr>
      <w:tr>
        <w:tblPrEx>
          <w:tblW w:w="0" w:type="auto"/>
          <w:tblInd w:w="70" w:type="dxa"/>
          <w:tblLayout w:type="fixed"/>
          <w:tblCellMar>
            <w:top w:w="0" w:type="dxa"/>
            <w:left w:w="70" w:type="dxa"/>
            <w:bottom w:w="0" w:type="dxa"/>
            <w:right w:w="70" w:type="dxa"/>
          </w:tblCellMar>
        </w:tblPrEx>
        <w:trPr>
          <w:trHeight w:hRule="auto" w:val="0"/>
        </w:trPr>
        <w:tc>
          <w:tcPr>
            <w:tcW w:w="11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AC19A3">
            <w:pPr>
              <w:rPr>
                <w:rFonts w:ascii="Times New Roman" w:hAnsi="Times New Roman" w:cs="Times New Roman"/>
                <w:b/>
                <w:i/>
                <w:sz w:val="20"/>
              </w:rPr>
            </w:pPr>
            <w:r w:rsidR="00AC19A3">
              <w:rPr>
                <w:rFonts w:ascii="Times New Roman" w:hAnsi="Times New Roman" w:cs="Times New Roman"/>
                <w:b/>
                <w:i/>
                <w:sz w:val="20"/>
              </w:rPr>
              <w:t>C: 4</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C19A3" w:rsidRPr="008C5475" w:rsidP="00AC19A3">
            <w:pPr>
              <w:spacing w:before="75" w:after="75"/>
              <w:ind w:right="225"/>
              <w:jc w:val="both"/>
              <w:rPr>
                <w:rFonts w:ascii="Times New Roman" w:hAnsi="Times New Roman" w:cs="Times New Roman"/>
                <w:sz w:val="20"/>
                <w:szCs w:val="20"/>
              </w:rPr>
            </w:pPr>
            <w:r w:rsidRPr="008C5475">
              <w:rPr>
                <w:rFonts w:ascii="Times New Roman" w:hAnsi="Times New Roman" w:cs="Times New Roman"/>
                <w:sz w:val="20"/>
                <w:szCs w:val="20"/>
              </w:rPr>
              <w:t>Členské štáty podniknú potrebné opatrenia na dosiahnutie súladu s touto smernicou do štyroch rokov od jej oznámenia a ihneď o tom informujú Komisiu.</w:t>
            </w:r>
          </w:p>
          <w:p w:rsidR="00AC19A3" w:rsidRPr="008C5475" w:rsidP="00AC19A3">
            <w:pPr>
              <w:spacing w:before="75" w:after="75"/>
              <w:ind w:right="225" w:firstLine="225"/>
              <w:jc w:val="both"/>
              <w:rPr>
                <w:rFonts w:ascii="Times New Roman" w:hAnsi="Times New Roman" w:cs="Times New Roman"/>
                <w:sz w:val="20"/>
                <w:szCs w:val="20"/>
              </w:rPr>
            </w:pPr>
            <w:r w:rsidRPr="008C5475">
              <w:rPr>
                <w:rFonts w:ascii="Times New Roman" w:hAnsi="Times New Roman" w:cs="Times New Roman"/>
                <w:sz w:val="20"/>
                <w:szCs w:val="20"/>
              </w:rPr>
              <w:t>Členské štáty informujú Komisiu aj o všetkých ustanoveniach zákonov, iných právnych predpisov a správnych opatrení alebo ktoré prijmú v oblasti upravenej touto smernicou.</w:t>
            </w:r>
          </w:p>
          <w:p w:rsidR="008C5475" w:rsidP="008415E8">
            <w:pPr>
              <w:pStyle w:val="BodyText"/>
              <w:jc w:val="both"/>
              <w:rPr>
                <w:rFonts w:ascii="Times New Roman" w:hAnsi="Times New Roman" w:cs="Times New Roman"/>
              </w:rPr>
            </w:pPr>
          </w:p>
          <w:p w:rsidR="008415E8" w:rsidRPr="005A07D6" w:rsidP="008C5475">
            <w:pPr>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RPr="00304D6B" w:rsidP="008415E8">
            <w:pPr>
              <w:pStyle w:val="Heading2"/>
              <w:rPr>
                <w:rFonts w:ascii="Times New Roman" w:hAnsi="Times New Roman" w:cs="Times New Roman"/>
                <w:b w:val="0"/>
                <w:bCs/>
              </w:rPr>
            </w:pPr>
            <w:r w:rsidRPr="00304D6B">
              <w:rPr>
                <w:rFonts w:ascii="Times New Roman" w:hAnsi="Times New Roman" w:cs="Times New Roman"/>
                <w:b w:val="0"/>
                <w:bCs/>
              </w:rPr>
              <w:t>N</w:t>
            </w:r>
          </w:p>
        </w:tc>
        <w:tc>
          <w:tcPr>
            <w:tcW w:w="10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RPr="00304D6B" w:rsidP="008415E8">
            <w:pPr>
              <w:rPr>
                <w:rFonts w:ascii="Times New Roman" w:hAnsi="Times New Roman" w:cs="Times New Roman"/>
                <w:bCs/>
                <w:sz w:val="20"/>
              </w:rPr>
            </w:pPr>
            <w:r w:rsidR="00C23D9C">
              <w:rPr>
                <w:rFonts w:ascii="Times New Roman" w:hAnsi="Times New Roman" w:cs="Times New Roman"/>
                <w:bCs/>
                <w:sz w:val="20"/>
              </w:rPr>
              <w:t xml:space="preserve">Návrh </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rPr>
                <w:rFonts w:ascii="Times New Roman" w:hAnsi="Times New Roman" w:cs="Times New Roman"/>
                <w:sz w:val="20"/>
              </w:rPr>
            </w:pPr>
            <w:r w:rsidR="004D4ACE">
              <w:rPr>
                <w:rFonts w:ascii="Times New Roman" w:hAnsi="Times New Roman" w:cs="Times New Roman"/>
                <w:sz w:val="20"/>
              </w:rPr>
              <w:t>Čl. V</w:t>
            </w:r>
          </w:p>
        </w:tc>
        <w:tc>
          <w:tcPr>
            <w:tcW w:w="43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D4ACE" w:rsidRPr="00F12382" w:rsidP="00F12382">
            <w:pPr>
              <w:jc w:val="both"/>
              <w:outlineLvl w:val="0"/>
              <w:rPr>
                <w:rFonts w:ascii="Times New Roman" w:hAnsi="Times New Roman" w:cs="Times New Roman"/>
                <w:color w:val="000000"/>
                <w:sz w:val="20"/>
                <w:szCs w:val="20"/>
              </w:rPr>
            </w:pPr>
            <w:bookmarkStart w:id="0" w:name="_Toc190399878"/>
            <w:r w:rsidRPr="00F12382" w:rsidR="00F12382">
              <w:rPr>
                <w:rFonts w:ascii="Times New Roman" w:hAnsi="Times New Roman" w:cs="Times New Roman"/>
                <w:sz w:val="20"/>
                <w:szCs w:val="20"/>
              </w:rPr>
              <w:t xml:space="preserve">Tento zákon nadobúda účinnosť 1. septembra 2008 okrem Čl. I § 90 ods. 8 a ods. 9, ktoré nadobúdajú účinnosť 1. septembra 2009, Čl. I. § 125 nadobúda účinnosť 1. januára </w:t>
            </w:r>
            <w:smartTag w:uri="urn:schemas-microsoft-com:office:smarttags" w:element="metricconverter">
              <w:smartTagPr>
                <w:attr w:name="ProductID" w:val="2011 a"/>
              </w:smartTagPr>
              <w:r w:rsidRPr="00F12382" w:rsidR="00F12382">
                <w:rPr>
                  <w:rFonts w:ascii="Times New Roman" w:hAnsi="Times New Roman" w:cs="Times New Roman"/>
                  <w:sz w:val="20"/>
                  <w:szCs w:val="20"/>
                </w:rPr>
                <w:t>2011 a</w:t>
              </w:r>
            </w:smartTag>
            <w:r w:rsidRPr="00F12382" w:rsidR="00F12382">
              <w:rPr>
                <w:rFonts w:ascii="Times New Roman" w:hAnsi="Times New Roman" w:cs="Times New Roman"/>
                <w:sz w:val="20"/>
                <w:szCs w:val="20"/>
              </w:rPr>
              <w:t xml:space="preserve">  Čl. III. § 4 ods.8, § 5 ods. 3 až 5, § 6 ods. 3, § 6a ods. 3 až 7, § 8b a § 8c, ktoré nadobúdajú účinnosť 1. januára 2009.</w:t>
            </w:r>
            <w:bookmarkEnd w:id="0"/>
          </w:p>
          <w:p w:rsidR="004D4ACE" w:rsidP="004D4ACE">
            <w:pPr>
              <w:rPr>
                <w:rFonts w:ascii="Times New Roman" w:hAnsi="Times New Roman" w:cs="Times New Roman"/>
              </w:rPr>
            </w:pPr>
          </w:p>
          <w:p w:rsidR="008415E8" w:rsidRPr="004D4ACE" w:rsidP="003555F9">
            <w:pPr>
              <w:pStyle w:val="NormlnsWWW"/>
              <w:spacing w:before="120" w:after="0"/>
              <w:jc w:val="both"/>
              <w:rPr>
                <w:rFonts w:cs="Times New Roman"/>
                <w:sz w:val="20"/>
                <w:lang w:val="sk-SK"/>
              </w:rPr>
            </w:pPr>
          </w:p>
        </w:tc>
        <w:tc>
          <w:tcPr>
            <w:tcW w:w="58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jc w:val="center"/>
              <w:rPr>
                <w:rFonts w:ascii="Times New Roman" w:hAnsi="Times New Roman" w:cs="Times New Roman"/>
                <w:sz w:val="20"/>
              </w:rPr>
            </w:pPr>
            <w:r>
              <w:rPr>
                <w:rFonts w:ascii="Times New Roman" w:hAnsi="Times New Roman" w:cs="Times New Roman"/>
                <w:sz w:val="20"/>
              </w:rPr>
              <w:t>Ú</w:t>
            </w: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rPr>
                <w:rFonts w:ascii="Times New Roman" w:hAnsi="Times New Roman" w:cs="Times New Roman"/>
                <w:sz w:val="20"/>
              </w:rPr>
            </w:pPr>
          </w:p>
        </w:tc>
      </w:tr>
      <w:tr>
        <w:tblPrEx>
          <w:tblW w:w="0" w:type="auto"/>
          <w:tblInd w:w="70" w:type="dxa"/>
          <w:tblLayout w:type="fixed"/>
          <w:tblCellMar>
            <w:top w:w="0" w:type="dxa"/>
            <w:left w:w="70" w:type="dxa"/>
            <w:bottom w:w="0" w:type="dxa"/>
            <w:right w:w="70" w:type="dxa"/>
          </w:tblCellMar>
        </w:tblPrEx>
        <w:trPr>
          <w:trHeight w:hRule="auto" w:val="0"/>
        </w:trPr>
        <w:tc>
          <w:tcPr>
            <w:tcW w:w="11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C5475">
            <w:pPr>
              <w:rPr>
                <w:rFonts w:ascii="Times New Roman" w:hAnsi="Times New Roman" w:cs="Times New Roman"/>
                <w:b/>
                <w:i/>
                <w:sz w:val="20"/>
              </w:rPr>
            </w:pPr>
            <w:r w:rsidR="008C5475">
              <w:rPr>
                <w:rFonts w:ascii="Times New Roman" w:hAnsi="Times New Roman" w:cs="Times New Roman"/>
                <w:b/>
                <w:i/>
                <w:sz w:val="20"/>
              </w:rPr>
              <w:t xml:space="preserve">C: </w:t>
            </w:r>
            <w:r w:rsidR="00AC19A3">
              <w:rPr>
                <w:rFonts w:ascii="Times New Roman" w:hAnsi="Times New Roman" w:cs="Times New Roman"/>
                <w:b/>
                <w:i/>
                <w:sz w:val="20"/>
              </w:rPr>
              <w:t>5</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AC19A3">
            <w:pPr>
              <w:spacing w:before="75" w:after="75"/>
              <w:ind w:right="225"/>
              <w:jc w:val="both"/>
              <w:rPr>
                <w:rFonts w:ascii="Times New Roman" w:hAnsi="Times New Roman" w:cs="Times New Roman"/>
                <w:i/>
                <w:sz w:val="20"/>
                <w:szCs w:val="20"/>
              </w:rPr>
            </w:pPr>
            <w:r w:rsidRPr="008C5475" w:rsidR="00AC19A3">
              <w:rPr>
                <w:rFonts w:ascii="Times New Roman" w:hAnsi="Times New Roman" w:cs="Times New Roman"/>
                <w:sz w:val="20"/>
                <w:szCs w:val="20"/>
              </w:rPr>
              <w:t>Členské štáty doručia Komisii do piatich rokov od oznámenia tejto smernice a potom v pravidelných intervaloch na žiadosť Komisie všetky príslušné informácie, aby umožnili Komisii informovať Radu o uplatňovaní tejto smernice.</w:t>
            </w:r>
          </w:p>
          <w:p w:rsidR="00AC19A3" w:rsidP="00AC19A3">
            <w:pPr>
              <w:spacing w:before="75" w:after="75"/>
              <w:ind w:right="225" w:firstLine="225"/>
              <w:jc w:val="both"/>
              <w:rPr>
                <w:rFonts w:ascii="Times New Roman" w:hAnsi="Times New Roman" w:cs="Times New Roman"/>
                <w:i/>
                <w:sz w:val="20"/>
                <w:szCs w:val="20"/>
              </w:rPr>
            </w:pPr>
          </w:p>
          <w:p w:rsidR="00AC19A3" w:rsidRPr="008C5475" w:rsidP="00AC19A3">
            <w:pPr>
              <w:spacing w:before="75" w:after="75"/>
              <w:ind w:right="225" w:firstLine="225"/>
              <w:jc w:val="both"/>
              <w:rPr>
                <w:rFonts w:ascii="Times New Roman" w:hAnsi="Times New Roman" w:cs="Times New Roman"/>
                <w:i/>
                <w:sz w:val="20"/>
                <w:szCs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RPr="00304D6B" w:rsidP="008415E8">
            <w:pPr>
              <w:pStyle w:val="Heading2"/>
              <w:rPr>
                <w:rFonts w:ascii="Times New Roman" w:hAnsi="Times New Roman" w:cs="Times New Roman"/>
                <w:b w:val="0"/>
                <w:bCs/>
              </w:rPr>
            </w:pPr>
            <w:r w:rsidR="00C23D9C">
              <w:rPr>
                <w:rFonts w:ascii="Times New Roman" w:hAnsi="Times New Roman" w:cs="Times New Roman"/>
                <w:b w:val="0"/>
                <w:bCs/>
              </w:rPr>
              <w:t>n. a.</w:t>
            </w:r>
          </w:p>
        </w:tc>
        <w:tc>
          <w:tcPr>
            <w:tcW w:w="10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rPr>
                <w:rFonts w:ascii="Times New Roman" w:hAnsi="Times New Roman" w:cs="Times New Roman"/>
                <w:sz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rPr>
                <w:rFonts w:ascii="Times New Roman" w:hAnsi="Times New Roman" w:cs="Times New Roman"/>
                <w:sz w:val="20"/>
              </w:rPr>
            </w:pPr>
          </w:p>
        </w:tc>
        <w:tc>
          <w:tcPr>
            <w:tcW w:w="43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rPr>
                <w:rFonts w:ascii="Times New Roman" w:hAnsi="Times New Roman" w:cs="Times New Roman"/>
                <w:sz w:val="20"/>
              </w:rPr>
            </w:pPr>
          </w:p>
        </w:tc>
        <w:tc>
          <w:tcPr>
            <w:tcW w:w="58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rPr>
                <w:rFonts w:ascii="Times New Roman" w:hAnsi="Times New Roman" w:cs="Times New Roman"/>
                <w:sz w:val="20"/>
              </w:rPr>
            </w:pPr>
          </w:p>
        </w:tc>
      </w:tr>
      <w:tr>
        <w:tblPrEx>
          <w:tblW w:w="0" w:type="auto"/>
          <w:tblInd w:w="70" w:type="dxa"/>
          <w:tblLayout w:type="fixed"/>
          <w:tblCellMar>
            <w:top w:w="0" w:type="dxa"/>
            <w:left w:w="70" w:type="dxa"/>
            <w:bottom w:w="0" w:type="dxa"/>
            <w:right w:w="70" w:type="dxa"/>
          </w:tblCellMar>
        </w:tblPrEx>
        <w:trPr>
          <w:trHeight w:hRule="auto" w:val="0"/>
        </w:trPr>
        <w:tc>
          <w:tcPr>
            <w:tcW w:w="11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C5475">
            <w:pPr>
              <w:rPr>
                <w:rFonts w:ascii="Times New Roman" w:hAnsi="Times New Roman" w:cs="Times New Roman"/>
                <w:b/>
                <w:i/>
                <w:sz w:val="20"/>
              </w:rPr>
            </w:pPr>
            <w:r w:rsidR="008C5475">
              <w:rPr>
                <w:rFonts w:ascii="Times New Roman" w:hAnsi="Times New Roman" w:cs="Times New Roman"/>
                <w:b/>
                <w:i/>
                <w:sz w:val="20"/>
              </w:rPr>
              <w:t xml:space="preserve">C: </w:t>
            </w:r>
            <w:r w:rsidR="00AC19A3">
              <w:rPr>
                <w:rFonts w:ascii="Times New Roman" w:hAnsi="Times New Roman" w:cs="Times New Roman"/>
                <w:b/>
                <w:i/>
                <w:sz w:val="20"/>
              </w:rPr>
              <w:t>6</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C19A3" w:rsidP="00AC19A3">
            <w:pPr>
              <w:spacing w:before="75" w:after="75"/>
              <w:ind w:right="225"/>
              <w:rPr>
                <w:rFonts w:ascii="Times New Roman" w:hAnsi="Times New Roman" w:cs="Times New Roman"/>
                <w:sz w:val="20"/>
                <w:szCs w:val="20"/>
              </w:rPr>
            </w:pPr>
            <w:r w:rsidRPr="009F0C05">
              <w:rPr>
                <w:rFonts w:ascii="Times New Roman" w:hAnsi="Times New Roman" w:cs="Times New Roman"/>
                <w:sz w:val="20"/>
                <w:szCs w:val="20"/>
              </w:rPr>
              <w:t>Táto smernica je adresovaná členským štátom.</w:t>
            </w:r>
          </w:p>
          <w:p w:rsidR="00AC19A3" w:rsidP="00AC19A3">
            <w:pPr>
              <w:spacing w:before="75" w:after="75"/>
              <w:ind w:right="225"/>
              <w:rPr>
                <w:rFonts w:ascii="Times New Roman" w:hAnsi="Times New Roman" w:cs="Times New Roman"/>
                <w:sz w:val="20"/>
                <w:szCs w:val="20"/>
              </w:rPr>
            </w:pPr>
          </w:p>
          <w:p w:rsidR="00AC19A3" w:rsidRPr="009F0C05" w:rsidP="00AC19A3">
            <w:pPr>
              <w:spacing w:before="75" w:after="75"/>
              <w:ind w:right="225"/>
              <w:rPr>
                <w:rFonts w:ascii="Times New Roman" w:hAnsi="Times New Roman" w:cs="Times New Roman"/>
                <w:sz w:val="20"/>
                <w:szCs w:val="20"/>
              </w:rPr>
            </w:pPr>
          </w:p>
          <w:p w:rsidR="008415E8" w:rsidRPr="008C5475" w:rsidP="008415E8">
            <w:pPr>
              <w:jc w:val="both"/>
              <w:rPr>
                <w:rFonts w:ascii="Times New Roman" w:hAnsi="Times New Roman" w:cs="Times New Roman"/>
                <w:i/>
                <w:sz w:val="20"/>
                <w:szCs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RPr="00304D6B" w:rsidP="008415E8">
            <w:pPr>
              <w:pStyle w:val="Heading2"/>
              <w:rPr>
                <w:rFonts w:ascii="Times New Roman" w:hAnsi="Times New Roman" w:cs="Times New Roman"/>
                <w:b w:val="0"/>
                <w:bCs/>
              </w:rPr>
            </w:pPr>
            <w:r w:rsidR="00C23D9C">
              <w:rPr>
                <w:rFonts w:ascii="Times New Roman" w:hAnsi="Times New Roman" w:cs="Times New Roman"/>
                <w:b w:val="0"/>
                <w:bCs/>
              </w:rPr>
              <w:t>n. a.</w:t>
            </w:r>
          </w:p>
        </w:tc>
        <w:tc>
          <w:tcPr>
            <w:tcW w:w="10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RPr="00304D6B" w:rsidP="008415E8">
            <w:pPr>
              <w:rPr>
                <w:rFonts w:ascii="Times New Roman" w:hAnsi="Times New Roman" w:cs="Times New Roman"/>
                <w:bCs/>
                <w:sz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rPr>
                <w:rFonts w:ascii="Times New Roman" w:hAnsi="Times New Roman" w:cs="Times New Roman"/>
                <w:sz w:val="20"/>
              </w:rPr>
            </w:pPr>
          </w:p>
        </w:tc>
        <w:tc>
          <w:tcPr>
            <w:tcW w:w="43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rPr>
                <w:rFonts w:ascii="Times New Roman" w:hAnsi="Times New Roman" w:cs="Times New Roman"/>
                <w:sz w:val="20"/>
              </w:rPr>
            </w:pPr>
          </w:p>
        </w:tc>
        <w:tc>
          <w:tcPr>
            <w:tcW w:w="58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15E8" w:rsidP="008415E8">
            <w:pPr>
              <w:rPr>
                <w:rFonts w:ascii="Times New Roman" w:hAnsi="Times New Roman" w:cs="Times New Roman"/>
                <w:sz w:val="20"/>
              </w:rPr>
            </w:pPr>
          </w:p>
        </w:tc>
      </w:tr>
    </w:tbl>
    <w:p w:rsidR="00C42577" w:rsidP="00AC19A3">
      <w:pPr>
        <w:rPr>
          <w:rFonts w:ascii="Times New Roman" w:hAnsi="Times New Roman" w:cs="Times New Roman"/>
        </w:rPr>
      </w:pPr>
    </w:p>
    <w:sectPr>
      <w:footerReference w:type="default" r:id="rId5"/>
      <w:footerReference w:type="first" r:id="rId6"/>
      <w:pgSz w:w="16838" w:h="11906" w:orient="landscape" w:code="9"/>
      <w:pgMar w:top="1418" w:right="964" w:bottom="1418" w:left="964"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altName w:val="Times New Roman"/>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Verdan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2AC" w:rsidRPr="0021157C" w:rsidP="008415E8">
    <w:pPr>
      <w:pStyle w:val="BodyText3"/>
      <w:framePr w:vAnchor="text" w:hAnchor="margin" w:xAlign="right" w:y="1"/>
      <w:rPr>
        <w:rFonts w:ascii="Times New Roman" w:hAnsi="Times New Roman" w:cs="Times New Roman"/>
        <w:b w:val="0"/>
        <w:i/>
        <w:iCs/>
      </w:rPr>
    </w:pPr>
    <w:r w:rsidRPr="0021157C">
      <w:rPr>
        <w:rFonts w:ascii="Times New Roman" w:hAnsi="Times New Roman" w:cs="Times New Roman"/>
        <w:b w:val="0"/>
        <w:i/>
        <w:iCs/>
      </w:rPr>
      <w:fldChar w:fldCharType="begin"/>
    </w:r>
    <w:r w:rsidRPr="0021157C">
      <w:rPr>
        <w:rFonts w:ascii="Times New Roman" w:hAnsi="Times New Roman" w:cs="Times New Roman"/>
        <w:b w:val="0"/>
        <w:i/>
        <w:iCs/>
      </w:rPr>
      <w:instrText xml:space="preserve">PAGE  </w:instrText>
    </w:r>
    <w:r w:rsidRPr="0021157C">
      <w:rPr>
        <w:rFonts w:ascii="Times New Roman" w:hAnsi="Times New Roman" w:cs="Times New Roman"/>
        <w:b w:val="0"/>
        <w:i/>
        <w:iCs/>
      </w:rPr>
      <w:fldChar w:fldCharType="separate"/>
    </w:r>
    <w:r w:rsidR="008D6377">
      <w:rPr>
        <w:rFonts w:ascii="Times New Roman" w:hAnsi="Times New Roman" w:cs="Times New Roman"/>
        <w:b w:val="0"/>
        <w:i/>
        <w:iCs/>
        <w:noProof/>
      </w:rPr>
      <w:t>3</w:t>
    </w:r>
    <w:r w:rsidRPr="0021157C">
      <w:rPr>
        <w:rFonts w:ascii="Times New Roman" w:hAnsi="Times New Roman" w:cs="Times New Roman"/>
        <w:b w:val="0"/>
        <w:i/>
        <w:iCs/>
      </w:rPr>
      <w:fldChar w:fldCharType="end"/>
    </w:r>
  </w:p>
  <w:p w:rsidR="009C52AC" w:rsidRPr="004B7652" w:rsidP="008415E8">
    <w:pPr>
      <w:pStyle w:val="BodyText3"/>
      <w:ind w:right="360"/>
      <w:rPr>
        <w:rFonts w:ascii="Times New Roman" w:hAnsi="Times New Roman" w:cs="Times New Roman"/>
        <w:b w:val="0"/>
        <w:bCs/>
        <w:i/>
        <w:iCs/>
      </w:rPr>
    </w:pPr>
    <w:r>
      <w:rPr>
        <w:rFonts w:ascii="Times New Roman" w:hAnsi="Times New Roman" w:cs="Times New Roman"/>
        <w:b w:val="0"/>
        <w:bCs/>
        <w:i/>
        <w:iCs/>
      </w:rPr>
      <w:t>7</w:t>
    </w:r>
    <w:r w:rsidRPr="004B7652">
      <w:rPr>
        <w:rFonts w:ascii="Times New Roman" w:hAnsi="Times New Roman" w:cs="Times New Roman"/>
        <w:b w:val="0"/>
        <w:bCs/>
        <w:i/>
        <w:iCs/>
      </w:rPr>
      <w:t>7/</w:t>
    </w:r>
    <w:r>
      <w:rPr>
        <w:rFonts w:ascii="Times New Roman" w:hAnsi="Times New Roman" w:cs="Times New Roman"/>
        <w:b w:val="0"/>
        <w:bCs/>
        <w:i/>
        <w:iCs/>
      </w:rPr>
      <w:t>4</w:t>
    </w:r>
    <w:r w:rsidRPr="004B7652">
      <w:rPr>
        <w:rFonts w:ascii="Times New Roman" w:hAnsi="Times New Roman" w:cs="Times New Roman"/>
        <w:b w:val="0"/>
        <w:bCs/>
        <w:i/>
        <w:iCs/>
      </w:rPr>
      <w:t>8</w:t>
    </w:r>
    <w:r>
      <w:rPr>
        <w:rFonts w:ascii="Times New Roman" w:hAnsi="Times New Roman" w:cs="Times New Roman"/>
        <w:b w:val="0"/>
        <w:bCs/>
        <w:i/>
        <w:iCs/>
      </w:rPr>
      <w:t>6</w:t>
    </w:r>
    <w:r w:rsidRPr="004B7652">
      <w:rPr>
        <w:rFonts w:ascii="Times New Roman" w:hAnsi="Times New Roman" w:cs="Times New Roman"/>
        <w:b w:val="0"/>
        <w:bCs/>
        <w:i/>
        <w:iCs/>
      </w:rPr>
      <w:t>/E</w:t>
    </w:r>
    <w:r>
      <w:rPr>
        <w:rFonts w:ascii="Times New Roman" w:hAnsi="Times New Roman" w:cs="Times New Roman"/>
        <w:b w:val="0"/>
        <w:bCs/>
        <w:i/>
        <w:iCs/>
      </w:rPr>
      <w:t>H</w:t>
    </w:r>
    <w:r w:rsidRPr="004B7652">
      <w:rPr>
        <w:rFonts w:ascii="Times New Roman" w:hAnsi="Times New Roman" w:cs="Times New Roman"/>
        <w:b w:val="0"/>
        <w:bCs/>
        <w:i/>
        <w:iCs/>
      </w:rPr>
      <w:t>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2AC" w:rsidRPr="004B7652" w:rsidP="008415E8">
    <w:pPr>
      <w:pStyle w:val="BodyText3"/>
      <w:ind w:right="360"/>
      <w:rPr>
        <w:rFonts w:ascii="Times New Roman" w:hAnsi="Times New Roman" w:cs="Times New Roman"/>
        <w:b w:val="0"/>
        <w:bCs/>
        <w:i/>
        <w:iCs/>
      </w:rPr>
    </w:pPr>
    <w:r>
      <w:rPr>
        <w:rFonts w:ascii="Times New Roman" w:hAnsi="Times New Roman" w:cs="Times New Roman"/>
        <w:b w:val="0"/>
        <w:bCs/>
        <w:i/>
        <w:iCs/>
      </w:rPr>
      <w:t>7</w:t>
    </w:r>
    <w:r w:rsidRPr="004B7652">
      <w:rPr>
        <w:rFonts w:ascii="Times New Roman" w:hAnsi="Times New Roman" w:cs="Times New Roman"/>
        <w:b w:val="0"/>
        <w:bCs/>
        <w:i/>
        <w:iCs/>
      </w:rPr>
      <w:t>7/</w:t>
    </w:r>
    <w:r>
      <w:rPr>
        <w:rFonts w:ascii="Times New Roman" w:hAnsi="Times New Roman" w:cs="Times New Roman"/>
        <w:b w:val="0"/>
        <w:bCs/>
        <w:i/>
        <w:iCs/>
      </w:rPr>
      <w:t>4</w:t>
    </w:r>
    <w:r w:rsidRPr="004B7652">
      <w:rPr>
        <w:rFonts w:ascii="Times New Roman" w:hAnsi="Times New Roman" w:cs="Times New Roman"/>
        <w:b w:val="0"/>
        <w:bCs/>
        <w:i/>
        <w:iCs/>
      </w:rPr>
      <w:t>8</w:t>
    </w:r>
    <w:r>
      <w:rPr>
        <w:rFonts w:ascii="Times New Roman" w:hAnsi="Times New Roman" w:cs="Times New Roman"/>
        <w:b w:val="0"/>
        <w:bCs/>
        <w:i/>
        <w:iCs/>
      </w:rPr>
      <w:t>6</w:t>
    </w:r>
    <w:r w:rsidRPr="004B7652">
      <w:rPr>
        <w:rFonts w:ascii="Times New Roman" w:hAnsi="Times New Roman" w:cs="Times New Roman"/>
        <w:b w:val="0"/>
        <w:bCs/>
        <w:i/>
        <w:iCs/>
      </w:rPr>
      <w:t>/E</w:t>
    </w:r>
    <w:r>
      <w:rPr>
        <w:rFonts w:ascii="Times New Roman" w:hAnsi="Times New Roman" w:cs="Times New Roman"/>
        <w:b w:val="0"/>
        <w:bCs/>
        <w:i/>
        <w:iCs/>
      </w:rPr>
      <w:t>H</w:t>
    </w:r>
    <w:r w:rsidRPr="004B7652">
      <w:rPr>
        <w:rFonts w:ascii="Times New Roman" w:hAnsi="Times New Roman" w:cs="Times New Roman"/>
        <w:b w:val="0"/>
        <w:bCs/>
        <w:i/>
        <w:iCs/>
      </w:rPr>
      <w:t>S</w:t>
    </w:r>
  </w:p>
  <w:p w:rsidR="009C52A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A23">
      <w:pPr>
        <w:rPr>
          <w:rFonts w:ascii="Times New Roman" w:hAnsi="Times New Roman" w:cs="Times New Roman"/>
        </w:rPr>
      </w:pPr>
      <w:r>
        <w:rPr>
          <w:rFonts w:ascii="Times New Roman" w:hAnsi="Times New Roman" w:cs="Times New Roman"/>
        </w:rPr>
        <w:separator/>
      </w:r>
    </w:p>
  </w:footnote>
  <w:footnote w:type="continuationSeparator" w:id="1">
    <w:p w:rsidR="00156A23">
      <w:pPr>
        <w:rPr>
          <w:rFonts w:ascii="Times New Roman" w:hAnsi="Times New Roman" w:cs="Times New Roman"/>
        </w:rPr>
      </w:pPr>
      <w:r>
        <w:rPr>
          <w:rFonts w:ascii="Times New Roman" w:hAnsi="Times New Roman" w:cs="Times New Roman"/>
        </w:rPr>
        <w:continuationSeparator/>
      </w:r>
    </w:p>
  </w:footnote>
  <w:footnote w:id="2">
    <w:p w:rsidP="00E076C3">
      <w:pPr>
        <w:pStyle w:val="FootnoteText"/>
        <w:rPr>
          <w:rFonts w:ascii="Times New Roman" w:hAnsi="Times New Roman" w:cs="Times New Roman"/>
        </w:rPr>
      </w:pPr>
      <w:r w:rsidR="009C52AC">
        <w:rPr>
          <w:rStyle w:val="FootnoteReference"/>
          <w:rFonts w:cs="Times New Roman"/>
        </w:rPr>
        <w:footnoteRef/>
      </w:r>
      <w:r w:rsidR="009C52AC">
        <w:rPr>
          <w:rFonts w:ascii="Times New Roman" w:hAnsi="Times New Roman" w:cs="Times New Roman"/>
        </w:rPr>
        <w:t xml:space="preserve"> ) Zákon č. 480/2002 Z. z. o azyle a o zmene a doplnení niektorých zákonov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03640E"/>
    <w:multiLevelType w:val="multilevel"/>
    <w:tmpl w:val="78F6FA48"/>
    <w:lvl w:ilvl="0">
      <w:start w:val="1"/>
      <w:numFmt w:val="decimal"/>
      <w:pStyle w:val="odsek"/>
      <w:lvlText w:val="(%1)"/>
      <w:lvlJc w:val="left"/>
      <w:pPr>
        <w:tabs>
          <w:tab w:val="num" w:pos="360"/>
        </w:tabs>
        <w:ind w:left="0" w:firstLine="0"/>
      </w:pPr>
      <w:rPr>
        <w:strike w:val="0"/>
      </w:rPr>
    </w:lvl>
    <w:lvl w:ilvl="1">
      <w:start w:val="1"/>
      <w:numFmt w:val="decimal"/>
      <w:pStyle w:val="odsek"/>
      <w:lvlText w:val="(%2)"/>
      <w:lvlJc w:val="left"/>
      <w:pPr>
        <w:tabs>
          <w:tab w:val="num" w:pos="363"/>
        </w:tabs>
        <w:ind w:left="0" w:firstLine="0"/>
      </w:pPr>
      <w:rPr>
        <w:i w:val="0"/>
        <w:color w:val="auto"/>
        <w:rtl w:val="0"/>
      </w:rPr>
    </w:lvl>
    <w:lvl w:ilvl="2">
      <w:start w:val="1"/>
      <w:numFmt w:val="lowerLetter"/>
      <w:lvlText w:val="%3)"/>
      <w:lvlJc w:val="left"/>
      <w:pPr>
        <w:tabs>
          <w:tab w:val="num" w:pos="720"/>
        </w:tabs>
        <w:ind w:left="720" w:hanging="357"/>
      </w:pPr>
    </w:lvl>
    <w:lvl w:ilvl="3">
      <w:start w:val="1"/>
      <w:numFmt w:val="decimal"/>
      <w:lvlText w:val="%4."/>
      <w:lvlJc w:val="left"/>
      <w:pPr>
        <w:tabs>
          <w:tab w:val="num" w:pos="1077"/>
        </w:tabs>
        <w:ind w:left="1077" w:hanging="357"/>
      </w:pPr>
    </w:lvl>
    <w:lvl w:ilvl="4">
      <w:start w:val="1"/>
      <w:numFmt w:val="lowerLetter"/>
      <w:lvlText w:val="(%5)"/>
      <w:lvlJc w:val="left"/>
      <w:pPr>
        <w:tabs>
          <w:tab w:val="num" w:pos="1443"/>
        </w:tabs>
        <w:ind w:left="1443" w:hanging="360"/>
      </w:pPr>
    </w:lvl>
    <w:lvl w:ilvl="5">
      <w:start w:val="1"/>
      <w:numFmt w:val="lowerRoman"/>
      <w:lvlText w:val="(%6)"/>
      <w:lvlJc w:val="left"/>
      <w:pPr>
        <w:tabs>
          <w:tab w:val="num" w:pos="1803"/>
        </w:tabs>
        <w:ind w:left="1803" w:hanging="360"/>
      </w:pPr>
    </w:lvl>
    <w:lvl w:ilvl="6">
      <w:start w:val="1"/>
      <w:numFmt w:val="decimal"/>
      <w:lvlText w:val="%7."/>
      <w:lvlJc w:val="left"/>
      <w:pPr>
        <w:tabs>
          <w:tab w:val="num" w:pos="2163"/>
        </w:tabs>
        <w:ind w:left="2163" w:hanging="360"/>
      </w:pPr>
    </w:lvl>
    <w:lvl w:ilvl="7">
      <w:start w:val="1"/>
      <w:numFmt w:val="lowerLetter"/>
      <w:lvlText w:val="%8."/>
      <w:lvlJc w:val="left"/>
      <w:pPr>
        <w:tabs>
          <w:tab w:val="num" w:pos="2523"/>
        </w:tabs>
        <w:ind w:left="2523" w:hanging="360"/>
      </w:pPr>
    </w:lvl>
    <w:lvl w:ilvl="8">
      <w:start w:val="1"/>
      <w:numFmt w:val="lowerRoman"/>
      <w:lvlText w:val="%9."/>
      <w:lvlJc w:val="left"/>
      <w:pPr>
        <w:tabs>
          <w:tab w:val="num" w:pos="2883"/>
        </w:tabs>
        <w:ind w:left="2883"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000000"/>
    <w:rsid w:val="000D6F0E"/>
    <w:rsid w:val="00152D46"/>
    <w:rsid w:val="0021157C"/>
    <w:rsid w:val="00304D6B"/>
    <w:rsid w:val="00327080"/>
    <w:rsid w:val="003555F9"/>
    <w:rsid w:val="004B7652"/>
    <w:rsid w:val="004D4ACE"/>
    <w:rsid w:val="005A07D6"/>
    <w:rsid w:val="0063596C"/>
    <w:rsid w:val="00647CCC"/>
    <w:rsid w:val="00666179"/>
    <w:rsid w:val="006D5F95"/>
    <w:rsid w:val="0079672C"/>
    <w:rsid w:val="008415E8"/>
    <w:rsid w:val="008C5475"/>
    <w:rsid w:val="008D6377"/>
    <w:rsid w:val="00953B1B"/>
    <w:rsid w:val="009C52AC"/>
    <w:rsid w:val="009E2DCB"/>
    <w:rsid w:val="009F0C05"/>
    <w:rsid w:val="00A401E0"/>
    <w:rsid w:val="00A56FDA"/>
    <w:rsid w:val="00AC19A3"/>
    <w:rsid w:val="00AE5EB4"/>
    <w:rsid w:val="00C23D9C"/>
    <w:rsid w:val="00C42577"/>
    <w:rsid w:val="00CD5FF3"/>
    <w:rsid w:val="00DE5ABE"/>
    <w:rsid w:val="00E076C3"/>
    <w:rsid w:val="00F12382"/>
    <w:rsid w:val="00FD33B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5E8"/>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8415E8"/>
    <w:pPr>
      <w:keepNext/>
      <w:jc w:val="center"/>
      <w:outlineLvl w:val="0"/>
    </w:pPr>
    <w:rPr>
      <w:bCs/>
      <w:i/>
      <w:sz w:val="20"/>
    </w:rPr>
  </w:style>
  <w:style w:type="paragraph" w:styleId="Heading2">
    <w:name w:val="heading 2"/>
    <w:basedOn w:val="Normal"/>
    <w:next w:val="Normal"/>
    <w:qFormat/>
    <w:rsid w:val="008415E8"/>
    <w:pPr>
      <w:keepNext/>
      <w:jc w:val="center"/>
      <w:outlineLvl w:val="1"/>
    </w:pPr>
    <w:rPr>
      <w:b/>
      <w:iCs/>
      <w:sz w:val="20"/>
    </w:rPr>
  </w:style>
  <w:style w:type="paragraph" w:styleId="Heading3">
    <w:name w:val="heading 3"/>
    <w:basedOn w:val="Normal"/>
    <w:next w:val="Normal"/>
    <w:qFormat/>
    <w:rsid w:val="008415E8"/>
    <w:pPr>
      <w:keepNext/>
      <w:jc w:val="left"/>
      <w:outlineLvl w:val="2"/>
    </w:pPr>
    <w:rPr>
      <w:b/>
      <w:sz w:val="18"/>
      <w:szCs w:val="20"/>
      <w:lang w:val="cs-CZ"/>
    </w:rPr>
  </w:style>
  <w:style w:type="paragraph" w:styleId="Heading4">
    <w:name w:val="heading 4"/>
    <w:basedOn w:val="Normal"/>
    <w:next w:val="Normal"/>
    <w:qFormat/>
    <w:rsid w:val="008415E8"/>
    <w:pPr>
      <w:keepNext/>
      <w:jc w:val="center"/>
      <w:outlineLvl w:val="3"/>
    </w:pPr>
    <w:rPr>
      <w:b/>
      <w:sz w:val="18"/>
      <w:szCs w:val="20"/>
      <w:lang w:val="cs-CZ"/>
    </w:rPr>
  </w:style>
  <w:style w:type="paragraph" w:styleId="Heading7">
    <w:name w:val="heading 7"/>
    <w:basedOn w:val="Normal"/>
    <w:next w:val="Normal"/>
    <w:qFormat/>
    <w:rsid w:val="008415E8"/>
    <w:pPr>
      <w:keepNext/>
      <w:jc w:val="center"/>
      <w:outlineLvl w:val="6"/>
    </w:pPr>
    <w:rPr>
      <w:b/>
      <w:i/>
      <w:sz w:val="20"/>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rsid w:val="008415E8"/>
    <w:pPr>
      <w:jc w:val="left"/>
    </w:pPr>
    <w:rPr>
      <w:sz w:val="20"/>
      <w:szCs w:val="20"/>
    </w:rPr>
  </w:style>
  <w:style w:type="paragraph" w:styleId="Header">
    <w:name w:val="header"/>
    <w:basedOn w:val="Normal"/>
    <w:rsid w:val="008415E8"/>
    <w:pPr>
      <w:tabs>
        <w:tab w:val="center" w:pos="4536"/>
        <w:tab w:val="right" w:pos="9072"/>
      </w:tabs>
      <w:jc w:val="left"/>
    </w:pPr>
    <w:rPr>
      <w:szCs w:val="20"/>
    </w:rPr>
  </w:style>
  <w:style w:type="paragraph" w:styleId="BodyText2">
    <w:name w:val="Body Text 2"/>
    <w:basedOn w:val="Normal"/>
    <w:rsid w:val="008415E8"/>
    <w:pPr>
      <w:jc w:val="both"/>
    </w:pPr>
    <w:rPr>
      <w:b/>
      <w:sz w:val="22"/>
    </w:rPr>
  </w:style>
  <w:style w:type="paragraph" w:styleId="Footer">
    <w:name w:val="footer"/>
    <w:basedOn w:val="Normal"/>
    <w:rsid w:val="008415E8"/>
    <w:pPr>
      <w:tabs>
        <w:tab w:val="center" w:pos="4536"/>
        <w:tab w:val="right" w:pos="9072"/>
      </w:tabs>
      <w:jc w:val="left"/>
    </w:pPr>
    <w:rPr>
      <w:i/>
      <w:szCs w:val="20"/>
      <w:lang w:val="cs-CZ"/>
    </w:rPr>
  </w:style>
  <w:style w:type="paragraph" w:styleId="BodyText3">
    <w:name w:val="Body Text 3"/>
    <w:basedOn w:val="Normal"/>
    <w:rsid w:val="008415E8"/>
    <w:pPr>
      <w:jc w:val="left"/>
    </w:pPr>
    <w:rPr>
      <w:b/>
      <w:sz w:val="20"/>
      <w:szCs w:val="20"/>
    </w:rPr>
  </w:style>
  <w:style w:type="paragraph" w:styleId="FootnoteText">
    <w:name w:val="footnote text"/>
    <w:basedOn w:val="Normal"/>
    <w:semiHidden/>
    <w:rsid w:val="008415E8"/>
    <w:pPr>
      <w:overflowPunct w:val="0"/>
      <w:autoSpaceDE/>
      <w:autoSpaceDN/>
      <w:jc w:val="left"/>
      <w:textAlignment w:val="baseline"/>
    </w:pPr>
    <w:rPr>
      <w:sz w:val="20"/>
      <w:szCs w:val="20"/>
    </w:rPr>
  </w:style>
  <w:style w:type="paragraph" w:styleId="BodyTextIndent">
    <w:name w:val="Body Text Indent"/>
    <w:basedOn w:val="Normal"/>
    <w:rsid w:val="008415E8"/>
    <w:pPr>
      <w:ind w:left="284" w:hanging="284"/>
      <w:jc w:val="both"/>
    </w:pPr>
    <w:rPr>
      <w:iCs/>
      <w:sz w:val="18"/>
      <w:lang w:val="en-GB"/>
    </w:rPr>
  </w:style>
  <w:style w:type="paragraph" w:customStyle="1" w:styleId="NormlnsWWW">
    <w:name w:val="Normální (síť WWW)"/>
    <w:basedOn w:val="Normal"/>
    <w:rsid w:val="008415E8"/>
    <w:pPr>
      <w:spacing w:before="100" w:after="100"/>
      <w:jc w:val="left"/>
    </w:pPr>
    <w:rPr>
      <w:rFonts w:ascii="Verdana" w:hAnsi="Verdana"/>
      <w:sz w:val="15"/>
      <w:szCs w:val="15"/>
      <w:lang w:val="cs-CZ"/>
    </w:rPr>
  </w:style>
  <w:style w:type="paragraph" w:styleId="BodyTextFirstIndent">
    <w:name w:val="Body Text First Indent"/>
    <w:basedOn w:val="BodyText"/>
    <w:rsid w:val="00A401E0"/>
    <w:pPr>
      <w:spacing w:after="120"/>
      <w:ind w:firstLine="210"/>
      <w:jc w:val="left"/>
    </w:pPr>
    <w:rPr>
      <w:sz w:val="24"/>
      <w:szCs w:val="24"/>
    </w:rPr>
  </w:style>
  <w:style w:type="character" w:styleId="FootnoteReference">
    <w:name w:val="footnote reference"/>
    <w:basedOn w:val="DefaultParagraphFont"/>
    <w:semiHidden/>
    <w:rsid w:val="00E076C3"/>
    <w:rPr>
      <w:rFonts w:ascii="Arial" w:hAnsi="Arial"/>
      <w:sz w:val="20"/>
      <w:vertAlign w:val="superscript"/>
      <w:rtl w:val="0"/>
    </w:rPr>
  </w:style>
  <w:style w:type="paragraph" w:customStyle="1" w:styleId="odsek">
    <w:name w:val="odsek"/>
    <w:basedOn w:val="Normal"/>
    <w:link w:val="odsekChar"/>
    <w:rsid w:val="003555F9"/>
    <w:pPr>
      <w:numPr>
        <w:ilvl w:val="1"/>
        <w:numId w:val="1"/>
      </w:numPr>
      <w:tabs>
        <w:tab w:val="left" w:pos="363"/>
        <w:tab w:val="left" w:pos="510"/>
      </w:tabs>
      <w:spacing w:after="120" w:line="360" w:lineRule="auto"/>
      <w:ind w:firstLine="0"/>
      <w:jc w:val="both"/>
    </w:pPr>
    <w:rPr>
      <w:color w:val="000000"/>
    </w:rPr>
  </w:style>
  <w:style w:type="character" w:customStyle="1" w:styleId="odsekChar">
    <w:name w:val="odsek Char"/>
    <w:basedOn w:val="DefaultParagraphFont"/>
    <w:link w:val="odsek"/>
    <w:rsid w:val="003555F9"/>
    <w:rPr>
      <w:color w:val="000000"/>
      <w:sz w:val="24"/>
      <w:szCs w:val="24"/>
      <w:rtl w:val="0"/>
      <w:lang w:val="sk-SK" w:bidi="ar-SA"/>
    </w:rPr>
  </w:style>
  <w:style w:type="paragraph" w:styleId="BalloonText">
    <w:name w:val="Balloon Text"/>
    <w:basedOn w:val="Normal"/>
    <w:semiHidden/>
    <w:rsid w:val="00F12382"/>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1</Pages>
  <Words>517</Words>
  <Characters>2952</Characters>
  <Application>Microsoft Office Word</Application>
  <DocSecurity>0</DocSecurity>
  <Lines>0</Lines>
  <Paragraphs>0</Paragraphs>
  <ScaleCrop>false</ScaleCrop>
  <Company>Bratislava, SK</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Michal Gašparovič</dc:creator>
  <cp:lastModifiedBy>Katarína Palaťková</cp:lastModifiedBy>
  <cp:revision>4</cp:revision>
  <cp:lastPrinted>2008-02-12T12:06:00Z</cp:lastPrinted>
  <dcterms:created xsi:type="dcterms:W3CDTF">2008-02-14T08:50:00Z</dcterms:created>
  <dcterms:modified xsi:type="dcterms:W3CDTF">2008-03-06T11:29:00Z</dcterms:modified>
</cp:coreProperties>
</file>