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Odôvodnenie</w:t>
      </w:r>
    </w:p>
    <w:p>
      <w:pPr>
        <w:jc w:val="cente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r>
        <w:rPr>
          <w:rFonts w:ascii="Times New Roman" w:hAnsi="Times New Roman" w:cs="Times New Roman"/>
          <w:b/>
          <w:bCs/>
        </w:rPr>
        <w:t xml:space="preserve">Všeobecná časť </w:t>
      </w:r>
    </w:p>
    <w:p>
      <w:pPr>
        <w:rPr>
          <w:rFonts w:ascii="Times New Roman" w:hAnsi="Times New Roman" w:cs="Times New Roman"/>
          <w:b/>
          <w:bCs/>
        </w:rPr>
      </w:pPr>
    </w:p>
    <w:p>
      <w:pPr>
        <w:rPr>
          <w:rFonts w:ascii="Times New Roman" w:hAnsi="Times New Roman" w:cs="Times New Roman"/>
          <w:b/>
          <w:bCs/>
        </w:rPr>
      </w:pPr>
    </w:p>
    <w:p>
      <w:pPr>
        <w:pStyle w:val="BodyText"/>
        <w:rPr>
          <w:rFonts w:ascii="Times New Roman" w:hAnsi="Times New Roman" w:cs="Times New Roman"/>
        </w:rPr>
      </w:pPr>
      <w:r>
        <w:rPr>
          <w:rFonts w:ascii="Times New Roman" w:hAnsi="Times New Roman" w:cs="Times New Roman"/>
        </w:rPr>
        <w:tab/>
        <w:t xml:space="preserve">V Európskom spoločenstve sa v súčasnosti nedostatočne využíva potenciál pre využívanie kombinovanej výroby tepla ako súčasť úspor primárnych energií. Podpora vysoko účinnej kombinovanej výroby elektriny a tepla založenej na dopyte po využiteľnom teple je prioritou celého spoločenstva, vrátane Slovenskej republiky.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Zákon o podpore kombinovanej výroby založenej na dopyte po využiteľnom teple na vnútornom trhu s energiou a o zmene a doplnení niektorých zákonov vo svojom ustanovení   § 6 ods. 3 splnomocňuje Ministerstvo hospodárstva SR vydať vykonávací predpis, ktorý upraví kritériá pre vysoko účinnú kombinovanú výrobu spolu so spôsobmi výpočtu množstva elektriny, úspor primárnej energie, určenia účinnosti kombinovanej výroby, hraničných a harmonizovaných referenčných hodnôt.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Vyhláška nebude mať dopad na štátny rozpočet, ani na rozpočet vyšších územných celkov a obcí, na rozpočet sociálnej a zdravotnej poisťovne, nebude mať negatívny vplyv na podnikateľské prostredie a bude mať pozitívny dopad na ochranu životného prostredia a zdravia obyvateľstva tým, že primárne predovšetkým fosílne zdroje sa obmedzia.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Vyhláška je v súlade so zákonom a so súvisiacimi zákonmi, ako aj s Ústavou SR a medzinárodnými zmluvami, ktorými je Slov</w:t>
      </w:r>
      <w:r>
        <w:rPr>
          <w:rFonts w:ascii="Times New Roman" w:hAnsi="Times New Roman" w:cs="Times New Roman"/>
        </w:rPr>
        <w:t>enská republika viazaná.</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Osobitná časť</w:t>
      </w: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rPr>
        <w:t xml:space="preserve">K § 1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Ustanovuje predmet úpravy.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Základné pojmy, ktoré zo smernice 2004/8/EHS neboli prevzaté z dôvodu ich nepoužívania v zákone, sa pre účely tejto vyhlášky zapracovali do tohto ustanovenia.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Nie každá kombinovaná výroba spĺňa podmienky vysoko účinnej kombinovanej výroby. Vysoko účinná kombinovaná výroba musí spĺňať kritériá uvedené v písmene b), a to že úspora primárnej energie je najmenej 10 % v porovnaní s referenčnými hodnotami účinnosti samostatnej výroby tepla a samostatnej výroby elektriny.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 4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Spôsob výpočtu množstva elektriny vyrobenej kombinovanou výrobou je upravený na rôznych zariadeniach, vrátane protitlakovej parnej turbíny, spaľovacej turbíny s regeneráciou tepla, spaľovacieho motora, mikroturbíny, Stirlingovho motora a palivových článkov. Tieto zariadenia musia dosiahnuť celkovú ročnú účinnosť najmenej 75 %. Spaľovacia turbína s kombinovaným cyklom a s regeneráciou tepla a kondenzačná parná turbína s odberom tepla musia dosiahnuť celkovú ročnú účinnosť najmenej 80 %. </w:t>
      </w:r>
    </w:p>
    <w:p>
      <w:pPr>
        <w:jc w:val="both"/>
        <w:rPr>
          <w:rFonts w:ascii="Times New Roman" w:hAnsi="Times New Roman" w:cs="Times New Roman"/>
        </w:rPr>
      </w:pPr>
      <w:r>
        <w:rPr>
          <w:rFonts w:ascii="Times New Roman" w:hAnsi="Times New Roman" w:cs="Times New Roman"/>
        </w:rPr>
        <w:tab/>
        <w:t xml:space="preserve">Spôsob výpočtu je určený matematickým vzorcom.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Spôsob výpočtu úspor primárnej energie a určenie účinnosti kombinovanej výroby sa vypočíta podľa matematického vzorca uvedeného v samotnom ustanovení.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Harmonizované referenčné hodnoty pre výpočet účinnosti kombinovanej výroby a pre výpočet úspor primárnej energie pri kombinovanej výrobe sú dané prílohami smernice 2004/8/EHS, s výnimkou referenčných hodnôt účinnosti zariadení na kombinovanú výrobu starších ako 10 rokov, kde smernica ponecháva na individuálnu úpravu jednotlivých krajín. Slovenská republika upravila túto problematiku tak, že tieto sa určia ako referenčné hodnoty 10-ročných zariadení. Referenčné hodnoty sú neoddeliteľnou súčasťou vyhlášky ako príloha č. 1 až 3, korekčné faktory v závislosti od napäťovej úrovne bodu pripojenia k verejnej elektrickej sieti sú uvedené v prílohe č. 4.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Vyhláška s ohľadom na náročnosť legislatívneho procesu nadobudne účinnosť           1. januára 2008. </w:t>
      </w:r>
    </w:p>
    <w:p>
      <w:pPr>
        <w:jc w:val="both"/>
        <w:rPr>
          <w:rFonts w:ascii="Times New Roman" w:hAnsi="Times New Roman" w:cs="Times New Roman"/>
        </w:rPr>
      </w:pPr>
    </w:p>
    <w:p>
      <w:pPr>
        <w:jc w:val="both"/>
        <w:rPr>
          <w:rFonts w:ascii="Times New Roman" w:hAnsi="Times New Roman" w:cs="Times New Roman"/>
        </w:rPr>
      </w:pPr>
    </w:p>
    <w:sectPr>
      <w:pgSz w:w="11906" w:h="16838"/>
      <w:pgMar w:top="1247"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tyle>
  <w:style w:type="paragraph" w:styleId="Title">
    <w:name w:val="Title"/>
    <w:basedOn w:val="Normal"/>
    <w:uiPriority w:val="10"/>
    <w:qFormat/>
    <w:pPr>
      <w:jc w:val="center"/>
    </w:pPr>
    <w:rPr>
      <w:b/>
      <w:bCs/>
    </w:rPr>
  </w:style>
  <w:style w:type="paragraph" w:styleId="BodyText">
    <w:name w:val="Body Text"/>
    <w:basedOn w:val="Normal"/>
    <w:pPr>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1</Pages>
  <Words>482</Words>
  <Characters>2752</Characters>
  <Application>Microsoft Office Word</Application>
  <DocSecurity>0</DocSecurity>
  <Lines>0</Lines>
  <Paragraphs>0</Paragraphs>
  <ScaleCrop>false</ScaleCrop>
  <Company>MH SR</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creator>Talapkova</dc:creator>
  <cp:lastModifiedBy>Talapkova</cp:lastModifiedBy>
  <cp:revision>26</cp:revision>
  <cp:lastPrinted>2007-09-11T08:23:00Z</cp:lastPrinted>
  <dcterms:created xsi:type="dcterms:W3CDTF">2007-06-08T12:04:00Z</dcterms:created>
  <dcterms:modified xsi:type="dcterms:W3CDTF">2007-09-11T08:23:00Z</dcterms:modified>
</cp:coreProperties>
</file>