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2A35" w:rsidP="00882A35">
      <w:pPr>
        <w:pStyle w:val="BodyText3"/>
        <w:spacing w:after="0"/>
        <w:jc w:val="center"/>
        <w:rPr>
          <w:rFonts w:ascii="Arial Narrow" w:hAnsi="Arial Narrow" w:cs="Arial"/>
          <w:b/>
          <w:sz w:val="26"/>
          <w:szCs w:val="20"/>
        </w:rPr>
      </w:pPr>
      <w:r>
        <w:rPr>
          <w:rFonts w:ascii="Arial Narrow" w:hAnsi="Arial Narrow" w:cs="Arial"/>
          <w:b/>
          <w:sz w:val="26"/>
          <w:szCs w:val="20"/>
        </w:rPr>
        <w:t>Doložka finančných, ekonomických,</w:t>
      </w:r>
    </w:p>
    <w:p w:rsidR="00882A35" w:rsidP="00882A35">
      <w:pPr>
        <w:pStyle w:val="BodyText3"/>
        <w:spacing w:after="0"/>
        <w:jc w:val="center"/>
        <w:rPr>
          <w:rFonts w:ascii="Arial Narrow" w:hAnsi="Arial Narrow" w:cs="Arial"/>
          <w:b/>
          <w:sz w:val="22"/>
          <w:szCs w:val="20"/>
        </w:rPr>
      </w:pPr>
      <w:r>
        <w:rPr>
          <w:rFonts w:ascii="Arial Narrow" w:hAnsi="Arial Narrow" w:cs="Arial"/>
          <w:b/>
          <w:sz w:val="26"/>
          <w:szCs w:val="20"/>
        </w:rPr>
        <w:t>environmentálnych vplyvov, vplyvov na zamestnanosť a podnikateľské prostredie</w:t>
      </w:r>
    </w:p>
    <w:p w:rsidR="00882A35" w:rsidP="00882A35">
      <w:pPr>
        <w:pStyle w:val="BodyText3"/>
        <w:spacing w:after="0"/>
        <w:jc w:val="both"/>
        <w:rPr>
          <w:rFonts w:ascii="Arial Narrow" w:hAnsi="Arial Narrow" w:cs="Arial"/>
          <w:b/>
          <w:bCs/>
          <w:sz w:val="22"/>
          <w:u w:val="single"/>
        </w:rPr>
      </w:pPr>
      <w:r>
        <w:rPr>
          <w:rFonts w:ascii="Arial Narrow" w:hAnsi="Arial Narrow" w:cs="Arial"/>
          <w:b/>
          <w:bCs/>
          <w:sz w:val="22"/>
        </w:rPr>
        <w:t> </w:t>
      </w:r>
      <w:r>
        <w:rPr>
          <w:rFonts w:ascii="Arial Narrow" w:hAnsi="Arial Narrow" w:cs="Arial"/>
          <w:b/>
          <w:bCs/>
          <w:noProof/>
          <w:sz w:val="20"/>
          <w:u w:val="single"/>
        </w:rPr>
        <w:pict>
          <v:line id="_x0000_s1025" style="position:absolute;z-index:251658240" from="5.15pt,4.35pt" to="491.15pt,4.35pt" stroked="t" strokeweight="1.5pt"/>
        </w:pict>
      </w:r>
    </w:p>
    <w:p w:rsidR="00882A35" w:rsidP="00882A35">
      <w:pPr>
        <w:pStyle w:val="BodyText3"/>
        <w:spacing w:after="0"/>
        <w:jc w:val="both"/>
        <w:rPr>
          <w:rFonts w:ascii="Arial Narrow" w:hAnsi="Arial Narrow" w:cs="Arial"/>
          <w:bCs/>
          <w:sz w:val="22"/>
          <w:u w:val="single"/>
        </w:rPr>
      </w:pPr>
    </w:p>
    <w:p w:rsidR="00882A35" w:rsidP="00882A35">
      <w:pPr>
        <w:pStyle w:val="BodyText3"/>
        <w:spacing w:after="0"/>
        <w:jc w:val="both"/>
        <w:rPr>
          <w:rFonts w:ascii="Arial Narrow" w:hAnsi="Arial Narrow" w:cs="Arial"/>
          <w:bCs/>
          <w:sz w:val="22"/>
          <w:u w:val="single"/>
        </w:rPr>
      </w:pPr>
    </w:p>
    <w:p w:rsidR="00882A35" w:rsidP="00882A35">
      <w:pPr>
        <w:pStyle w:val="BodyText3"/>
        <w:numPr>
          <w:ilvl w:val="0"/>
          <w:numId w:val="1"/>
        </w:numPr>
        <w:tabs>
          <w:tab w:val="left" w:pos="720"/>
          <w:tab w:val="clear" w:pos="1080"/>
        </w:tabs>
        <w:spacing w:after="0"/>
        <w:jc w:val="both"/>
        <w:rPr>
          <w:rFonts w:ascii="Arial Narrow" w:hAnsi="Arial Narrow" w:cs="Arial"/>
          <w:b/>
          <w:sz w:val="22"/>
          <w:u w:val="single"/>
        </w:rPr>
      </w:pPr>
      <w:r>
        <w:rPr>
          <w:rFonts w:ascii="Arial Narrow" w:hAnsi="Arial Narrow" w:cs="Arial"/>
          <w:b/>
          <w:sz w:val="22"/>
          <w:u w:val="single"/>
        </w:rPr>
        <w:t>Odhad dopadov na štátny rozpočet a verejné financie (podľa metodiky ESA 95)</w:t>
      </w:r>
    </w:p>
    <w:p w:rsidR="00882A35" w:rsidP="00882A35">
      <w:pPr>
        <w:pStyle w:val="BodyText3"/>
        <w:spacing w:after="0"/>
        <w:jc w:val="both"/>
        <w:rPr>
          <w:rFonts w:ascii="Arial Narrow" w:hAnsi="Arial Narrow" w:cs="Arial"/>
          <w:sz w:val="22"/>
          <w:u w:val="single"/>
        </w:rPr>
      </w:pPr>
    </w:p>
    <w:p w:rsidR="00882A35" w:rsidP="00882A35">
      <w:pPr>
        <w:pStyle w:val="BodyText3"/>
        <w:spacing w:after="0"/>
        <w:ind w:left="360" w:firstLine="180"/>
        <w:jc w:val="both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 xml:space="preserve">      Navrhovanou novelou zákona o dani z príjmov sa nepredpokladá negatívny dopad na štátny rozpočet.  Úpravou § 20 ods. 4 zákona o dani z príjmov, ktorou sa limituje tvorba opravných položiek bánk sa predpokladá dodatočný výnos dane z príjmov právnických osôb v rokoch 2008 a 2009  každoročne vo výške 552 mil. Sk.</w:t>
      </w:r>
    </w:p>
    <w:p w:rsidR="00882A35" w:rsidP="00882A35">
      <w:pPr>
        <w:pStyle w:val="BodyText3"/>
        <w:spacing w:after="0"/>
        <w:ind w:left="360" w:firstLine="180"/>
        <w:jc w:val="both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ab/>
        <w:t>Zmenou § 20 ods. 14 zákona o dani z príjmov, ktorou sa mení limit výšky tvorby opravných položiek k pohľadávkam uznaný do daňových výdavkov sa predpokladá dodatočný výnos dane z príjmov právnických osôb v rokoch 2008 a 2009 každoročne vo výške 1 322 mil. S</w:t>
      </w:r>
      <w:r>
        <w:rPr>
          <w:rFonts w:ascii="Arial Narrow" w:hAnsi="Arial Narrow" w:cs="Arial"/>
          <w:bCs/>
          <w:sz w:val="22"/>
        </w:rPr>
        <w:t>k.</w:t>
      </w:r>
    </w:p>
    <w:p w:rsidR="00882A35" w:rsidP="00882A35">
      <w:pPr>
        <w:pStyle w:val="BodyText3"/>
        <w:spacing w:after="0"/>
        <w:ind w:left="360" w:firstLine="180"/>
        <w:jc w:val="both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ab/>
        <w:t xml:space="preserve">Doplnením § 17 ods. 29 zákona o dani z príjmov, ktorým sa zabezpečuje, aby dlžník </w:t>
      </w:r>
      <w:r w:rsidRPr="00BF703C">
        <w:rPr>
          <w:rFonts w:ascii="Arial Narrow" w:hAnsi="Arial Narrow" w:cs="Times New Roman"/>
          <w:sz w:val="22"/>
          <w:szCs w:val="22"/>
        </w:rPr>
        <w:t xml:space="preserve">účtujúci v sústave podvojného účtovníctva </w:t>
      </w:r>
      <w:r>
        <w:rPr>
          <w:rFonts w:ascii="Arial Narrow" w:hAnsi="Arial Narrow" w:cs="Times New Roman"/>
          <w:sz w:val="22"/>
          <w:szCs w:val="22"/>
        </w:rPr>
        <w:t xml:space="preserve">zvýšil základ dane o </w:t>
      </w:r>
      <w:r w:rsidRPr="00BF703C">
        <w:rPr>
          <w:rFonts w:ascii="Arial Narrow" w:hAnsi="Arial Narrow" w:cs="Times New Roman"/>
          <w:sz w:val="22"/>
          <w:szCs w:val="22"/>
        </w:rPr>
        <w:t xml:space="preserve">sumu </w:t>
      </w:r>
      <w:r>
        <w:rPr>
          <w:rFonts w:ascii="Arial Narrow" w:hAnsi="Arial Narrow" w:cs="Times New Roman"/>
          <w:sz w:val="22"/>
          <w:szCs w:val="22"/>
        </w:rPr>
        <w:t xml:space="preserve">neuhradeného </w:t>
      </w:r>
      <w:r w:rsidRPr="00BF703C">
        <w:rPr>
          <w:rFonts w:ascii="Arial Narrow" w:hAnsi="Arial Narrow" w:cs="Times New Roman"/>
          <w:sz w:val="22"/>
          <w:szCs w:val="22"/>
        </w:rPr>
        <w:t xml:space="preserve">záväzku, </w:t>
      </w:r>
      <w:r>
        <w:rPr>
          <w:rFonts w:ascii="Arial Narrow" w:hAnsi="Arial Narrow" w:cs="Times New Roman"/>
          <w:sz w:val="22"/>
          <w:szCs w:val="22"/>
        </w:rPr>
        <w:t xml:space="preserve">a to v tom zdaňovacom období, v ktorom uplynulo 24 mesiacov od splatnosti tohto </w:t>
      </w:r>
      <w:r>
        <w:rPr>
          <w:rFonts w:ascii="Arial Narrow" w:hAnsi="Arial Narrow" w:cs="Times New Roman"/>
          <w:sz w:val="22"/>
          <w:szCs w:val="22"/>
        </w:rPr>
        <w:t xml:space="preserve">záväzku, </w:t>
      </w:r>
      <w:r w:rsidR="00FF1A73">
        <w:rPr>
          <w:rFonts w:ascii="Arial Narrow" w:hAnsi="Arial Narrow" w:cs="Times New Roman"/>
          <w:sz w:val="22"/>
          <w:szCs w:val="22"/>
        </w:rPr>
        <w:t xml:space="preserve">obmedzením </w:t>
      </w:r>
      <w:r w:rsidR="004639C7">
        <w:rPr>
          <w:rFonts w:ascii="Arial Narrow" w:hAnsi="Arial Narrow" w:cs="Times New Roman"/>
          <w:sz w:val="22"/>
          <w:szCs w:val="22"/>
        </w:rPr>
        <w:t xml:space="preserve">a zmenou </w:t>
      </w:r>
      <w:r w:rsidR="00FF1A73">
        <w:rPr>
          <w:rFonts w:ascii="Arial Narrow" w:hAnsi="Arial Narrow" w:cs="Times New Roman"/>
          <w:sz w:val="22"/>
          <w:szCs w:val="22"/>
        </w:rPr>
        <w:t xml:space="preserve">uznávania odpisu pohľadávky </w:t>
      </w:r>
      <w:r w:rsidR="004639C7">
        <w:rPr>
          <w:rFonts w:ascii="Arial Narrow" w:hAnsi="Arial Narrow" w:cs="Times New Roman"/>
          <w:sz w:val="22"/>
          <w:szCs w:val="22"/>
        </w:rPr>
        <w:t xml:space="preserve">do daňových výdavkov, </w:t>
      </w:r>
      <w:r w:rsidR="00FF1A73">
        <w:rPr>
          <w:rFonts w:ascii="Arial Narrow" w:hAnsi="Arial Narrow" w:cs="Times New Roman"/>
          <w:sz w:val="22"/>
          <w:szCs w:val="22"/>
        </w:rPr>
        <w:t>a</w:t>
      </w:r>
      <w:r w:rsidR="004639C7">
        <w:rPr>
          <w:rFonts w:ascii="Arial Narrow" w:hAnsi="Arial Narrow" w:cs="Times New Roman"/>
          <w:sz w:val="22"/>
          <w:szCs w:val="22"/>
        </w:rPr>
        <w:t xml:space="preserve"> to </w:t>
      </w:r>
      <w:r w:rsidR="00FF1A73">
        <w:rPr>
          <w:rFonts w:ascii="Arial Narrow" w:hAnsi="Arial Narrow" w:cs="Times New Roman"/>
          <w:sz w:val="22"/>
          <w:szCs w:val="22"/>
        </w:rPr>
        <w:t xml:space="preserve">úpravou </w:t>
      </w:r>
      <w:r w:rsidR="004639C7">
        <w:rPr>
          <w:rFonts w:ascii="Arial Narrow" w:hAnsi="Arial Narrow" w:cs="Times New Roman"/>
          <w:sz w:val="22"/>
          <w:szCs w:val="22"/>
        </w:rPr>
        <w:t xml:space="preserve">§ 19 ods. 2 písm. h) </w:t>
      </w:r>
      <w:r w:rsidR="006B077B">
        <w:rPr>
          <w:rFonts w:ascii="Arial Narrow" w:hAnsi="Arial Narrow" w:cs="Times New Roman"/>
          <w:sz w:val="22"/>
          <w:szCs w:val="22"/>
        </w:rPr>
        <w:t xml:space="preserve">a r) </w:t>
      </w:r>
      <w:r w:rsidR="004639C7">
        <w:rPr>
          <w:rFonts w:ascii="Arial Narrow" w:hAnsi="Arial Narrow" w:cs="Times New Roman"/>
          <w:sz w:val="22"/>
          <w:szCs w:val="22"/>
        </w:rPr>
        <w:t xml:space="preserve">a zmenou § 19 ods. 3 písm. h), podľa ktorého sa strata z postúpenia pohľadávky nezahrnie do základu dane, </w:t>
      </w:r>
      <w:r>
        <w:rPr>
          <w:rFonts w:ascii="Arial Narrow" w:hAnsi="Arial Narrow" w:cs="Times New Roman"/>
          <w:sz w:val="22"/>
          <w:szCs w:val="22"/>
        </w:rPr>
        <w:t>sa predpokladá dodatočný výnos dane z príjmov právnických osôb v rokoch 2007 a 2008 každoročne vo výške 100 mil. Sk</w:t>
      </w:r>
    </w:p>
    <w:p w:rsidR="00882A35" w:rsidP="00882A35">
      <w:pPr>
        <w:pStyle w:val="BodyText3"/>
        <w:spacing w:after="0"/>
        <w:ind w:left="360" w:firstLine="180"/>
        <w:jc w:val="both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ab/>
        <w:t xml:space="preserve">Obmedzením tvorby daňovo uznaných technických rezerv na životné poistenie a neživotné poistenie </w:t>
      </w:r>
      <w:r>
        <w:rPr>
          <w:rFonts w:ascii="Arial Narrow" w:hAnsi="Arial Narrow" w:cs="Times New Roman"/>
          <w:sz w:val="22"/>
          <w:szCs w:val="22"/>
        </w:rPr>
        <w:t>na poistné plnenia poistných udalostí vzniknutých a nenahlásených v bežnom účtovnom období</w:t>
      </w:r>
      <w:r>
        <w:rPr>
          <w:rFonts w:ascii="Arial Narrow" w:hAnsi="Arial Narrow" w:cs="Arial"/>
          <w:bCs/>
          <w:sz w:val="22"/>
        </w:rPr>
        <w:t xml:space="preserve"> v poisťovníctve (tzv. IBNR rezervy) v § 20 ods. 8 písm. a) a b) zákona o dani z príjmov sa predpokladá dodatočný výnos dane z príjmov právnických osôb v rokoch 2008 a 2009 každoročne  v sume 613 mil. Sk.  </w:t>
      </w:r>
    </w:p>
    <w:p w:rsidR="00882A35" w:rsidP="00882A35">
      <w:pPr>
        <w:pStyle w:val="BodyText3"/>
        <w:spacing w:after="0"/>
        <w:ind w:left="360" w:firstLine="18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Arial"/>
          <w:bCs/>
          <w:sz w:val="22"/>
        </w:rPr>
        <w:tab/>
        <w:t>Vypustením § 20 ods. 8 písm. c) zákona o dani z príjmov, ktorým sa o</w:t>
      </w:r>
      <w:r w:rsidRPr="0099425F">
        <w:rPr>
          <w:rFonts w:ascii="Arial Narrow" w:hAnsi="Arial Narrow" w:cs="Times New Roman"/>
          <w:sz w:val="22"/>
          <w:szCs w:val="22"/>
        </w:rPr>
        <w:t xml:space="preserve">pravné položky k pohľadávkam v prípade zániku poistenia </w:t>
      </w:r>
      <w:r>
        <w:rPr>
          <w:rFonts w:ascii="Arial Narrow" w:hAnsi="Arial Narrow" w:cs="Times New Roman"/>
          <w:sz w:val="22"/>
          <w:szCs w:val="22"/>
        </w:rPr>
        <w:t>neuznávajú za daňový výdavok sa predpokladá dodatočný výnos dane z príjmov právnických osôb v rokoch 2008 a 2009 každoročne vo výške 114 mil. Sk.</w:t>
      </w:r>
    </w:p>
    <w:p w:rsidR="00882A35" w:rsidP="00882A35">
      <w:pPr>
        <w:pStyle w:val="BodyText3"/>
        <w:spacing w:after="0"/>
        <w:ind w:left="360" w:firstLine="180"/>
        <w:jc w:val="both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ab/>
        <w:t>Celkový pozitívny vplyv na štátny rozpočet sa predpokladá v roku 2007 vo výške 100 mil. Sk, v roku 2008 vo výške 2 701 mil. Sk a v roku 2009 vo výške 2 601 mil. Sk.</w:t>
      </w:r>
    </w:p>
    <w:p w:rsidR="00882A35" w:rsidP="00882A35">
      <w:pPr>
        <w:pStyle w:val="BodyText3"/>
        <w:spacing w:after="0"/>
        <w:ind w:left="360" w:firstLine="180"/>
        <w:jc w:val="both"/>
        <w:rPr>
          <w:rFonts w:ascii="Arial Narrow" w:hAnsi="Arial Narrow" w:cs="Arial"/>
          <w:bCs/>
          <w:sz w:val="22"/>
        </w:rPr>
      </w:pPr>
    </w:p>
    <w:p w:rsidR="00882A35" w:rsidP="00882A35">
      <w:pPr>
        <w:pStyle w:val="BodyText3"/>
        <w:spacing w:after="0"/>
        <w:ind w:left="360" w:firstLine="180"/>
        <w:jc w:val="both"/>
        <w:rPr>
          <w:rFonts w:ascii="Arial Narrow" w:hAnsi="Arial Narrow" w:cs="Times New Roman"/>
          <w:b/>
          <w:sz w:val="22"/>
        </w:rPr>
      </w:pPr>
    </w:p>
    <w:p w:rsidR="00882A35" w:rsidP="00882A35">
      <w:pPr>
        <w:pStyle w:val="BodyText3"/>
        <w:spacing w:after="0"/>
        <w:ind w:left="1260" w:hanging="900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 xml:space="preserve">II.    </w:t>
      </w:r>
      <w:r>
        <w:rPr>
          <w:rFonts w:ascii="Arial Narrow" w:hAnsi="Arial Narrow" w:cs="Arial"/>
          <w:b/>
          <w:sz w:val="22"/>
          <w:u w:val="single"/>
        </w:rPr>
        <w:t>Odhad dopadov na životné prostredie</w:t>
      </w:r>
      <w:r>
        <w:rPr>
          <w:rFonts w:ascii="Arial Narrow" w:hAnsi="Arial Narrow" w:cs="Arial"/>
          <w:b/>
          <w:sz w:val="22"/>
        </w:rPr>
        <w:t xml:space="preserve"> </w:t>
      </w:r>
    </w:p>
    <w:p w:rsidR="00882A35" w:rsidP="00882A35">
      <w:pPr>
        <w:pStyle w:val="BodyText3"/>
        <w:spacing w:after="0"/>
        <w:jc w:val="both"/>
        <w:rPr>
          <w:rFonts w:ascii="Arial Narrow" w:hAnsi="Arial Narrow" w:cs="Arial"/>
          <w:sz w:val="22"/>
        </w:rPr>
      </w:pPr>
    </w:p>
    <w:p w:rsidR="00882A35" w:rsidP="00882A35">
      <w:pPr>
        <w:ind w:left="360" w:firstLine="360"/>
        <w:jc w:val="both"/>
        <w:rPr>
          <w:rFonts w:ascii="Arial Narrow" w:hAnsi="Arial Narrow" w:cs="Arial"/>
          <w:sz w:val="22"/>
          <w:szCs w:val="16"/>
        </w:rPr>
      </w:pPr>
      <w:r>
        <w:rPr>
          <w:rFonts w:ascii="Arial Narrow" w:hAnsi="Arial Narrow" w:cs="Arial"/>
          <w:sz w:val="22"/>
          <w:szCs w:val="16"/>
        </w:rPr>
        <w:t>Návrh zákona nemá priamy vplyv na životné prostredie.</w:t>
      </w:r>
    </w:p>
    <w:p w:rsidR="00882A35" w:rsidP="00882A35">
      <w:pPr>
        <w:pStyle w:val="BodyText3"/>
        <w:spacing w:after="0"/>
        <w:jc w:val="both"/>
        <w:rPr>
          <w:rFonts w:ascii="Arial Narrow" w:hAnsi="Arial Narrow" w:cs="Arial"/>
          <w:b/>
          <w:bCs/>
          <w:sz w:val="22"/>
          <w:u w:val="single"/>
        </w:rPr>
      </w:pPr>
    </w:p>
    <w:p w:rsidR="00882A35" w:rsidP="00882A35">
      <w:pPr>
        <w:pStyle w:val="BodyText3"/>
        <w:spacing w:after="0"/>
        <w:jc w:val="both"/>
        <w:rPr>
          <w:rFonts w:ascii="Arial Narrow" w:hAnsi="Arial Narrow" w:cs="Arial"/>
          <w:b/>
          <w:bCs/>
          <w:sz w:val="22"/>
          <w:u w:val="single"/>
        </w:rPr>
      </w:pPr>
    </w:p>
    <w:p w:rsidR="00882A35" w:rsidP="00882A35">
      <w:pPr>
        <w:pStyle w:val="BodyText3"/>
        <w:spacing w:after="0"/>
        <w:ind w:left="360"/>
        <w:jc w:val="both"/>
        <w:rPr>
          <w:rFonts w:ascii="Arial Narrow" w:hAnsi="Arial Narrow" w:cs="Arial"/>
          <w:b/>
          <w:sz w:val="22"/>
          <w:u w:val="single"/>
        </w:rPr>
      </w:pPr>
      <w:r>
        <w:rPr>
          <w:rFonts w:ascii="Arial Narrow" w:hAnsi="Arial Narrow" w:cs="Arial"/>
          <w:b/>
          <w:sz w:val="22"/>
        </w:rPr>
        <w:t xml:space="preserve">III.    </w:t>
      </w:r>
      <w:r>
        <w:rPr>
          <w:rFonts w:ascii="Arial Narrow" w:hAnsi="Arial Narrow" w:cs="Arial"/>
          <w:b/>
          <w:sz w:val="22"/>
          <w:u w:val="single"/>
        </w:rPr>
        <w:t>Odhad dopadov na zamestnanosť a na tvorbu pracovných miest</w:t>
      </w:r>
    </w:p>
    <w:p w:rsidR="00882A35" w:rsidP="00882A35">
      <w:pPr>
        <w:pStyle w:val="BodyText3"/>
        <w:spacing w:after="0"/>
        <w:ind w:left="360"/>
        <w:jc w:val="both"/>
        <w:rPr>
          <w:rFonts w:ascii="Arial Narrow" w:hAnsi="Arial Narrow" w:cs="Arial"/>
          <w:sz w:val="22"/>
          <w:u w:val="single"/>
        </w:rPr>
      </w:pPr>
    </w:p>
    <w:p w:rsidR="00882A35" w:rsidP="00882A35">
      <w:pPr>
        <w:pStyle w:val="BodyText3"/>
        <w:spacing w:after="0"/>
        <w:ind w:left="360" w:firstLine="360"/>
        <w:jc w:val="both"/>
        <w:rPr>
          <w:rFonts w:ascii="Arial Narrow" w:hAnsi="Arial Narrow" w:cs="Arial"/>
          <w:bCs/>
          <w:sz w:val="22"/>
          <w:u w:val="single"/>
        </w:rPr>
      </w:pPr>
      <w:r w:rsidRPr="006E453A">
        <w:rPr>
          <w:rFonts w:ascii="Arial Narrow" w:hAnsi="Arial Narrow" w:cs="Arial"/>
          <w:sz w:val="22"/>
          <w:szCs w:val="22"/>
        </w:rPr>
        <w:t>Návrh zákona nebude mať dopad na zamestnanosť</w:t>
      </w:r>
      <w:r>
        <w:rPr>
          <w:rFonts w:ascii="Arial Narrow" w:hAnsi="Arial Narrow" w:cs="Arial"/>
          <w:sz w:val="22"/>
          <w:szCs w:val="22"/>
        </w:rPr>
        <w:t>.</w:t>
      </w:r>
    </w:p>
    <w:p w:rsidR="00882A35" w:rsidP="00882A35">
      <w:pPr>
        <w:pStyle w:val="BodyText3"/>
        <w:spacing w:after="0"/>
        <w:jc w:val="both"/>
        <w:rPr>
          <w:rFonts w:ascii="Arial Narrow" w:hAnsi="Arial Narrow" w:cs="Arial"/>
          <w:bCs/>
          <w:sz w:val="22"/>
          <w:u w:val="single"/>
        </w:rPr>
      </w:pPr>
    </w:p>
    <w:p w:rsidR="00882A35" w:rsidP="00882A35">
      <w:pPr>
        <w:pStyle w:val="BodyText3"/>
        <w:spacing w:after="0"/>
        <w:ind w:left="360"/>
        <w:jc w:val="both"/>
        <w:rPr>
          <w:rFonts w:ascii="Arial Narrow" w:hAnsi="Arial Narrow" w:cs="Arial"/>
          <w:b/>
          <w:sz w:val="22"/>
        </w:rPr>
      </w:pPr>
    </w:p>
    <w:p w:rsidR="00882A35" w:rsidP="00882A35">
      <w:pPr>
        <w:pStyle w:val="BodyText3"/>
        <w:spacing w:after="0"/>
        <w:ind w:left="360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 xml:space="preserve">IV.   </w:t>
      </w:r>
      <w:r>
        <w:rPr>
          <w:rFonts w:ascii="Arial Narrow" w:hAnsi="Arial Narrow" w:cs="Arial"/>
          <w:b/>
          <w:sz w:val="22"/>
          <w:u w:val="single"/>
        </w:rPr>
        <w:t>Odhad dopadov na podnikateľské prostredie</w:t>
      </w:r>
    </w:p>
    <w:p w:rsidR="00882A35" w:rsidP="00882A35">
      <w:pPr>
        <w:pStyle w:val="BodyText3"/>
        <w:spacing w:after="0"/>
        <w:jc w:val="both"/>
        <w:rPr>
          <w:rFonts w:ascii="Arial Narrow" w:hAnsi="Arial Narrow" w:cs="Arial"/>
          <w:sz w:val="22"/>
        </w:rPr>
      </w:pPr>
    </w:p>
    <w:p w:rsidR="00882A35" w:rsidP="00882A35">
      <w:pPr>
        <w:pStyle w:val="BodyText3"/>
        <w:spacing w:after="0"/>
        <w:ind w:firstLine="708"/>
        <w:jc w:val="both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Návrh zákona nemá negatívny vplyv na podnikateľské prostredie.</w:t>
      </w:r>
    </w:p>
    <w:p w:rsidR="00882A35" w:rsidP="00882A35">
      <w:pPr>
        <w:rPr>
          <w:rFonts w:ascii="Arial Narrow" w:hAnsi="Arial Narrow" w:cs="Times New Roman"/>
          <w:b/>
          <w:color w:val="000000"/>
          <w:sz w:val="22"/>
          <w:szCs w:val="22"/>
        </w:rPr>
      </w:pPr>
    </w:p>
    <w:p w:rsidR="00882A35" w:rsidP="00882A35">
      <w:pPr>
        <w:rPr>
          <w:rFonts w:ascii="Times New Roman" w:hAnsi="Times New Roman" w:cs="Times New Roman"/>
        </w:rPr>
      </w:pPr>
    </w:p>
    <w:p w:rsidR="0016450C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77B" w:rsidP="00882A35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6B077B" w:rsidP="00882A35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77B" w:rsidP="00882A35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6B077B" w:rsidP="00882A35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9091D"/>
    <w:multiLevelType w:val="hybridMultilevel"/>
    <w:tmpl w:val="97CAA1B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6450C"/>
    <w:rsid w:val="004639C7"/>
    <w:rsid w:val="006B077B"/>
    <w:rsid w:val="006E453A"/>
    <w:rsid w:val="00882A35"/>
    <w:rsid w:val="0099425F"/>
    <w:rsid w:val="00BF703C"/>
    <w:rsid w:val="00FF1A7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A3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882A35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882A35"/>
  </w:style>
  <w:style w:type="paragraph" w:styleId="BodyText3">
    <w:name w:val="Body Text 3"/>
    <w:basedOn w:val="Normal"/>
    <w:rsid w:val="00882A35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377</Words>
  <Characters>2153</Characters>
  <Application>Microsoft Office Word</Application>
  <DocSecurity>0</DocSecurity>
  <Lines>0</Lines>
  <Paragraphs>0</Paragraphs>
  <ScaleCrop>false</ScaleCrop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;</dc:creator>
  <cp:lastModifiedBy>;</cp:lastModifiedBy>
  <cp:revision>13</cp:revision>
  <dcterms:created xsi:type="dcterms:W3CDTF">2007-10-19T11:29:00Z</dcterms:created>
  <dcterms:modified xsi:type="dcterms:W3CDTF">2007-10-19T12:17:00Z</dcterms:modified>
</cp:coreProperties>
</file>