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6C22" w:rsidRPr="00D76C22" w:rsidP="00D76C22">
      <w:pPr>
        <w:rPr>
          <w:rFonts w:ascii="Times New Roman" w:hAnsi="Times New Roman" w:cs="Times New Roman"/>
          <w:b/>
          <w:smallCaps/>
          <w:sz w:val="28"/>
          <w:szCs w:val="28"/>
        </w:rPr>
      </w:pPr>
      <w:r w:rsidRPr="00D76C22">
        <w:rPr>
          <w:rFonts w:ascii="Times New Roman" w:hAnsi="Times New Roman" w:cs="Times New Roman"/>
          <w:b/>
          <w:smallCaps/>
          <w:sz w:val="28"/>
          <w:szCs w:val="28"/>
        </w:rPr>
        <w:t>Národná rada Slovenskej republiky</w:t>
      </w:r>
    </w:p>
    <w:p w:rsidR="00D76C22" w:rsidRPr="00877161" w:rsidP="00D76C22">
      <w:pPr>
        <w:pBdr>
          <w:bottom w:val="single" w:sz="12" w:space="1" w:color="auto"/>
        </w:pBdr>
        <w:rPr>
          <w:rFonts w:ascii="Times New Roman" w:hAnsi="Times New Roman" w:cs="Times New Roman"/>
          <w:b/>
          <w:smallCaps/>
          <w:sz w:val="26"/>
          <w:szCs w:val="26"/>
        </w:rPr>
      </w:pPr>
      <w:r w:rsidRPr="00877161">
        <w:rPr>
          <w:rFonts w:ascii="Times New Roman" w:hAnsi="Times New Roman" w:cs="Times New Roman"/>
          <w:b/>
          <w:smallCaps/>
          <w:sz w:val="26"/>
          <w:szCs w:val="26"/>
        </w:rPr>
        <w:t>Výbor Národnej rady Slovenskej republiky pre európske záležitosti</w:t>
      </w:r>
    </w:p>
    <w:p w:rsidR="0092535F" w:rsidP="0092535F">
      <w:pPr>
        <w:jc w:val="center"/>
        <w:rPr>
          <w:rFonts w:ascii="Times New Roman" w:hAnsi="Times New Roman" w:cs="Times New Roman"/>
        </w:rPr>
      </w:pPr>
    </w:p>
    <w:p w:rsidR="00D76C22" w:rsidP="0092535F">
      <w:pPr>
        <w:jc w:val="center"/>
        <w:rPr>
          <w:rFonts w:ascii="Times New Roman" w:hAnsi="Times New Roman" w:cs="Times New Roman"/>
        </w:rPr>
      </w:pPr>
      <w:r w:rsidR="0092535F">
        <w:rPr>
          <w:rFonts w:ascii="Times New Roman" w:hAnsi="Times New Roman" w:cs="Times New Roman"/>
        </w:rPr>
        <w:t>IV. volebné obdobie</w:t>
      </w:r>
    </w:p>
    <w:p w:rsidR="00D76C22" w:rsidP="00D76C22">
      <w:pPr>
        <w:rPr>
          <w:rFonts w:ascii="Times New Roman" w:hAnsi="Times New Roman" w:cs="Times New Roman"/>
        </w:rPr>
      </w:pPr>
    </w:p>
    <w:p w:rsidR="00B859A3" w:rsidP="00D76C22">
      <w:pPr>
        <w:rPr>
          <w:rFonts w:ascii="Times New Roman" w:hAnsi="Times New Roman" w:cs="Times New Roman"/>
        </w:rPr>
      </w:pPr>
    </w:p>
    <w:p w:rsidR="00B859A3" w:rsidP="00D76C22">
      <w:pPr>
        <w:rPr>
          <w:rFonts w:ascii="Times New Roman" w:hAnsi="Times New Roman" w:cs="Times New Roman"/>
        </w:rPr>
      </w:pPr>
    </w:p>
    <w:p w:rsidR="00D76C22" w:rsidP="00D76C22">
      <w:pPr>
        <w:rPr>
          <w:rFonts w:ascii="Times New Roman" w:hAnsi="Times New Roman" w:cs="Times New Roman"/>
        </w:rPr>
      </w:pPr>
      <w:r w:rsidR="00B859A3">
        <w:rPr>
          <w:rFonts w:ascii="Times New Roman" w:hAnsi="Times New Roman" w:cs="Times New Roman"/>
        </w:rPr>
        <w:t>Materiál na rokovanie</w:t>
        <w:tab/>
        <w:tab/>
        <w:tab/>
        <w:tab/>
        <w:tab/>
        <w:tab/>
        <w:tab/>
        <w:tab/>
        <w:t>Číslo:</w:t>
      </w:r>
      <w:r w:rsidR="00103B0B">
        <w:rPr>
          <w:rFonts w:ascii="Times New Roman" w:hAnsi="Times New Roman" w:cs="Times New Roman"/>
        </w:rPr>
        <w:t xml:space="preserve"> </w:t>
      </w:r>
      <w:r w:rsidR="00B64E37">
        <w:rPr>
          <w:rFonts w:ascii="Times New Roman" w:hAnsi="Times New Roman" w:cs="Times New Roman"/>
        </w:rPr>
        <w:t>1626</w:t>
      </w:r>
      <w:r w:rsidR="0092535F">
        <w:rPr>
          <w:rFonts w:ascii="Times New Roman" w:hAnsi="Times New Roman" w:cs="Times New Roman"/>
        </w:rPr>
        <w:t>/2007</w:t>
      </w:r>
    </w:p>
    <w:p w:rsidR="00B859A3" w:rsidP="00D76C22">
      <w:pPr>
        <w:rPr>
          <w:rFonts w:ascii="Times New Roman" w:hAnsi="Times New Roman" w:cs="Times New Roman"/>
        </w:rPr>
      </w:pPr>
      <w:r>
        <w:rPr>
          <w:rFonts w:ascii="Times New Roman" w:hAnsi="Times New Roman" w:cs="Times New Roman"/>
        </w:rPr>
        <w:t>Národnej rady Slovenskej republiky</w:t>
      </w:r>
    </w:p>
    <w:p w:rsidR="00D76C22" w:rsidP="00D76C22">
      <w:pPr>
        <w:rPr>
          <w:rFonts w:ascii="Times New Roman" w:hAnsi="Times New Roman" w:cs="Times New Roman"/>
        </w:rPr>
      </w:pPr>
    </w:p>
    <w:p w:rsidR="00D76C22" w:rsidP="00D76C22">
      <w:pPr>
        <w:rPr>
          <w:rFonts w:ascii="Times New Roman" w:hAnsi="Times New Roman" w:cs="Times New Roman"/>
        </w:rPr>
      </w:pPr>
    </w:p>
    <w:p w:rsidR="00B859A3" w:rsidP="00D76C22">
      <w:pPr>
        <w:rPr>
          <w:rFonts w:ascii="Times New Roman" w:hAnsi="Times New Roman" w:cs="Times New Roman"/>
        </w:rPr>
      </w:pPr>
    </w:p>
    <w:p w:rsidR="00D76C22" w:rsidP="00D76C22">
      <w:pPr>
        <w:rPr>
          <w:rFonts w:ascii="Times New Roman" w:hAnsi="Times New Roman" w:cs="Times New Roman"/>
        </w:rPr>
      </w:pPr>
    </w:p>
    <w:p w:rsidR="00D76C22" w:rsidP="00D76C22">
      <w:pPr>
        <w:rPr>
          <w:rFonts w:ascii="Times New Roman" w:hAnsi="Times New Roman" w:cs="Times New Roman"/>
        </w:rPr>
      </w:pPr>
    </w:p>
    <w:p w:rsidR="00B859A3" w:rsidP="00D76C22">
      <w:pPr>
        <w:rPr>
          <w:rFonts w:ascii="Times New Roman" w:hAnsi="Times New Roman" w:cs="Times New Roman"/>
        </w:rPr>
      </w:pPr>
    </w:p>
    <w:p w:rsidR="00B859A3" w:rsidRPr="00103B0B" w:rsidP="00B859A3">
      <w:pPr>
        <w:jc w:val="center"/>
        <w:rPr>
          <w:rFonts w:ascii="Times New Roman" w:hAnsi="Times New Roman" w:cs="Times New Roman"/>
          <w:b/>
          <w:sz w:val="32"/>
          <w:szCs w:val="32"/>
        </w:rPr>
      </w:pPr>
      <w:r w:rsidRPr="00103B0B" w:rsidR="00103B0B">
        <w:rPr>
          <w:rFonts w:ascii="Times New Roman" w:hAnsi="Times New Roman" w:cs="Times New Roman"/>
          <w:b/>
          <w:sz w:val="32"/>
          <w:szCs w:val="32"/>
        </w:rPr>
        <w:t>422</w:t>
      </w:r>
    </w:p>
    <w:p w:rsidR="00D76C22" w:rsidP="00D76C22">
      <w:pPr>
        <w:rPr>
          <w:rFonts w:ascii="Times New Roman" w:hAnsi="Times New Roman" w:cs="Times New Roman"/>
        </w:rPr>
      </w:pPr>
    </w:p>
    <w:p w:rsidR="00D76C22" w:rsidP="00877161">
      <w:pPr>
        <w:jc w:val="center"/>
        <w:rPr>
          <w:rFonts w:ascii="Times New Roman" w:hAnsi="Times New Roman" w:cs="Times New Roman"/>
          <w:b/>
        </w:rPr>
      </w:pPr>
      <w:r w:rsidRPr="00877161" w:rsidR="00877161">
        <w:rPr>
          <w:rFonts w:ascii="Times New Roman" w:hAnsi="Times New Roman" w:cs="Times New Roman"/>
          <w:b/>
        </w:rPr>
        <w:t>Správa o činnosti Výboru Národnej rady Slovenskej republiky pre európske záležitosti</w:t>
      </w:r>
    </w:p>
    <w:p w:rsidR="00B859A3" w:rsidRPr="00877161" w:rsidP="00877161">
      <w:pPr>
        <w:jc w:val="center"/>
        <w:rPr>
          <w:rFonts w:ascii="Times New Roman" w:hAnsi="Times New Roman" w:cs="Times New Roman"/>
          <w:b/>
        </w:rPr>
      </w:pPr>
      <w:r>
        <w:rPr>
          <w:rFonts w:ascii="Times New Roman" w:hAnsi="Times New Roman" w:cs="Times New Roman"/>
          <w:b/>
        </w:rPr>
        <w:t xml:space="preserve">za </w:t>
      </w:r>
      <w:r w:rsidR="00195421">
        <w:rPr>
          <w:rFonts w:ascii="Times New Roman" w:hAnsi="Times New Roman" w:cs="Times New Roman"/>
          <w:b/>
        </w:rPr>
        <w:t xml:space="preserve">druhý polrok </w:t>
      </w:r>
      <w:r>
        <w:rPr>
          <w:rFonts w:ascii="Times New Roman" w:hAnsi="Times New Roman" w:cs="Times New Roman"/>
          <w:b/>
        </w:rPr>
        <w:t>2006</w:t>
      </w:r>
      <w:r w:rsidR="004E1BD3">
        <w:rPr>
          <w:rFonts w:ascii="Times New Roman" w:hAnsi="Times New Roman" w:cs="Times New Roman"/>
          <w:b/>
        </w:rPr>
        <w:t xml:space="preserve"> a prvý polrok 2007</w:t>
      </w:r>
    </w:p>
    <w:p w:rsidR="00877161" w:rsidP="00877161">
      <w:pPr>
        <w:jc w:val="center"/>
        <w:rPr>
          <w:rFonts w:ascii="Times New Roman" w:hAnsi="Times New Roman" w:cs="Times New Roman"/>
        </w:rPr>
      </w:pPr>
    </w:p>
    <w:p w:rsidR="00D76C22" w:rsidP="00D76C22">
      <w:pPr>
        <w:rPr>
          <w:rFonts w:ascii="Times New Roman" w:hAnsi="Times New Roman" w:cs="Times New Roman"/>
        </w:rPr>
      </w:pPr>
    </w:p>
    <w:p w:rsidR="00877161" w:rsidP="00D76C22">
      <w:pPr>
        <w:rPr>
          <w:rFonts w:ascii="Times New Roman" w:hAnsi="Times New Roman" w:cs="Times New Roman"/>
        </w:rPr>
      </w:pPr>
    </w:p>
    <w:p w:rsidR="00877161" w:rsidP="00D76C22">
      <w:pPr>
        <w:rPr>
          <w:rFonts w:ascii="Times New Roman" w:hAnsi="Times New Roman" w:cs="Times New Roman"/>
        </w:rPr>
      </w:pPr>
    </w:p>
    <w:p w:rsidR="00877161" w:rsidP="00D76C22">
      <w:pPr>
        <w:rPr>
          <w:rFonts w:ascii="Times New Roman" w:hAnsi="Times New Roman" w:cs="Times New Roman"/>
        </w:rPr>
      </w:pPr>
    </w:p>
    <w:p w:rsidR="00877161" w:rsidP="00D76C22">
      <w:pPr>
        <w:rPr>
          <w:rFonts w:ascii="Times New Roman" w:hAnsi="Times New Roman" w:cs="Times New Roman"/>
        </w:rPr>
      </w:pPr>
    </w:p>
    <w:p w:rsidR="00877161" w:rsidP="00D76C22">
      <w:pPr>
        <w:rPr>
          <w:rFonts w:ascii="Times New Roman" w:hAnsi="Times New Roman" w:cs="Times New Roman"/>
        </w:rPr>
      </w:pPr>
    </w:p>
    <w:p w:rsidR="00877161" w:rsidRPr="00877161" w:rsidP="00D76C22">
      <w:pPr>
        <w:rPr>
          <w:rFonts w:ascii="Times New Roman" w:hAnsi="Times New Roman" w:cs="Times New Roman"/>
          <w:b/>
          <w:u w:val="single"/>
        </w:rPr>
      </w:pPr>
      <w:r w:rsidR="0092535F">
        <w:rPr>
          <w:rFonts w:ascii="Times New Roman" w:hAnsi="Times New Roman" w:cs="Times New Roman"/>
        </w:rPr>
        <w:t xml:space="preserve">Predkladá sa v súlade </w:t>
      </w:r>
      <w:r>
        <w:rPr>
          <w:rFonts w:ascii="Times New Roman" w:hAnsi="Times New Roman" w:cs="Times New Roman"/>
        </w:rPr>
        <w:tab/>
        <w:tab/>
        <w:tab/>
        <w:tab/>
        <w:tab/>
      </w:r>
      <w:r w:rsidRPr="00877161">
        <w:rPr>
          <w:rFonts w:ascii="Times New Roman" w:hAnsi="Times New Roman" w:cs="Times New Roman"/>
          <w:b/>
          <w:u w:val="single"/>
        </w:rPr>
        <w:t>Návrh uznesenia:</w:t>
      </w:r>
    </w:p>
    <w:p w:rsidR="00877161" w:rsidP="00D76C22">
      <w:pPr>
        <w:rPr>
          <w:rFonts w:ascii="Times New Roman" w:hAnsi="Times New Roman" w:cs="Times New Roman"/>
        </w:rPr>
      </w:pPr>
      <w:r w:rsidR="0092535F">
        <w:rPr>
          <w:rFonts w:ascii="Times New Roman" w:hAnsi="Times New Roman" w:cs="Times New Roman"/>
        </w:rPr>
        <w:t xml:space="preserve">s § 58a ods. 3 písm. e) </w:t>
      </w:r>
    </w:p>
    <w:p w:rsidR="00877161" w:rsidP="00D76C22">
      <w:pPr>
        <w:rPr>
          <w:rFonts w:ascii="Times New Roman" w:hAnsi="Times New Roman" w:cs="Times New Roman"/>
        </w:rPr>
      </w:pPr>
      <w:r w:rsidR="0092535F">
        <w:rPr>
          <w:rFonts w:ascii="Times New Roman" w:hAnsi="Times New Roman" w:cs="Times New Roman"/>
        </w:rPr>
        <w:t>zákona NR SR č. 350/1996 Z.z.</w:t>
      </w:r>
      <w:r>
        <w:rPr>
          <w:rFonts w:ascii="Times New Roman" w:hAnsi="Times New Roman" w:cs="Times New Roman"/>
        </w:rPr>
        <w:tab/>
        <w:tab/>
        <w:tab/>
        <w:tab/>
        <w:t>Národná rada Slovenskej republiky</w:t>
      </w:r>
    </w:p>
    <w:p w:rsidR="00877161" w:rsidRPr="00877161" w:rsidP="00D76C22">
      <w:pPr>
        <w:rPr>
          <w:rFonts w:ascii="Times New Roman" w:hAnsi="Times New Roman" w:cs="Times New Roman"/>
          <w:b/>
        </w:rPr>
      </w:pPr>
      <w:r w:rsidR="0092535F">
        <w:rPr>
          <w:rFonts w:ascii="Times New Roman" w:hAnsi="Times New Roman" w:cs="Times New Roman"/>
        </w:rPr>
        <w:t>o rokovacom poriadku</w:t>
      </w:r>
      <w:r>
        <w:rPr>
          <w:rFonts w:ascii="Times New Roman" w:hAnsi="Times New Roman" w:cs="Times New Roman"/>
        </w:rPr>
        <w:tab/>
        <w:tab/>
        <w:tab/>
      </w:r>
      <w:r w:rsidR="0092535F">
        <w:rPr>
          <w:rFonts w:ascii="Times New Roman" w:hAnsi="Times New Roman" w:cs="Times New Roman"/>
        </w:rPr>
        <w:tab/>
        <w:tab/>
      </w:r>
      <w:r>
        <w:rPr>
          <w:rFonts w:ascii="Times New Roman" w:hAnsi="Times New Roman" w:cs="Times New Roman"/>
          <w:b/>
        </w:rPr>
        <w:t xml:space="preserve">b </w:t>
      </w:r>
      <w:r w:rsidRPr="00877161">
        <w:rPr>
          <w:rFonts w:ascii="Times New Roman" w:hAnsi="Times New Roman" w:cs="Times New Roman"/>
          <w:b/>
        </w:rPr>
        <w:t>e</w:t>
      </w:r>
      <w:r>
        <w:rPr>
          <w:rFonts w:ascii="Times New Roman" w:hAnsi="Times New Roman" w:cs="Times New Roman"/>
          <w:b/>
        </w:rPr>
        <w:t xml:space="preserve"> </w:t>
      </w:r>
      <w:r w:rsidRPr="00877161">
        <w:rPr>
          <w:rFonts w:ascii="Times New Roman" w:hAnsi="Times New Roman" w:cs="Times New Roman"/>
          <w:b/>
        </w:rPr>
        <w:t>r</w:t>
      </w:r>
      <w:r>
        <w:rPr>
          <w:rFonts w:ascii="Times New Roman" w:hAnsi="Times New Roman" w:cs="Times New Roman"/>
          <w:b/>
        </w:rPr>
        <w:t xml:space="preserve"> </w:t>
      </w:r>
      <w:r w:rsidRPr="00877161">
        <w:rPr>
          <w:rFonts w:ascii="Times New Roman" w:hAnsi="Times New Roman" w:cs="Times New Roman"/>
          <w:b/>
        </w:rPr>
        <w:t>i</w:t>
      </w:r>
      <w:r>
        <w:rPr>
          <w:rFonts w:ascii="Times New Roman" w:hAnsi="Times New Roman" w:cs="Times New Roman"/>
          <w:b/>
        </w:rPr>
        <w:t> </w:t>
      </w:r>
      <w:r w:rsidRPr="00877161">
        <w:rPr>
          <w:rFonts w:ascii="Times New Roman" w:hAnsi="Times New Roman" w:cs="Times New Roman"/>
          <w:b/>
        </w:rPr>
        <w:t>e</w:t>
      </w:r>
      <w:r>
        <w:rPr>
          <w:rFonts w:ascii="Times New Roman" w:hAnsi="Times New Roman" w:cs="Times New Roman"/>
          <w:b/>
        </w:rPr>
        <w:t xml:space="preserve">   </w:t>
      </w:r>
      <w:r w:rsidRPr="00877161">
        <w:rPr>
          <w:rFonts w:ascii="Times New Roman" w:hAnsi="Times New Roman" w:cs="Times New Roman"/>
          <w:b/>
        </w:rPr>
        <w:t xml:space="preserve"> n</w:t>
      </w:r>
      <w:r>
        <w:rPr>
          <w:rFonts w:ascii="Times New Roman" w:hAnsi="Times New Roman" w:cs="Times New Roman"/>
          <w:b/>
        </w:rPr>
        <w:t xml:space="preserve"> </w:t>
      </w:r>
      <w:r w:rsidRPr="00877161">
        <w:rPr>
          <w:rFonts w:ascii="Times New Roman" w:hAnsi="Times New Roman" w:cs="Times New Roman"/>
          <w:b/>
        </w:rPr>
        <w:t>a</w:t>
      </w:r>
      <w:r>
        <w:rPr>
          <w:rFonts w:ascii="Times New Roman" w:hAnsi="Times New Roman" w:cs="Times New Roman"/>
          <w:b/>
        </w:rPr>
        <w:t xml:space="preserve">     </w:t>
      </w:r>
      <w:r w:rsidRPr="00877161">
        <w:rPr>
          <w:rFonts w:ascii="Times New Roman" w:hAnsi="Times New Roman" w:cs="Times New Roman"/>
          <w:b/>
        </w:rPr>
        <w:t>v</w:t>
      </w:r>
      <w:r>
        <w:rPr>
          <w:rFonts w:ascii="Times New Roman" w:hAnsi="Times New Roman" w:cs="Times New Roman"/>
          <w:b/>
        </w:rPr>
        <w:t> </w:t>
      </w:r>
      <w:r w:rsidRPr="00877161">
        <w:rPr>
          <w:rFonts w:ascii="Times New Roman" w:hAnsi="Times New Roman" w:cs="Times New Roman"/>
          <w:b/>
        </w:rPr>
        <w:t>e</w:t>
      </w:r>
      <w:r>
        <w:rPr>
          <w:rFonts w:ascii="Times New Roman" w:hAnsi="Times New Roman" w:cs="Times New Roman"/>
          <w:b/>
        </w:rPr>
        <w:t xml:space="preserve"> </w:t>
      </w:r>
      <w:r w:rsidRPr="00877161">
        <w:rPr>
          <w:rFonts w:ascii="Times New Roman" w:hAnsi="Times New Roman" w:cs="Times New Roman"/>
          <w:b/>
        </w:rPr>
        <w:t>d</w:t>
      </w:r>
      <w:r>
        <w:rPr>
          <w:rFonts w:ascii="Times New Roman" w:hAnsi="Times New Roman" w:cs="Times New Roman"/>
          <w:b/>
        </w:rPr>
        <w:t xml:space="preserve"> </w:t>
      </w:r>
      <w:r w:rsidRPr="00877161">
        <w:rPr>
          <w:rFonts w:ascii="Times New Roman" w:hAnsi="Times New Roman" w:cs="Times New Roman"/>
          <w:b/>
        </w:rPr>
        <w:t>o</w:t>
      </w:r>
      <w:r>
        <w:rPr>
          <w:rFonts w:ascii="Times New Roman" w:hAnsi="Times New Roman" w:cs="Times New Roman"/>
          <w:b/>
        </w:rPr>
        <w:t> </w:t>
      </w:r>
      <w:r w:rsidRPr="00877161">
        <w:rPr>
          <w:rFonts w:ascii="Times New Roman" w:hAnsi="Times New Roman" w:cs="Times New Roman"/>
          <w:b/>
        </w:rPr>
        <w:t>m</w:t>
      </w:r>
      <w:r>
        <w:rPr>
          <w:rFonts w:ascii="Times New Roman" w:hAnsi="Times New Roman" w:cs="Times New Roman"/>
          <w:b/>
        </w:rPr>
        <w:t xml:space="preserve"> </w:t>
      </w:r>
      <w:r w:rsidRPr="00877161">
        <w:rPr>
          <w:rFonts w:ascii="Times New Roman" w:hAnsi="Times New Roman" w:cs="Times New Roman"/>
          <w:b/>
        </w:rPr>
        <w:t>i</w:t>
      </w:r>
      <w:r>
        <w:rPr>
          <w:rFonts w:ascii="Times New Roman" w:hAnsi="Times New Roman" w:cs="Times New Roman"/>
          <w:b/>
        </w:rPr>
        <w:t xml:space="preserve"> </w:t>
      </w:r>
      <w:r w:rsidRPr="00877161">
        <w:rPr>
          <w:rFonts w:ascii="Times New Roman" w:hAnsi="Times New Roman" w:cs="Times New Roman"/>
          <w:b/>
        </w:rPr>
        <w:t>e</w:t>
      </w:r>
      <w:r>
        <w:rPr>
          <w:rFonts w:ascii="Times New Roman" w:hAnsi="Times New Roman" w:cs="Times New Roman"/>
          <w:b/>
        </w:rPr>
        <w:t xml:space="preserve"> </w:t>
      </w:r>
    </w:p>
    <w:p w:rsidR="002F1B20" w:rsidP="0092535F">
      <w:pPr>
        <w:rPr>
          <w:rFonts w:ascii="Times New Roman" w:hAnsi="Times New Roman" w:cs="Times New Roman"/>
        </w:rPr>
      </w:pPr>
      <w:r w:rsidR="0092535F">
        <w:rPr>
          <w:rFonts w:ascii="Times New Roman" w:hAnsi="Times New Roman" w:cs="Times New Roman"/>
        </w:rPr>
        <w:t>Národnej rady Slovenskej republiky</w:t>
        <w:tab/>
        <w:tab/>
        <w:tab/>
        <w:tab/>
      </w:r>
      <w:r w:rsidR="00877161">
        <w:rPr>
          <w:rFonts w:ascii="Times New Roman" w:hAnsi="Times New Roman" w:cs="Times New Roman"/>
        </w:rPr>
        <w:t xml:space="preserve">Správu o činnosti </w:t>
      </w:r>
      <w:r w:rsidR="0092535F">
        <w:rPr>
          <w:rFonts w:ascii="Times New Roman" w:hAnsi="Times New Roman" w:cs="Times New Roman"/>
        </w:rPr>
        <w:t xml:space="preserve">Výboru </w:t>
      </w:r>
    </w:p>
    <w:p w:rsidR="002F1B20" w:rsidP="0092535F">
      <w:pPr>
        <w:rPr>
          <w:rFonts w:ascii="Times New Roman" w:hAnsi="Times New Roman" w:cs="Times New Roman"/>
        </w:rPr>
      </w:pPr>
      <w:r w:rsidR="0092535F">
        <w:rPr>
          <w:rFonts w:ascii="Times New Roman" w:hAnsi="Times New Roman" w:cs="Times New Roman"/>
        </w:rPr>
        <w:t xml:space="preserve">v znení neskorších predpisov </w:t>
        <w:tab/>
        <w:tab/>
      </w:r>
      <w:r>
        <w:rPr>
          <w:rFonts w:ascii="Times New Roman" w:hAnsi="Times New Roman" w:cs="Times New Roman"/>
        </w:rPr>
        <w:tab/>
        <w:tab/>
      </w:r>
      <w:r w:rsidR="0092535F">
        <w:rPr>
          <w:rFonts w:ascii="Times New Roman" w:hAnsi="Times New Roman" w:cs="Times New Roman"/>
        </w:rPr>
        <w:t xml:space="preserve">Národnej rady </w:t>
      </w:r>
      <w:r w:rsidR="00877161">
        <w:rPr>
          <w:rFonts w:ascii="Times New Roman" w:hAnsi="Times New Roman" w:cs="Times New Roman"/>
        </w:rPr>
        <w:t>Slovenskej</w:t>
      </w:r>
      <w:r>
        <w:rPr>
          <w:rFonts w:ascii="Times New Roman" w:hAnsi="Times New Roman" w:cs="Times New Roman"/>
        </w:rPr>
        <w:t xml:space="preserve"> </w:t>
      </w:r>
    </w:p>
    <w:p w:rsidR="00877161" w:rsidP="0092535F">
      <w:pPr>
        <w:ind w:left="4955" w:firstLine="709"/>
        <w:rPr>
          <w:rFonts w:ascii="Times New Roman" w:hAnsi="Times New Roman" w:cs="Times New Roman"/>
        </w:rPr>
      </w:pPr>
      <w:r w:rsidR="002F1B20">
        <w:rPr>
          <w:rFonts w:ascii="Times New Roman" w:hAnsi="Times New Roman" w:cs="Times New Roman"/>
        </w:rPr>
        <w:t xml:space="preserve">republiky </w:t>
      </w:r>
      <w:r w:rsidR="0092535F">
        <w:rPr>
          <w:rFonts w:ascii="Times New Roman" w:hAnsi="Times New Roman" w:cs="Times New Roman"/>
        </w:rPr>
        <w:t>pre európske záležitosti</w:t>
      </w:r>
    </w:p>
    <w:p w:rsidR="004E1BD3" w:rsidP="00877161">
      <w:pPr>
        <w:ind w:left="5664"/>
        <w:rPr>
          <w:rFonts w:ascii="Times New Roman" w:hAnsi="Times New Roman" w:cs="Times New Roman"/>
        </w:rPr>
      </w:pPr>
      <w:r>
        <w:rPr>
          <w:rFonts w:ascii="Times New Roman" w:hAnsi="Times New Roman" w:cs="Times New Roman"/>
        </w:rPr>
        <w:t xml:space="preserve">za </w:t>
      </w:r>
      <w:r w:rsidR="00206165">
        <w:rPr>
          <w:rFonts w:ascii="Times New Roman" w:hAnsi="Times New Roman" w:cs="Times New Roman"/>
        </w:rPr>
        <w:t xml:space="preserve">druhý polrok </w:t>
      </w:r>
      <w:r>
        <w:rPr>
          <w:rFonts w:ascii="Times New Roman" w:hAnsi="Times New Roman" w:cs="Times New Roman"/>
        </w:rPr>
        <w:t>2006 a prvý polrok 2007</w:t>
      </w:r>
    </w:p>
    <w:p w:rsidR="00877161" w:rsidP="00877161">
      <w:pPr>
        <w:rPr>
          <w:rFonts w:ascii="Times New Roman" w:hAnsi="Times New Roman" w:cs="Times New Roman"/>
        </w:rPr>
      </w:pPr>
    </w:p>
    <w:p w:rsidR="00877161" w:rsidP="00877161">
      <w:pPr>
        <w:rPr>
          <w:rFonts w:ascii="Times New Roman" w:hAnsi="Times New Roman" w:cs="Times New Roman"/>
        </w:rPr>
      </w:pPr>
    </w:p>
    <w:p w:rsidR="00877161" w:rsidP="00877161">
      <w:pPr>
        <w:rPr>
          <w:rFonts w:ascii="Times New Roman" w:hAnsi="Times New Roman" w:cs="Times New Roman"/>
        </w:rPr>
      </w:pPr>
    </w:p>
    <w:p w:rsidR="00877161" w:rsidP="00877161">
      <w:pPr>
        <w:rPr>
          <w:rFonts w:ascii="Times New Roman" w:hAnsi="Times New Roman" w:cs="Times New Roman"/>
        </w:rPr>
      </w:pPr>
    </w:p>
    <w:p w:rsidR="0092535F" w:rsidP="00877161">
      <w:pPr>
        <w:rPr>
          <w:rFonts w:ascii="Times New Roman" w:hAnsi="Times New Roman" w:cs="Times New Roman"/>
        </w:rPr>
      </w:pPr>
    </w:p>
    <w:p w:rsidR="00877161" w:rsidRPr="00877161" w:rsidP="00877161">
      <w:pPr>
        <w:rPr>
          <w:rFonts w:ascii="Times New Roman" w:hAnsi="Times New Roman" w:cs="Times New Roman"/>
          <w:b/>
          <w:u w:val="single"/>
        </w:rPr>
      </w:pPr>
      <w:r w:rsidRPr="00877161">
        <w:rPr>
          <w:rFonts w:ascii="Times New Roman" w:hAnsi="Times New Roman" w:cs="Times New Roman"/>
          <w:b/>
          <w:u w:val="single"/>
        </w:rPr>
        <w:t>Predkladá:</w:t>
      </w:r>
    </w:p>
    <w:p w:rsidR="00877161" w:rsidP="00877161">
      <w:pPr>
        <w:rPr>
          <w:rFonts w:ascii="Times New Roman" w:hAnsi="Times New Roman" w:cs="Times New Roman"/>
        </w:rPr>
      </w:pPr>
    </w:p>
    <w:p w:rsidR="00877161" w:rsidP="00877161">
      <w:pPr>
        <w:rPr>
          <w:rFonts w:ascii="Times New Roman" w:hAnsi="Times New Roman" w:cs="Times New Roman"/>
        </w:rPr>
      </w:pPr>
      <w:r>
        <w:rPr>
          <w:rFonts w:ascii="Times New Roman" w:hAnsi="Times New Roman" w:cs="Times New Roman"/>
        </w:rPr>
        <w:t>Výbor Ná</w:t>
      </w:r>
      <w:r>
        <w:rPr>
          <w:rFonts w:ascii="Times New Roman" w:hAnsi="Times New Roman" w:cs="Times New Roman"/>
        </w:rPr>
        <w:t>rodnej rady Slovenskej republiky</w:t>
      </w:r>
    </w:p>
    <w:p w:rsidR="00877161" w:rsidP="00877161">
      <w:pPr>
        <w:rPr>
          <w:rFonts w:ascii="Times New Roman" w:hAnsi="Times New Roman" w:cs="Times New Roman"/>
        </w:rPr>
      </w:pPr>
      <w:r>
        <w:rPr>
          <w:rFonts w:ascii="Times New Roman" w:hAnsi="Times New Roman" w:cs="Times New Roman"/>
        </w:rPr>
        <w:t>pre európske záležitosti</w:t>
      </w:r>
      <w:r w:rsidR="00562CFF">
        <w:rPr>
          <w:rFonts w:ascii="Times New Roman" w:hAnsi="Times New Roman" w:cs="Times New Roman"/>
        </w:rPr>
        <w:tab/>
        <w:tab/>
        <w:tab/>
        <w:tab/>
        <w:tab/>
      </w:r>
    </w:p>
    <w:p w:rsidR="00D76C22" w:rsidP="00D76C22">
      <w:pPr>
        <w:rPr>
          <w:rFonts w:ascii="Times New Roman" w:hAnsi="Times New Roman" w:cs="Times New Roman"/>
        </w:rPr>
      </w:pPr>
    </w:p>
    <w:p w:rsidR="00877161" w:rsidP="00D76C22">
      <w:pPr>
        <w:rPr>
          <w:rFonts w:ascii="Times New Roman" w:hAnsi="Times New Roman" w:cs="Times New Roman"/>
        </w:rPr>
      </w:pPr>
    </w:p>
    <w:p w:rsidR="00877161" w:rsidP="00D76C22">
      <w:pPr>
        <w:rPr>
          <w:rFonts w:ascii="Times New Roman" w:hAnsi="Times New Roman" w:cs="Times New Roman"/>
        </w:rPr>
      </w:pPr>
    </w:p>
    <w:p w:rsidR="00877161" w:rsidP="004E1BD3">
      <w:pPr>
        <w:jc w:val="center"/>
        <w:rPr>
          <w:rFonts w:ascii="Times New Roman" w:hAnsi="Times New Roman" w:cs="Times New Roman"/>
        </w:rPr>
      </w:pPr>
      <w:r w:rsidR="004E1BD3">
        <w:rPr>
          <w:rFonts w:ascii="Times New Roman" w:hAnsi="Times New Roman" w:cs="Times New Roman"/>
        </w:rPr>
        <w:t>september 2007</w:t>
      </w:r>
    </w:p>
    <w:p w:rsidR="00B859A3" w:rsidP="00B859A3">
      <w:pPr>
        <w:jc w:val="center"/>
        <w:rPr>
          <w:rFonts w:ascii="Times New Roman" w:hAnsi="Times New Roman" w:cs="Times New Roman"/>
          <w:b/>
        </w:rPr>
      </w:pPr>
      <w:r w:rsidRPr="00877161">
        <w:rPr>
          <w:rFonts w:ascii="Times New Roman" w:hAnsi="Times New Roman" w:cs="Times New Roman"/>
          <w:b/>
        </w:rPr>
        <w:t>Správa o činnosti Výboru Národnej rady Slovenskej republiky pre európske záležitosti</w:t>
      </w:r>
      <w:r>
        <w:rPr>
          <w:rFonts w:ascii="Times New Roman" w:hAnsi="Times New Roman" w:cs="Times New Roman"/>
          <w:b/>
        </w:rPr>
        <w:t xml:space="preserve"> za </w:t>
      </w:r>
      <w:r w:rsidR="00206165">
        <w:rPr>
          <w:rFonts w:ascii="Times New Roman" w:hAnsi="Times New Roman" w:cs="Times New Roman"/>
          <w:b/>
        </w:rPr>
        <w:t xml:space="preserve">druhý polrok </w:t>
      </w:r>
      <w:r>
        <w:rPr>
          <w:rFonts w:ascii="Times New Roman" w:hAnsi="Times New Roman" w:cs="Times New Roman"/>
          <w:b/>
        </w:rPr>
        <w:t>2006</w:t>
      </w:r>
      <w:r w:rsidR="00195421">
        <w:rPr>
          <w:rFonts w:ascii="Times New Roman" w:hAnsi="Times New Roman" w:cs="Times New Roman"/>
          <w:b/>
        </w:rPr>
        <w:t xml:space="preserve"> a prvý polrok 2007</w:t>
      </w:r>
    </w:p>
    <w:p w:rsidR="00B859A3" w:rsidRPr="00877161" w:rsidP="00B859A3">
      <w:pPr>
        <w:jc w:val="center"/>
        <w:rPr>
          <w:rFonts w:ascii="Times New Roman" w:hAnsi="Times New Roman" w:cs="Times New Roman"/>
          <w:b/>
        </w:rPr>
      </w:pPr>
      <w:r>
        <w:rPr>
          <w:rFonts w:ascii="Times New Roman" w:hAnsi="Times New Roman" w:cs="Times New Roman"/>
          <w:b/>
        </w:rPr>
        <w:t>__________________________________________________</w:t>
      </w:r>
      <w:r>
        <w:rPr>
          <w:rFonts w:ascii="Times New Roman" w:hAnsi="Times New Roman" w:cs="Times New Roman"/>
          <w:b/>
        </w:rPr>
        <w:t>________________________</w:t>
      </w:r>
    </w:p>
    <w:p w:rsidR="00877161" w:rsidP="00D76C22">
      <w:pPr>
        <w:rPr>
          <w:rFonts w:ascii="Times New Roman" w:hAnsi="Times New Roman" w:cs="Times New Roman"/>
        </w:rPr>
      </w:pPr>
    </w:p>
    <w:p w:rsidR="002845D3" w:rsidP="00D76C22">
      <w:pPr>
        <w:rPr>
          <w:rFonts w:ascii="Times New Roman" w:hAnsi="Times New Roman" w:cs="Times New Roman"/>
        </w:rPr>
      </w:pPr>
    </w:p>
    <w:p w:rsidR="002A4347" w:rsidP="00D76C22">
      <w:pPr>
        <w:rPr>
          <w:rFonts w:ascii="Times New Roman" w:hAnsi="Times New Roman" w:cs="Times New Roman"/>
        </w:rPr>
      </w:pPr>
    </w:p>
    <w:p w:rsidR="002A4347" w:rsidP="00D76C22">
      <w:pPr>
        <w:rPr>
          <w:rFonts w:ascii="Times New Roman" w:hAnsi="Times New Roman" w:cs="Times New Roman"/>
        </w:rPr>
      </w:pPr>
    </w:p>
    <w:p w:rsidR="002A4347" w:rsidP="00D76C22">
      <w:pPr>
        <w:rPr>
          <w:rFonts w:ascii="Times New Roman" w:hAnsi="Times New Roman" w:cs="Times New Roman"/>
        </w:rPr>
      </w:pPr>
    </w:p>
    <w:p w:rsidR="002A4347" w:rsidP="00D76C22">
      <w:pPr>
        <w:rPr>
          <w:rFonts w:ascii="Times New Roman" w:hAnsi="Times New Roman" w:cs="Times New Roman"/>
        </w:rPr>
      </w:pPr>
    </w:p>
    <w:p w:rsidR="002A4347" w:rsidP="00D76C22">
      <w:pPr>
        <w:rPr>
          <w:rFonts w:ascii="Times New Roman" w:hAnsi="Times New Roman" w:cs="Times New Roman"/>
        </w:rPr>
      </w:pPr>
    </w:p>
    <w:p w:rsidR="002A4347" w:rsidRPr="002A4347" w:rsidP="00D76C22">
      <w:pPr>
        <w:rPr>
          <w:rFonts w:ascii="Times New Roman" w:hAnsi="Times New Roman" w:cs="Times New Roman"/>
          <w:b/>
        </w:rPr>
      </w:pPr>
      <w:r w:rsidRPr="002A4347">
        <w:rPr>
          <w:rFonts w:ascii="Times New Roman" w:hAnsi="Times New Roman" w:cs="Times New Roman"/>
          <w:b/>
        </w:rPr>
        <w:t>Obsah:</w:t>
      </w:r>
    </w:p>
    <w:p w:rsidR="002A4347" w:rsidP="00D76C22">
      <w:pPr>
        <w:rPr>
          <w:rFonts w:ascii="Times New Roman" w:hAnsi="Times New Roman" w:cs="Times New Roman"/>
        </w:rPr>
      </w:pPr>
    </w:p>
    <w:p w:rsidR="00B859A3" w:rsidP="002A4347">
      <w:pPr>
        <w:numPr>
          <w:ilvl w:val="0"/>
          <w:numId w:val="33"/>
        </w:numPr>
        <w:tabs>
          <w:tab w:val="left" w:pos="720"/>
        </w:tabs>
        <w:rPr>
          <w:rFonts w:ascii="Times New Roman" w:hAnsi="Times New Roman" w:cs="Times New Roman"/>
        </w:rPr>
      </w:pPr>
      <w:r w:rsidRPr="002A4347" w:rsidR="002845D3">
        <w:rPr>
          <w:rFonts w:ascii="Times New Roman" w:hAnsi="Times New Roman" w:cs="Times New Roman"/>
        </w:rPr>
        <w:t>Úvod</w:t>
      </w:r>
    </w:p>
    <w:p w:rsidR="002A4347" w:rsidP="002A4347">
      <w:pPr>
        <w:ind w:left="360"/>
        <w:rPr>
          <w:rFonts w:ascii="Times New Roman" w:hAnsi="Times New Roman" w:cs="Times New Roman"/>
        </w:rPr>
      </w:pPr>
    </w:p>
    <w:p w:rsidR="002A4347" w:rsidP="002A4347">
      <w:pPr>
        <w:numPr>
          <w:ilvl w:val="0"/>
          <w:numId w:val="33"/>
        </w:numPr>
        <w:tabs>
          <w:tab w:val="left" w:pos="720"/>
        </w:tabs>
        <w:rPr>
          <w:rFonts w:ascii="Times New Roman" w:hAnsi="Times New Roman" w:cs="Times New Roman"/>
        </w:rPr>
      </w:pPr>
      <w:r w:rsidRPr="002A4347">
        <w:rPr>
          <w:rFonts w:ascii="Times New Roman" w:hAnsi="Times New Roman" w:cs="Times New Roman"/>
        </w:rPr>
        <w:t>Informácie podľa §58a ods. 3 písm. a) až d) rokovacieho poriadku</w:t>
      </w:r>
    </w:p>
    <w:p w:rsidR="002A4347" w:rsidP="002A4347">
      <w:pPr>
        <w:rPr>
          <w:rFonts w:ascii="Times New Roman" w:hAnsi="Times New Roman" w:cs="Times New Roman"/>
        </w:rPr>
      </w:pPr>
    </w:p>
    <w:p w:rsidR="002A4347" w:rsidP="002A4347">
      <w:pPr>
        <w:numPr>
          <w:ilvl w:val="0"/>
          <w:numId w:val="33"/>
        </w:numPr>
        <w:tabs>
          <w:tab w:val="left" w:pos="720"/>
        </w:tabs>
        <w:rPr>
          <w:rFonts w:ascii="Times New Roman" w:hAnsi="Times New Roman" w:cs="Times New Roman"/>
        </w:rPr>
      </w:pPr>
      <w:r w:rsidRPr="002A4347">
        <w:rPr>
          <w:rFonts w:ascii="Times New Roman" w:hAnsi="Times New Roman" w:cs="Times New Roman"/>
        </w:rPr>
        <w:t xml:space="preserve">Iniciatívne a iné materiály prerokúvané výborom  </w:t>
      </w:r>
    </w:p>
    <w:p w:rsidR="002A4347" w:rsidP="002A4347">
      <w:pPr>
        <w:rPr>
          <w:rFonts w:ascii="Times New Roman" w:hAnsi="Times New Roman" w:cs="Times New Roman"/>
        </w:rPr>
      </w:pPr>
    </w:p>
    <w:p w:rsidR="002A4347" w:rsidP="002A4347">
      <w:pPr>
        <w:numPr>
          <w:ilvl w:val="0"/>
          <w:numId w:val="33"/>
        </w:numPr>
        <w:tabs>
          <w:tab w:val="left" w:pos="720"/>
        </w:tabs>
        <w:rPr>
          <w:rFonts w:ascii="Times New Roman" w:hAnsi="Times New Roman" w:cs="Times New Roman"/>
        </w:rPr>
      </w:pPr>
      <w:r w:rsidRPr="002A4347">
        <w:rPr>
          <w:rFonts w:ascii="Times New Roman" w:hAnsi="Times New Roman" w:cs="Times New Roman"/>
        </w:rPr>
        <w:t>Zahraničné pracovné cesty a prijatia výboru a predsedu výboru</w:t>
      </w:r>
    </w:p>
    <w:p w:rsidR="002A4347" w:rsidP="002A4347">
      <w:pPr>
        <w:ind w:firstLine="360"/>
        <w:jc w:val="both"/>
        <w:rPr>
          <w:rFonts w:ascii="Times New Roman" w:hAnsi="Times New Roman" w:cs="Times New Roman"/>
        </w:rPr>
      </w:pPr>
    </w:p>
    <w:p w:rsidR="002A4347" w:rsidRPr="002A4347" w:rsidP="002A4347">
      <w:pPr>
        <w:ind w:firstLine="360"/>
        <w:jc w:val="both"/>
        <w:rPr>
          <w:rFonts w:ascii="Times New Roman" w:hAnsi="Times New Roman" w:cs="Times New Roman"/>
        </w:rPr>
      </w:pPr>
      <w:r w:rsidR="00C360AE">
        <w:rPr>
          <w:rFonts w:ascii="Times New Roman" w:hAnsi="Times New Roman" w:cs="Times New Roman"/>
        </w:rPr>
        <w:t>Prílohy</w:t>
      </w:r>
    </w:p>
    <w:p w:rsidR="002A4347" w:rsidRPr="002845D3" w:rsidP="002845D3">
      <w:pPr>
        <w:rPr>
          <w:rFonts w:ascii="Times New Roman" w:hAnsi="Times New Roman" w:cs="Times New Roman"/>
          <w:b/>
        </w:rPr>
      </w:pPr>
    </w:p>
    <w:p w:rsidR="002845D3"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P="0095109A">
      <w:pPr>
        <w:overflowPunct w:val="0"/>
        <w:autoSpaceDE/>
        <w:autoSpaceDN/>
        <w:ind w:firstLine="708"/>
        <w:jc w:val="both"/>
        <w:rPr>
          <w:rFonts w:ascii="Times New Roman" w:hAnsi="Times New Roman" w:cs="Times New Roman"/>
        </w:rPr>
      </w:pPr>
    </w:p>
    <w:p w:rsidR="002A4347" w:rsidRPr="002A4347" w:rsidP="00E66E17">
      <w:pPr>
        <w:shd w:val="clear" w:color="auto" w:fill="E0E0E0"/>
        <w:overflowPunct w:val="0"/>
        <w:autoSpaceDE/>
        <w:autoSpaceDN/>
        <w:jc w:val="both"/>
        <w:rPr>
          <w:rFonts w:ascii="Times New Roman" w:hAnsi="Times New Roman" w:cs="Times New Roman"/>
          <w:b/>
        </w:rPr>
      </w:pPr>
      <w:r>
        <w:rPr>
          <w:rFonts w:ascii="Times New Roman" w:hAnsi="Times New Roman" w:cs="Times New Roman"/>
          <w:b/>
        </w:rPr>
        <w:t xml:space="preserve">1. </w:t>
      </w:r>
      <w:r w:rsidRPr="002A4347">
        <w:rPr>
          <w:rFonts w:ascii="Times New Roman" w:hAnsi="Times New Roman" w:cs="Times New Roman"/>
          <w:b/>
        </w:rPr>
        <w:t>Úvod</w:t>
      </w:r>
    </w:p>
    <w:p w:rsidR="002A4347" w:rsidP="0095109A">
      <w:pPr>
        <w:overflowPunct w:val="0"/>
        <w:autoSpaceDE/>
        <w:autoSpaceDN/>
        <w:ind w:firstLine="708"/>
        <w:jc w:val="both"/>
        <w:rPr>
          <w:rFonts w:ascii="Times New Roman" w:hAnsi="Times New Roman" w:cs="Times New Roman"/>
        </w:rPr>
      </w:pPr>
    </w:p>
    <w:p w:rsidR="0095109A" w:rsidRPr="006B3DB8" w:rsidP="0095109A">
      <w:pPr>
        <w:overflowPunct w:val="0"/>
        <w:autoSpaceDE/>
        <w:autoSpaceDN/>
        <w:ind w:firstLine="708"/>
        <w:jc w:val="both"/>
        <w:rPr>
          <w:rFonts w:ascii="Times New Roman" w:hAnsi="Times New Roman" w:cs="Times New Roman"/>
          <w:sz w:val="23"/>
          <w:szCs w:val="23"/>
        </w:rPr>
      </w:pPr>
      <w:r w:rsidRPr="006B3DB8">
        <w:rPr>
          <w:rFonts w:ascii="Times New Roman" w:hAnsi="Times New Roman" w:cs="Times New Roman"/>
          <w:sz w:val="23"/>
          <w:szCs w:val="23"/>
        </w:rPr>
        <w:t>Výbor N</w:t>
      </w:r>
      <w:r w:rsidRPr="006B3DB8" w:rsidR="003B431D">
        <w:rPr>
          <w:rFonts w:ascii="Times New Roman" w:hAnsi="Times New Roman" w:cs="Times New Roman"/>
          <w:sz w:val="23"/>
          <w:szCs w:val="23"/>
        </w:rPr>
        <w:t>árodnej rady Slovenskej republiky</w:t>
      </w:r>
      <w:r w:rsidRPr="006B3DB8">
        <w:rPr>
          <w:rFonts w:ascii="Times New Roman" w:hAnsi="Times New Roman" w:cs="Times New Roman"/>
          <w:sz w:val="23"/>
          <w:szCs w:val="23"/>
        </w:rPr>
        <w:t xml:space="preserve"> pre európske záležitosti (ďalej „</w:t>
      </w:r>
      <w:r w:rsidRPr="006B3DB8" w:rsidR="003B431D">
        <w:rPr>
          <w:rFonts w:ascii="Times New Roman" w:hAnsi="Times New Roman" w:cs="Times New Roman"/>
          <w:sz w:val="23"/>
          <w:szCs w:val="23"/>
        </w:rPr>
        <w:t>v</w:t>
      </w:r>
      <w:r w:rsidRPr="006B3DB8">
        <w:rPr>
          <w:rFonts w:ascii="Times New Roman" w:hAnsi="Times New Roman" w:cs="Times New Roman"/>
          <w:sz w:val="23"/>
          <w:szCs w:val="23"/>
        </w:rPr>
        <w:t xml:space="preserve">ýbor pre európske záležitosti“) bol zriadený uznesením </w:t>
      </w:r>
      <w:r w:rsidRPr="006B3DB8" w:rsidR="003B431D">
        <w:rPr>
          <w:rFonts w:ascii="Times New Roman" w:hAnsi="Times New Roman" w:cs="Times New Roman"/>
          <w:sz w:val="23"/>
          <w:szCs w:val="23"/>
        </w:rPr>
        <w:t>Národnej rady Slovenskej republiky</w:t>
      </w:r>
      <w:r w:rsidRPr="006B3DB8">
        <w:rPr>
          <w:rFonts w:ascii="Times New Roman" w:hAnsi="Times New Roman" w:cs="Times New Roman"/>
          <w:sz w:val="23"/>
          <w:szCs w:val="23"/>
        </w:rPr>
        <w:t xml:space="preserve"> č. 893 z 29. apríla 2004. </w:t>
      </w:r>
    </w:p>
    <w:p w:rsidR="0095109A" w:rsidRPr="006B3DB8" w:rsidP="0095109A">
      <w:pPr>
        <w:overflowPunct w:val="0"/>
        <w:autoSpaceDE/>
        <w:autoSpaceDN/>
        <w:ind w:firstLine="708"/>
        <w:jc w:val="both"/>
        <w:rPr>
          <w:rFonts w:ascii="Times New Roman" w:hAnsi="Times New Roman" w:cs="Times New Roman"/>
          <w:sz w:val="23"/>
          <w:szCs w:val="23"/>
        </w:rPr>
      </w:pPr>
    </w:p>
    <w:p w:rsidR="0095109A" w:rsidRPr="006B3DB8" w:rsidP="0095109A">
      <w:pPr>
        <w:overflowPunct w:val="0"/>
        <w:autoSpaceDE/>
        <w:autoSpaceDN/>
        <w:ind w:firstLine="708"/>
        <w:jc w:val="both"/>
        <w:rPr>
          <w:rFonts w:ascii="Times New Roman" w:hAnsi="Times New Roman" w:cs="Times New Roman"/>
          <w:sz w:val="23"/>
          <w:szCs w:val="23"/>
        </w:rPr>
      </w:pPr>
      <w:r w:rsidRPr="006B3DB8">
        <w:rPr>
          <w:rFonts w:ascii="Times New Roman" w:hAnsi="Times New Roman" w:cs="Times New Roman"/>
          <w:sz w:val="23"/>
          <w:szCs w:val="23"/>
        </w:rPr>
        <w:t>Spoluprácu N</w:t>
      </w:r>
      <w:r w:rsidRPr="006B3DB8" w:rsidR="003B431D">
        <w:rPr>
          <w:rFonts w:ascii="Times New Roman" w:hAnsi="Times New Roman" w:cs="Times New Roman"/>
          <w:sz w:val="23"/>
          <w:szCs w:val="23"/>
        </w:rPr>
        <w:t xml:space="preserve">árodnej rady Slovenskej republiky (ďalej „národná rada“) </w:t>
      </w:r>
      <w:r w:rsidRPr="006B3DB8">
        <w:rPr>
          <w:rFonts w:ascii="Times New Roman" w:hAnsi="Times New Roman" w:cs="Times New Roman"/>
          <w:sz w:val="23"/>
          <w:szCs w:val="23"/>
        </w:rPr>
        <w:t>a vlády S</w:t>
      </w:r>
      <w:r w:rsidRPr="006B3DB8" w:rsidR="003B431D">
        <w:rPr>
          <w:rFonts w:ascii="Times New Roman" w:hAnsi="Times New Roman" w:cs="Times New Roman"/>
          <w:sz w:val="23"/>
          <w:szCs w:val="23"/>
        </w:rPr>
        <w:t>lovenskej republiky</w:t>
      </w:r>
      <w:r w:rsidRPr="006B3DB8">
        <w:rPr>
          <w:rFonts w:ascii="Times New Roman" w:hAnsi="Times New Roman" w:cs="Times New Roman"/>
          <w:sz w:val="23"/>
          <w:szCs w:val="23"/>
        </w:rPr>
        <w:t xml:space="preserve"> v európskych záležitostiach na národnej úrovni upravuj</w:t>
      </w:r>
      <w:r w:rsidRPr="006B3DB8" w:rsidR="00F9624D">
        <w:rPr>
          <w:rFonts w:ascii="Times New Roman" w:hAnsi="Times New Roman" w:cs="Times New Roman"/>
          <w:sz w:val="23"/>
          <w:szCs w:val="23"/>
        </w:rPr>
        <w:t>e</w:t>
      </w:r>
      <w:r w:rsidRPr="006B3DB8">
        <w:rPr>
          <w:rFonts w:ascii="Times New Roman" w:hAnsi="Times New Roman" w:cs="Times New Roman"/>
          <w:sz w:val="23"/>
          <w:szCs w:val="23"/>
        </w:rPr>
        <w:t xml:space="preserve"> ústavný zákon č. 397/2004 Z. z. o spolupráci N</w:t>
      </w:r>
      <w:r w:rsidRPr="006B3DB8" w:rsidR="00F75017">
        <w:rPr>
          <w:rFonts w:ascii="Times New Roman" w:hAnsi="Times New Roman" w:cs="Times New Roman"/>
          <w:sz w:val="23"/>
          <w:szCs w:val="23"/>
        </w:rPr>
        <w:t xml:space="preserve">árodnej rady Slovenskej republiky </w:t>
      </w:r>
      <w:r w:rsidRPr="006B3DB8">
        <w:rPr>
          <w:rFonts w:ascii="Times New Roman" w:hAnsi="Times New Roman" w:cs="Times New Roman"/>
          <w:sz w:val="23"/>
          <w:szCs w:val="23"/>
        </w:rPr>
        <w:t>a vlády S</w:t>
      </w:r>
      <w:r w:rsidRPr="006B3DB8" w:rsidR="00F75017">
        <w:rPr>
          <w:rFonts w:ascii="Times New Roman" w:hAnsi="Times New Roman" w:cs="Times New Roman"/>
          <w:sz w:val="23"/>
          <w:szCs w:val="23"/>
        </w:rPr>
        <w:t>lovenskej republiky</w:t>
      </w:r>
      <w:r w:rsidRPr="006B3DB8">
        <w:rPr>
          <w:rFonts w:ascii="Times New Roman" w:hAnsi="Times New Roman" w:cs="Times New Roman"/>
          <w:sz w:val="23"/>
          <w:szCs w:val="23"/>
        </w:rPr>
        <w:t xml:space="preserve"> v záležitostiach E</w:t>
      </w:r>
      <w:r w:rsidRPr="006B3DB8" w:rsidR="00F75017">
        <w:rPr>
          <w:rFonts w:ascii="Times New Roman" w:hAnsi="Times New Roman" w:cs="Times New Roman"/>
          <w:sz w:val="23"/>
          <w:szCs w:val="23"/>
        </w:rPr>
        <w:t>urópskej únie</w:t>
      </w:r>
      <w:r w:rsidRPr="006B3DB8" w:rsidR="00F9624D">
        <w:rPr>
          <w:rFonts w:ascii="Times New Roman" w:hAnsi="Times New Roman" w:cs="Times New Roman"/>
          <w:sz w:val="23"/>
          <w:szCs w:val="23"/>
        </w:rPr>
        <w:t>, ktorý s</w:t>
      </w:r>
      <w:r w:rsidRPr="006B3DB8">
        <w:rPr>
          <w:rFonts w:ascii="Times New Roman" w:hAnsi="Times New Roman" w:cs="Times New Roman"/>
          <w:sz w:val="23"/>
          <w:szCs w:val="23"/>
        </w:rPr>
        <w:t>tanovuje základný rámec spolupráce pri predkladaní návrhov pozičných dokumentov S</w:t>
      </w:r>
      <w:r w:rsidRPr="006B3DB8" w:rsidR="00F9624D">
        <w:rPr>
          <w:rFonts w:ascii="Times New Roman" w:hAnsi="Times New Roman" w:cs="Times New Roman"/>
          <w:sz w:val="23"/>
          <w:szCs w:val="23"/>
        </w:rPr>
        <w:t xml:space="preserve">lovenskej republiky </w:t>
      </w:r>
      <w:r w:rsidRPr="006B3DB8" w:rsidR="00F75017">
        <w:rPr>
          <w:rFonts w:ascii="Times New Roman" w:hAnsi="Times New Roman" w:cs="Times New Roman"/>
          <w:sz w:val="23"/>
          <w:szCs w:val="23"/>
        </w:rPr>
        <w:t>národnej rade</w:t>
      </w:r>
      <w:r w:rsidRPr="006B3DB8">
        <w:rPr>
          <w:rFonts w:ascii="Times New Roman" w:hAnsi="Times New Roman" w:cs="Times New Roman"/>
          <w:sz w:val="23"/>
          <w:szCs w:val="23"/>
        </w:rPr>
        <w:t xml:space="preserve">, pri ich schvaľovaní </w:t>
      </w:r>
      <w:r w:rsidRPr="006B3DB8" w:rsidR="00F9624D">
        <w:rPr>
          <w:rFonts w:ascii="Times New Roman" w:hAnsi="Times New Roman" w:cs="Times New Roman"/>
          <w:sz w:val="23"/>
          <w:szCs w:val="23"/>
        </w:rPr>
        <w:t xml:space="preserve">národnou radou </w:t>
      </w:r>
      <w:r w:rsidRPr="006B3DB8">
        <w:rPr>
          <w:rFonts w:ascii="Times New Roman" w:hAnsi="Times New Roman" w:cs="Times New Roman"/>
          <w:sz w:val="23"/>
          <w:szCs w:val="23"/>
        </w:rPr>
        <w:t xml:space="preserve">a pri informovaní </w:t>
      </w:r>
      <w:r w:rsidRPr="006B3DB8" w:rsidR="00F75017">
        <w:rPr>
          <w:rFonts w:ascii="Times New Roman" w:hAnsi="Times New Roman" w:cs="Times New Roman"/>
          <w:sz w:val="23"/>
          <w:szCs w:val="23"/>
        </w:rPr>
        <w:t xml:space="preserve">národnej rady </w:t>
      </w:r>
      <w:r w:rsidRPr="006B3DB8">
        <w:rPr>
          <w:rFonts w:ascii="Times New Roman" w:hAnsi="Times New Roman" w:cs="Times New Roman"/>
          <w:sz w:val="23"/>
          <w:szCs w:val="23"/>
        </w:rPr>
        <w:t>o</w:t>
      </w:r>
      <w:r w:rsidRPr="006B3DB8" w:rsidR="003B431D">
        <w:rPr>
          <w:rFonts w:ascii="Times New Roman" w:hAnsi="Times New Roman" w:cs="Times New Roman"/>
          <w:sz w:val="23"/>
          <w:szCs w:val="23"/>
        </w:rPr>
        <w:t xml:space="preserve"> ďalších </w:t>
      </w:r>
      <w:r w:rsidRPr="006B3DB8">
        <w:rPr>
          <w:rFonts w:ascii="Times New Roman" w:hAnsi="Times New Roman" w:cs="Times New Roman"/>
          <w:sz w:val="23"/>
          <w:szCs w:val="23"/>
        </w:rPr>
        <w:t xml:space="preserve">záležitostiach EÚ. Druhým právnym predpisom je zákon </w:t>
      </w:r>
      <w:r w:rsidR="002F1B20">
        <w:rPr>
          <w:rFonts w:ascii="Times New Roman" w:hAnsi="Times New Roman" w:cs="Times New Roman"/>
          <w:sz w:val="23"/>
          <w:szCs w:val="23"/>
        </w:rPr>
        <w:t>Národnej r</w:t>
      </w:r>
      <w:r w:rsidR="002F1B20">
        <w:rPr>
          <w:rFonts w:ascii="Times New Roman" w:hAnsi="Times New Roman" w:cs="Times New Roman"/>
          <w:sz w:val="23"/>
          <w:szCs w:val="23"/>
        </w:rPr>
        <w:t xml:space="preserve">ady Slovenskej republiky </w:t>
      </w:r>
      <w:r w:rsidRPr="006B3DB8">
        <w:rPr>
          <w:rFonts w:ascii="Times New Roman" w:hAnsi="Times New Roman" w:cs="Times New Roman"/>
          <w:sz w:val="23"/>
          <w:szCs w:val="23"/>
        </w:rPr>
        <w:t xml:space="preserve">č. 350/1996 Z. z. o rokovacom poriadku </w:t>
      </w:r>
      <w:r w:rsidRPr="006B3DB8" w:rsidR="00F75017">
        <w:rPr>
          <w:rFonts w:ascii="Times New Roman" w:hAnsi="Times New Roman" w:cs="Times New Roman"/>
          <w:sz w:val="23"/>
          <w:szCs w:val="23"/>
        </w:rPr>
        <w:t>Národnej rady Slovenskej republiky</w:t>
      </w:r>
      <w:r w:rsidRPr="006B3DB8">
        <w:rPr>
          <w:rFonts w:ascii="Times New Roman" w:hAnsi="Times New Roman" w:cs="Times New Roman"/>
          <w:sz w:val="23"/>
          <w:szCs w:val="23"/>
        </w:rPr>
        <w:t xml:space="preserve"> v znení neskorších predpisov</w:t>
      </w:r>
      <w:r w:rsidRPr="006B3DB8" w:rsidR="00533E36">
        <w:rPr>
          <w:rFonts w:ascii="Times New Roman" w:hAnsi="Times New Roman" w:cs="Times New Roman"/>
          <w:sz w:val="23"/>
          <w:szCs w:val="23"/>
        </w:rPr>
        <w:t xml:space="preserve"> (ďalej „rokovaní poriadok“)</w:t>
      </w:r>
      <w:r w:rsidRPr="006B3DB8">
        <w:rPr>
          <w:rFonts w:ascii="Times New Roman" w:hAnsi="Times New Roman" w:cs="Times New Roman"/>
          <w:sz w:val="23"/>
          <w:szCs w:val="23"/>
        </w:rPr>
        <w:t xml:space="preserve">, ktorý upravuje </w:t>
      </w:r>
      <w:r w:rsidRPr="006B3DB8" w:rsidR="004E1BD3">
        <w:rPr>
          <w:rFonts w:ascii="Times New Roman" w:hAnsi="Times New Roman" w:cs="Times New Roman"/>
          <w:sz w:val="23"/>
          <w:szCs w:val="23"/>
        </w:rPr>
        <w:t xml:space="preserve">zloženie a </w:t>
      </w:r>
      <w:r w:rsidRPr="006B3DB8">
        <w:rPr>
          <w:rFonts w:ascii="Times New Roman" w:hAnsi="Times New Roman" w:cs="Times New Roman"/>
          <w:sz w:val="23"/>
          <w:szCs w:val="23"/>
        </w:rPr>
        <w:t xml:space="preserve">pôsobnosť </w:t>
      </w:r>
      <w:r w:rsidRPr="006B3DB8" w:rsidR="003B431D">
        <w:rPr>
          <w:rFonts w:ascii="Times New Roman" w:hAnsi="Times New Roman" w:cs="Times New Roman"/>
          <w:sz w:val="23"/>
          <w:szCs w:val="23"/>
        </w:rPr>
        <w:t>v</w:t>
      </w:r>
      <w:r w:rsidRPr="006B3DB8">
        <w:rPr>
          <w:rFonts w:ascii="Times New Roman" w:hAnsi="Times New Roman" w:cs="Times New Roman"/>
          <w:sz w:val="23"/>
          <w:szCs w:val="23"/>
        </w:rPr>
        <w:t xml:space="preserve">ýboru pre európske záležitosti.  </w:t>
      </w:r>
    </w:p>
    <w:p w:rsidR="0095109A" w:rsidRPr="006B3DB8" w:rsidP="0095109A">
      <w:pPr>
        <w:overflowPunct w:val="0"/>
        <w:autoSpaceDE/>
        <w:autoSpaceDN/>
        <w:ind w:firstLine="708"/>
        <w:jc w:val="both"/>
        <w:rPr>
          <w:rFonts w:ascii="Times New Roman" w:hAnsi="Times New Roman" w:cs="Times New Roman"/>
          <w:sz w:val="23"/>
          <w:szCs w:val="23"/>
        </w:rPr>
      </w:pPr>
    </w:p>
    <w:p w:rsidR="004C3DEA" w:rsidRPr="006B3DB8" w:rsidP="004C3DEA">
      <w:pPr>
        <w:overflowPunct w:val="0"/>
        <w:autoSpaceDE/>
        <w:autoSpaceDN/>
        <w:ind w:firstLine="708"/>
        <w:jc w:val="both"/>
        <w:rPr>
          <w:rFonts w:ascii="Times New Roman" w:hAnsi="Times New Roman" w:cs="Times New Roman"/>
          <w:sz w:val="23"/>
          <w:szCs w:val="23"/>
        </w:rPr>
      </w:pPr>
      <w:r w:rsidRPr="006B3DB8" w:rsidR="0095109A">
        <w:rPr>
          <w:rFonts w:ascii="Times New Roman" w:hAnsi="Times New Roman" w:cs="Times New Roman"/>
          <w:sz w:val="23"/>
          <w:szCs w:val="23"/>
        </w:rPr>
        <w:t>Návrh právne záväzného aktu</w:t>
      </w:r>
      <w:r w:rsidRPr="006B3DB8" w:rsidR="0095109A">
        <w:rPr>
          <w:rFonts w:ascii="Times New Roman" w:hAnsi="Times New Roman" w:cs="Times New Roman"/>
          <w:sz w:val="23"/>
          <w:szCs w:val="23"/>
        </w:rPr>
        <w:t xml:space="preserve"> alebo iného aktu Európskych spoločenstiev a Európskej únie je v rámci EÚ </w:t>
      </w:r>
      <w:r w:rsidRPr="006B3DB8" w:rsidR="00533E36">
        <w:rPr>
          <w:rFonts w:ascii="Times New Roman" w:hAnsi="Times New Roman" w:cs="Times New Roman"/>
          <w:sz w:val="23"/>
          <w:szCs w:val="23"/>
        </w:rPr>
        <w:t xml:space="preserve">a následne v SR </w:t>
      </w:r>
      <w:r w:rsidRPr="006B3DB8" w:rsidR="0095109A">
        <w:rPr>
          <w:rFonts w:ascii="Times New Roman" w:hAnsi="Times New Roman" w:cs="Times New Roman"/>
          <w:sz w:val="23"/>
          <w:szCs w:val="23"/>
        </w:rPr>
        <w:t>pre</w:t>
      </w:r>
      <w:r w:rsidRPr="006B3DB8" w:rsidR="004E1BD3">
        <w:rPr>
          <w:rFonts w:ascii="Times New Roman" w:hAnsi="Times New Roman" w:cs="Times New Roman"/>
          <w:sz w:val="23"/>
          <w:szCs w:val="23"/>
        </w:rPr>
        <w:t>rokúvaný na v</w:t>
      </w:r>
      <w:r w:rsidR="002F1B20">
        <w:rPr>
          <w:rFonts w:ascii="Times New Roman" w:hAnsi="Times New Roman" w:cs="Times New Roman"/>
          <w:sz w:val="23"/>
          <w:szCs w:val="23"/>
        </w:rPr>
        <w:t xml:space="preserve">iacerých úrovniach, ktoré vo svojej činnosti monitoruje aj výbor pre európske záležitosti. </w:t>
      </w:r>
    </w:p>
    <w:p w:rsidR="004C3DEA" w:rsidRPr="006B3DB8" w:rsidP="004C3DEA">
      <w:pPr>
        <w:overflowPunct w:val="0"/>
        <w:autoSpaceDE/>
        <w:autoSpaceDN/>
        <w:ind w:firstLine="708"/>
        <w:jc w:val="both"/>
        <w:rPr>
          <w:rFonts w:ascii="Times New Roman" w:hAnsi="Times New Roman" w:cs="Times New Roman"/>
          <w:sz w:val="23"/>
          <w:szCs w:val="23"/>
        </w:rPr>
      </w:pPr>
    </w:p>
    <w:p w:rsidR="004C3DEA" w:rsidRPr="006B3DB8" w:rsidP="00F75017">
      <w:pPr>
        <w:numPr>
          <w:ilvl w:val="0"/>
          <w:numId w:val="3"/>
        </w:numPr>
        <w:tabs>
          <w:tab w:val="left" w:pos="720"/>
          <w:tab w:val="clear" w:pos="1065"/>
        </w:tabs>
        <w:overflowPunct w:val="0"/>
        <w:autoSpaceDE/>
        <w:autoSpaceDN/>
        <w:spacing w:after="120"/>
        <w:ind w:left="720"/>
        <w:jc w:val="both"/>
        <w:rPr>
          <w:rFonts w:ascii="Times New Roman" w:hAnsi="Times New Roman" w:cs="Times New Roman"/>
          <w:sz w:val="23"/>
          <w:szCs w:val="23"/>
          <w:lang w:eastAsia="en-US"/>
        </w:rPr>
      </w:pPr>
      <w:r w:rsidRPr="006B3DB8">
        <w:rPr>
          <w:rFonts w:ascii="Times New Roman" w:hAnsi="Times New Roman" w:cs="Times New Roman"/>
          <w:sz w:val="23"/>
          <w:szCs w:val="23"/>
        </w:rPr>
        <w:t xml:space="preserve">Na úrovni </w:t>
      </w:r>
      <w:r w:rsidRPr="006B3DB8">
        <w:rPr>
          <w:rFonts w:ascii="Times New Roman" w:hAnsi="Times New Roman" w:cs="Times New Roman"/>
          <w:i/>
          <w:sz w:val="23"/>
          <w:szCs w:val="23"/>
        </w:rPr>
        <w:t>pracovn</w:t>
      </w:r>
      <w:r w:rsidRPr="006B3DB8" w:rsidR="00AB48B1">
        <w:rPr>
          <w:rFonts w:ascii="Times New Roman" w:hAnsi="Times New Roman" w:cs="Times New Roman"/>
          <w:i/>
          <w:sz w:val="23"/>
          <w:szCs w:val="23"/>
        </w:rPr>
        <w:t>ých</w:t>
      </w:r>
      <w:r w:rsidRPr="006B3DB8">
        <w:rPr>
          <w:rFonts w:ascii="Times New Roman" w:hAnsi="Times New Roman" w:cs="Times New Roman"/>
          <w:i/>
          <w:sz w:val="23"/>
          <w:szCs w:val="23"/>
        </w:rPr>
        <w:t xml:space="preserve"> skup</w:t>
      </w:r>
      <w:r w:rsidRPr="006B3DB8" w:rsidR="00AB48B1">
        <w:rPr>
          <w:rFonts w:ascii="Times New Roman" w:hAnsi="Times New Roman" w:cs="Times New Roman"/>
          <w:i/>
          <w:sz w:val="23"/>
          <w:szCs w:val="23"/>
        </w:rPr>
        <w:t>ín</w:t>
      </w:r>
      <w:r w:rsidRPr="006B3DB8">
        <w:rPr>
          <w:rFonts w:ascii="Times New Roman" w:hAnsi="Times New Roman" w:cs="Times New Roman"/>
          <w:i/>
          <w:sz w:val="23"/>
          <w:szCs w:val="23"/>
        </w:rPr>
        <w:t xml:space="preserve"> Rady EÚ</w:t>
      </w:r>
      <w:r w:rsidRPr="006B3DB8">
        <w:rPr>
          <w:rFonts w:ascii="Times New Roman" w:hAnsi="Times New Roman" w:cs="Times New Roman"/>
          <w:sz w:val="23"/>
          <w:szCs w:val="23"/>
        </w:rPr>
        <w:t xml:space="preserve"> sú jednotlivé štáty z</w:t>
      </w:r>
      <w:r w:rsidRPr="006B3DB8">
        <w:rPr>
          <w:rFonts w:ascii="Times New Roman" w:hAnsi="Times New Roman" w:cs="Times New Roman"/>
          <w:sz w:val="23"/>
          <w:szCs w:val="23"/>
        </w:rPr>
        <w:t>astúpené expert</w:t>
      </w:r>
      <w:r w:rsidRPr="006B3DB8" w:rsidR="00E9757C">
        <w:rPr>
          <w:rFonts w:ascii="Times New Roman" w:hAnsi="Times New Roman" w:cs="Times New Roman"/>
          <w:sz w:val="23"/>
          <w:szCs w:val="23"/>
        </w:rPr>
        <w:t>mi</w:t>
      </w:r>
      <w:r w:rsidRPr="006B3DB8">
        <w:rPr>
          <w:rFonts w:ascii="Times New Roman" w:hAnsi="Times New Roman" w:cs="Times New Roman"/>
          <w:sz w:val="23"/>
          <w:szCs w:val="23"/>
        </w:rPr>
        <w:t xml:space="preserve"> príslušných ministerstiev. </w:t>
      </w:r>
      <w:r w:rsidRPr="006B3DB8" w:rsidR="00F75017">
        <w:rPr>
          <w:rFonts w:ascii="Times New Roman" w:hAnsi="Times New Roman" w:cs="Times New Roman"/>
          <w:sz w:val="23"/>
          <w:szCs w:val="23"/>
        </w:rPr>
        <w:t>Paralelne k tejto úrovni boli na</w:t>
      </w:r>
      <w:r w:rsidRPr="006B3DB8">
        <w:rPr>
          <w:rFonts w:ascii="Times New Roman" w:hAnsi="Times New Roman" w:cs="Times New Roman"/>
          <w:sz w:val="23"/>
          <w:szCs w:val="23"/>
        </w:rPr>
        <w:t xml:space="preserve"> úrovni S</w:t>
      </w:r>
      <w:r w:rsidRPr="006B3DB8" w:rsidR="00F75017">
        <w:rPr>
          <w:rFonts w:ascii="Times New Roman" w:hAnsi="Times New Roman" w:cs="Times New Roman"/>
          <w:sz w:val="23"/>
          <w:szCs w:val="23"/>
        </w:rPr>
        <w:t>R</w:t>
      </w:r>
      <w:r w:rsidRPr="006B3DB8" w:rsidR="008B726A">
        <w:rPr>
          <w:rFonts w:ascii="Times New Roman" w:hAnsi="Times New Roman" w:cs="Times New Roman"/>
          <w:sz w:val="23"/>
          <w:szCs w:val="23"/>
        </w:rPr>
        <w:t xml:space="preserve"> na jednotlivých ministerstvách </w:t>
      </w:r>
      <w:r w:rsidRPr="006B3DB8">
        <w:rPr>
          <w:rFonts w:ascii="Times New Roman" w:hAnsi="Times New Roman" w:cs="Times New Roman"/>
          <w:sz w:val="23"/>
          <w:szCs w:val="23"/>
        </w:rPr>
        <w:t>vytvorené tzv. rezortné koordinačné skupiny</w:t>
      </w:r>
      <w:r w:rsidRPr="006B3DB8" w:rsidR="008B726A">
        <w:rPr>
          <w:rFonts w:ascii="Times New Roman" w:hAnsi="Times New Roman" w:cs="Times New Roman"/>
          <w:sz w:val="23"/>
          <w:szCs w:val="23"/>
        </w:rPr>
        <w:t xml:space="preserve"> (ďalej RKS).</w:t>
      </w:r>
      <w:r w:rsidRPr="006B3DB8">
        <w:rPr>
          <w:rFonts w:ascii="Times New Roman" w:hAnsi="Times New Roman" w:cs="Times New Roman"/>
          <w:sz w:val="23"/>
          <w:szCs w:val="23"/>
        </w:rPr>
        <w:t xml:space="preserve"> </w:t>
      </w:r>
      <w:r w:rsidRPr="006B3DB8" w:rsidR="00AB48B1">
        <w:rPr>
          <w:rFonts w:ascii="Times New Roman" w:hAnsi="Times New Roman" w:cs="Times New Roman"/>
          <w:sz w:val="23"/>
          <w:szCs w:val="23"/>
        </w:rPr>
        <w:t>Na z</w:t>
      </w:r>
      <w:r w:rsidRPr="006B3DB8">
        <w:rPr>
          <w:rFonts w:ascii="Times New Roman" w:hAnsi="Times New Roman" w:cs="Times New Roman"/>
          <w:sz w:val="23"/>
          <w:szCs w:val="23"/>
        </w:rPr>
        <w:t>asadnutia</w:t>
      </w:r>
      <w:r w:rsidRPr="006B3DB8" w:rsidR="00AB48B1">
        <w:rPr>
          <w:rFonts w:ascii="Times New Roman" w:hAnsi="Times New Roman" w:cs="Times New Roman"/>
          <w:sz w:val="23"/>
          <w:szCs w:val="23"/>
        </w:rPr>
        <w:t>ch</w:t>
      </w:r>
      <w:r w:rsidRPr="006B3DB8">
        <w:rPr>
          <w:rFonts w:ascii="Times New Roman" w:hAnsi="Times New Roman" w:cs="Times New Roman"/>
          <w:sz w:val="23"/>
          <w:szCs w:val="23"/>
        </w:rPr>
        <w:t xml:space="preserve"> RKS sa môžu zúčastniť </w:t>
      </w:r>
      <w:r w:rsidRPr="006B3DB8" w:rsidR="003C1B5B">
        <w:rPr>
          <w:rFonts w:ascii="Times New Roman" w:hAnsi="Times New Roman" w:cs="Times New Roman"/>
          <w:sz w:val="23"/>
          <w:szCs w:val="23"/>
        </w:rPr>
        <w:t xml:space="preserve">poslanci výboru </w:t>
      </w:r>
      <w:r w:rsidRPr="006B3DB8" w:rsidR="00F75017">
        <w:rPr>
          <w:rFonts w:ascii="Times New Roman" w:hAnsi="Times New Roman" w:cs="Times New Roman"/>
          <w:sz w:val="23"/>
          <w:szCs w:val="23"/>
        </w:rPr>
        <w:t xml:space="preserve">pre európske záležitosti </w:t>
      </w:r>
      <w:r w:rsidRPr="006B3DB8">
        <w:rPr>
          <w:rFonts w:ascii="Times New Roman" w:hAnsi="Times New Roman" w:cs="Times New Roman"/>
          <w:sz w:val="23"/>
          <w:szCs w:val="23"/>
        </w:rPr>
        <w:t>a</w:t>
      </w:r>
      <w:r w:rsidRPr="006B3DB8">
        <w:rPr>
          <w:rFonts w:ascii="Times New Roman" w:hAnsi="Times New Roman" w:cs="Times New Roman"/>
          <w:sz w:val="23"/>
          <w:szCs w:val="23"/>
        </w:rPr>
        <w:t xml:space="preserve"> odborní zamestnanci Kancelárie NR SR. </w:t>
      </w:r>
      <w:r w:rsidRPr="006B3DB8" w:rsidR="000B5E68">
        <w:rPr>
          <w:rFonts w:ascii="Times New Roman" w:hAnsi="Times New Roman" w:cs="Times New Roman"/>
          <w:sz w:val="23"/>
          <w:szCs w:val="23"/>
        </w:rPr>
        <w:t xml:space="preserve">V tejto fáze </w:t>
      </w:r>
      <w:r w:rsidRPr="006B3DB8" w:rsidR="004E1BD3">
        <w:rPr>
          <w:rFonts w:ascii="Times New Roman" w:hAnsi="Times New Roman" w:cs="Times New Roman"/>
          <w:sz w:val="23"/>
          <w:szCs w:val="23"/>
        </w:rPr>
        <w:t xml:space="preserve">je pripravené </w:t>
      </w:r>
      <w:r w:rsidRPr="006B3DB8" w:rsidR="000B5E68">
        <w:rPr>
          <w:rFonts w:ascii="Times New Roman" w:hAnsi="Times New Roman" w:cs="Times New Roman"/>
          <w:i/>
          <w:sz w:val="23"/>
          <w:szCs w:val="23"/>
        </w:rPr>
        <w:t>tzv. predbežné stanovisko</w:t>
      </w:r>
      <w:r w:rsidRPr="006B3DB8" w:rsidR="000B5E68">
        <w:rPr>
          <w:rFonts w:ascii="Times New Roman" w:hAnsi="Times New Roman" w:cs="Times New Roman"/>
          <w:sz w:val="23"/>
          <w:szCs w:val="23"/>
        </w:rPr>
        <w:t xml:space="preserve"> a v lehote troch týždňov od predloženia </w:t>
      </w:r>
      <w:r w:rsidRPr="006B3DB8" w:rsidR="00E9757C">
        <w:rPr>
          <w:rFonts w:ascii="Times New Roman" w:hAnsi="Times New Roman" w:cs="Times New Roman"/>
          <w:sz w:val="23"/>
          <w:szCs w:val="23"/>
        </w:rPr>
        <w:t xml:space="preserve">návrhu </w:t>
      </w:r>
      <w:r w:rsidRPr="006B3DB8" w:rsidR="000B5E68">
        <w:rPr>
          <w:rFonts w:ascii="Times New Roman" w:hAnsi="Times New Roman" w:cs="Times New Roman"/>
          <w:sz w:val="23"/>
          <w:szCs w:val="23"/>
        </w:rPr>
        <w:t>doručené výboru</w:t>
      </w:r>
      <w:r w:rsidRPr="006B3DB8" w:rsidR="00E9757C">
        <w:rPr>
          <w:rFonts w:ascii="Times New Roman" w:hAnsi="Times New Roman" w:cs="Times New Roman"/>
          <w:sz w:val="23"/>
          <w:szCs w:val="23"/>
        </w:rPr>
        <w:t xml:space="preserve"> </w:t>
      </w:r>
      <w:r w:rsidRPr="006B3DB8" w:rsidR="00F75017">
        <w:rPr>
          <w:rFonts w:ascii="Times New Roman" w:hAnsi="Times New Roman" w:cs="Times New Roman"/>
          <w:sz w:val="23"/>
          <w:szCs w:val="23"/>
        </w:rPr>
        <w:t xml:space="preserve">pre európske záležitosti </w:t>
      </w:r>
      <w:r w:rsidRPr="006B3DB8" w:rsidR="00E9757C">
        <w:rPr>
          <w:rFonts w:ascii="Times New Roman" w:hAnsi="Times New Roman" w:cs="Times New Roman"/>
          <w:sz w:val="23"/>
          <w:szCs w:val="23"/>
        </w:rPr>
        <w:t>(§58a ods. 8 rokovacieho poriadku)</w:t>
      </w:r>
      <w:r w:rsidRPr="006B3DB8" w:rsidR="000B5E68">
        <w:rPr>
          <w:rFonts w:ascii="Times New Roman" w:hAnsi="Times New Roman" w:cs="Times New Roman"/>
          <w:sz w:val="23"/>
          <w:szCs w:val="23"/>
        </w:rPr>
        <w:t>.</w:t>
      </w:r>
    </w:p>
    <w:p w:rsidR="00D309DF" w:rsidRPr="006B3DB8" w:rsidP="00F75017">
      <w:pPr>
        <w:numPr>
          <w:ilvl w:val="0"/>
          <w:numId w:val="3"/>
        </w:numPr>
        <w:tabs>
          <w:tab w:val="left" w:pos="720"/>
          <w:tab w:val="clear" w:pos="1065"/>
        </w:tabs>
        <w:overflowPunct w:val="0"/>
        <w:autoSpaceDE/>
        <w:autoSpaceDN/>
        <w:spacing w:after="120"/>
        <w:ind w:left="720"/>
        <w:jc w:val="both"/>
        <w:rPr>
          <w:rFonts w:ascii="Times New Roman" w:hAnsi="Times New Roman" w:cs="Times New Roman"/>
          <w:sz w:val="23"/>
          <w:szCs w:val="23"/>
          <w:lang w:eastAsia="en-US"/>
        </w:rPr>
      </w:pPr>
      <w:r w:rsidRPr="006B3DB8" w:rsidR="003C1B5B">
        <w:rPr>
          <w:rFonts w:ascii="Times New Roman" w:hAnsi="Times New Roman" w:cs="Times New Roman"/>
          <w:sz w:val="23"/>
          <w:szCs w:val="23"/>
          <w:lang w:eastAsia="en-US"/>
        </w:rPr>
        <w:t xml:space="preserve">Ďalšou úrovňou je </w:t>
      </w:r>
      <w:r w:rsidRPr="006B3DB8" w:rsidR="003C1B5B">
        <w:rPr>
          <w:rFonts w:ascii="Times New Roman" w:hAnsi="Times New Roman" w:cs="Times New Roman"/>
          <w:i/>
          <w:sz w:val="23"/>
          <w:szCs w:val="23"/>
          <w:lang w:eastAsia="en-US"/>
        </w:rPr>
        <w:t>výbor stálych zástupco</w:t>
      </w:r>
      <w:r w:rsidRPr="006B3DB8" w:rsidR="003C1B5B">
        <w:rPr>
          <w:rFonts w:ascii="Times New Roman" w:hAnsi="Times New Roman" w:cs="Times New Roman"/>
          <w:i/>
          <w:sz w:val="23"/>
          <w:szCs w:val="23"/>
          <w:lang w:eastAsia="en-US"/>
        </w:rPr>
        <w:t>v (tzv. COREPR 1 a 2)</w:t>
      </w:r>
      <w:r w:rsidRPr="006B3DB8" w:rsidR="003C1B5B">
        <w:rPr>
          <w:rFonts w:ascii="Times New Roman" w:hAnsi="Times New Roman" w:cs="Times New Roman"/>
          <w:sz w:val="23"/>
          <w:szCs w:val="23"/>
          <w:lang w:eastAsia="en-US"/>
        </w:rPr>
        <w:t>,</w:t>
      </w:r>
      <w:r>
        <w:rPr>
          <w:rStyle w:val="FootnoteReference"/>
          <w:rFonts w:ascii="Times New Roman" w:hAnsi="Times New Roman" w:cs="Times New Roman"/>
          <w:sz w:val="23"/>
          <w:szCs w:val="23"/>
          <w:rtl w:val="0"/>
          <w:lang w:eastAsia="en-US"/>
        </w:rPr>
        <w:footnoteReference w:id="2"/>
      </w:r>
      <w:r w:rsidRPr="006B3DB8" w:rsidR="003C1B5B">
        <w:rPr>
          <w:rFonts w:ascii="Times New Roman" w:hAnsi="Times New Roman" w:cs="Times New Roman"/>
          <w:sz w:val="23"/>
          <w:szCs w:val="23"/>
          <w:lang w:eastAsia="en-US"/>
        </w:rPr>
        <w:t xml:space="preserve"> ktorého činnosť </w:t>
      </w:r>
      <w:r w:rsidRPr="006B3DB8" w:rsidR="003C1B5B">
        <w:rPr>
          <w:rFonts w:ascii="Times New Roman" w:hAnsi="Times New Roman" w:cs="Times New Roman"/>
          <w:sz w:val="23"/>
          <w:szCs w:val="23"/>
        </w:rPr>
        <w:t xml:space="preserve">sa sústreďuje predovšetkým na prípravnú fázu </w:t>
      </w:r>
      <w:r w:rsidRPr="006B3DB8" w:rsidR="004E1BD3">
        <w:rPr>
          <w:rFonts w:ascii="Times New Roman" w:hAnsi="Times New Roman" w:cs="Times New Roman"/>
          <w:sz w:val="23"/>
          <w:szCs w:val="23"/>
        </w:rPr>
        <w:t xml:space="preserve">pred </w:t>
      </w:r>
      <w:r w:rsidRPr="006B3DB8" w:rsidR="003C1B5B">
        <w:rPr>
          <w:rFonts w:ascii="Times New Roman" w:hAnsi="Times New Roman" w:cs="Times New Roman"/>
          <w:sz w:val="23"/>
          <w:szCs w:val="23"/>
        </w:rPr>
        <w:t>rokovaní</w:t>
      </w:r>
      <w:r w:rsidRPr="006B3DB8" w:rsidR="004E1BD3">
        <w:rPr>
          <w:rFonts w:ascii="Times New Roman" w:hAnsi="Times New Roman" w:cs="Times New Roman"/>
          <w:sz w:val="23"/>
          <w:szCs w:val="23"/>
        </w:rPr>
        <w:t>m</w:t>
      </w:r>
      <w:r w:rsidRPr="006B3DB8" w:rsidR="003C1B5B">
        <w:rPr>
          <w:rFonts w:ascii="Times New Roman" w:hAnsi="Times New Roman" w:cs="Times New Roman"/>
          <w:sz w:val="23"/>
          <w:szCs w:val="23"/>
        </w:rPr>
        <w:t xml:space="preserve"> Rady EÚ o jednotlivých návrhoch.</w:t>
      </w:r>
      <w:r w:rsidRPr="006B3DB8">
        <w:rPr>
          <w:rFonts w:ascii="Times New Roman" w:hAnsi="Times New Roman" w:cs="Times New Roman"/>
          <w:sz w:val="23"/>
          <w:szCs w:val="23"/>
        </w:rPr>
        <w:t xml:space="preserve"> Paralelne k tejto úrovni boli na úrovni SR vytvorené tzv. Komisie pre záležitosti EÚ 1 a</w:t>
      </w:r>
      <w:r w:rsidRPr="006B3DB8" w:rsidR="008B726A">
        <w:rPr>
          <w:rFonts w:ascii="Times New Roman" w:hAnsi="Times New Roman" w:cs="Times New Roman"/>
          <w:sz w:val="23"/>
          <w:szCs w:val="23"/>
        </w:rPr>
        <w:t> </w:t>
      </w:r>
      <w:r w:rsidRPr="006B3DB8">
        <w:rPr>
          <w:rFonts w:ascii="Times New Roman" w:hAnsi="Times New Roman" w:cs="Times New Roman"/>
          <w:sz w:val="23"/>
          <w:szCs w:val="23"/>
        </w:rPr>
        <w:t>2</w:t>
      </w:r>
      <w:r w:rsidRPr="006B3DB8" w:rsidR="008B726A">
        <w:rPr>
          <w:rFonts w:ascii="Times New Roman" w:hAnsi="Times New Roman" w:cs="Times New Roman"/>
          <w:sz w:val="23"/>
          <w:szCs w:val="23"/>
        </w:rPr>
        <w:t xml:space="preserve"> </w:t>
      </w:r>
      <w:r w:rsidRPr="006B3DB8" w:rsidR="004E1BD3">
        <w:rPr>
          <w:rFonts w:ascii="Times New Roman" w:hAnsi="Times New Roman" w:cs="Times New Roman"/>
          <w:sz w:val="23"/>
          <w:szCs w:val="23"/>
        </w:rPr>
        <w:t xml:space="preserve">(ďalej KEÚ 1 a 2) </w:t>
      </w:r>
      <w:r w:rsidRPr="006B3DB8" w:rsidR="008B726A">
        <w:rPr>
          <w:rFonts w:ascii="Times New Roman" w:hAnsi="Times New Roman" w:cs="Times New Roman"/>
          <w:sz w:val="23"/>
          <w:szCs w:val="23"/>
        </w:rPr>
        <w:t>pod gesciou Mi</w:t>
      </w:r>
      <w:r w:rsidRPr="006B3DB8" w:rsidR="008B726A">
        <w:rPr>
          <w:rFonts w:ascii="Times New Roman" w:hAnsi="Times New Roman" w:cs="Times New Roman"/>
          <w:sz w:val="23"/>
          <w:szCs w:val="23"/>
        </w:rPr>
        <w:t>nisterstva zahraničných vecí SR</w:t>
      </w:r>
      <w:r w:rsidRPr="006B3DB8">
        <w:rPr>
          <w:rFonts w:ascii="Times New Roman" w:hAnsi="Times New Roman" w:cs="Times New Roman"/>
          <w:sz w:val="23"/>
          <w:szCs w:val="23"/>
        </w:rPr>
        <w:t xml:space="preserve">, ktoré prerokúvajú a schvaľujú </w:t>
      </w:r>
      <w:r w:rsidRPr="006B3DB8">
        <w:rPr>
          <w:rFonts w:ascii="Times New Roman" w:hAnsi="Times New Roman" w:cs="Times New Roman"/>
          <w:i/>
          <w:sz w:val="23"/>
          <w:szCs w:val="23"/>
        </w:rPr>
        <w:t>inštrukcie</w:t>
      </w:r>
      <w:r w:rsidRPr="006B3DB8">
        <w:rPr>
          <w:rFonts w:ascii="Times New Roman" w:hAnsi="Times New Roman" w:cs="Times New Roman"/>
          <w:sz w:val="23"/>
          <w:szCs w:val="23"/>
        </w:rPr>
        <w:t xml:space="preserve"> na zasadnutie COREPER-u vypracované príslušným ministerstvom. </w:t>
      </w:r>
      <w:r w:rsidRPr="006B3DB8" w:rsidR="00AB48B1">
        <w:rPr>
          <w:rFonts w:ascii="Times New Roman" w:hAnsi="Times New Roman" w:cs="Times New Roman"/>
          <w:sz w:val="23"/>
          <w:szCs w:val="23"/>
        </w:rPr>
        <w:t>Na z</w:t>
      </w:r>
      <w:r w:rsidRPr="006B3DB8">
        <w:rPr>
          <w:rFonts w:ascii="Times New Roman" w:hAnsi="Times New Roman" w:cs="Times New Roman"/>
          <w:sz w:val="23"/>
          <w:szCs w:val="23"/>
        </w:rPr>
        <w:t>asadnutia</w:t>
      </w:r>
      <w:r w:rsidRPr="006B3DB8" w:rsidR="00AB48B1">
        <w:rPr>
          <w:rFonts w:ascii="Times New Roman" w:hAnsi="Times New Roman" w:cs="Times New Roman"/>
          <w:sz w:val="23"/>
          <w:szCs w:val="23"/>
        </w:rPr>
        <w:t>ch</w:t>
      </w:r>
      <w:r w:rsidRPr="006B3DB8">
        <w:rPr>
          <w:rFonts w:ascii="Times New Roman" w:hAnsi="Times New Roman" w:cs="Times New Roman"/>
          <w:sz w:val="23"/>
          <w:szCs w:val="23"/>
        </w:rPr>
        <w:t xml:space="preserve"> KEÚ 1 a 2 sa môžu zúčastniť poslanci výboru </w:t>
      </w:r>
      <w:r w:rsidRPr="006B3DB8" w:rsidR="003B431D">
        <w:rPr>
          <w:rFonts w:ascii="Times New Roman" w:hAnsi="Times New Roman" w:cs="Times New Roman"/>
          <w:sz w:val="23"/>
          <w:szCs w:val="23"/>
        </w:rPr>
        <w:t xml:space="preserve">pre európske záležitosti </w:t>
      </w:r>
      <w:r w:rsidRPr="006B3DB8">
        <w:rPr>
          <w:rFonts w:ascii="Times New Roman" w:hAnsi="Times New Roman" w:cs="Times New Roman"/>
          <w:sz w:val="23"/>
          <w:szCs w:val="23"/>
        </w:rPr>
        <w:t>a  odborní zamestnanci Kancelárie N</w:t>
      </w:r>
      <w:r w:rsidRPr="006B3DB8">
        <w:rPr>
          <w:rFonts w:ascii="Times New Roman" w:hAnsi="Times New Roman" w:cs="Times New Roman"/>
          <w:sz w:val="23"/>
          <w:szCs w:val="23"/>
        </w:rPr>
        <w:t>R SR.</w:t>
      </w:r>
    </w:p>
    <w:p w:rsidR="00F75017" w:rsidRPr="006B3DB8" w:rsidP="00F75017">
      <w:pPr>
        <w:numPr>
          <w:ilvl w:val="0"/>
          <w:numId w:val="3"/>
        </w:numPr>
        <w:tabs>
          <w:tab w:val="left" w:pos="720"/>
          <w:tab w:val="clear" w:pos="1065"/>
        </w:tabs>
        <w:overflowPunct w:val="0"/>
        <w:autoSpaceDE/>
        <w:autoSpaceDN/>
        <w:spacing w:after="120"/>
        <w:ind w:left="720"/>
        <w:jc w:val="both"/>
        <w:rPr>
          <w:rFonts w:ascii="Times New Roman" w:hAnsi="Times New Roman" w:cs="Times New Roman"/>
          <w:sz w:val="23"/>
          <w:szCs w:val="23"/>
          <w:lang w:eastAsia="en-US"/>
        </w:rPr>
      </w:pPr>
      <w:r w:rsidRPr="006B3DB8" w:rsidR="00D309DF">
        <w:rPr>
          <w:rFonts w:ascii="Times New Roman" w:hAnsi="Times New Roman" w:cs="Times New Roman"/>
          <w:sz w:val="23"/>
          <w:szCs w:val="23"/>
          <w:lang w:eastAsia="en-US"/>
        </w:rPr>
        <w:t xml:space="preserve">Pred rokovaním príslušnej </w:t>
      </w:r>
      <w:r w:rsidRPr="006B3DB8" w:rsidR="00D309DF">
        <w:rPr>
          <w:rFonts w:ascii="Times New Roman" w:hAnsi="Times New Roman" w:cs="Times New Roman"/>
          <w:i/>
          <w:sz w:val="23"/>
          <w:szCs w:val="23"/>
          <w:lang w:eastAsia="en-US"/>
        </w:rPr>
        <w:t>formácie Rady EÚ</w:t>
      </w:r>
      <w:r w:rsidRPr="006B3DB8" w:rsidR="00D309DF">
        <w:rPr>
          <w:rFonts w:ascii="Times New Roman" w:hAnsi="Times New Roman" w:cs="Times New Roman"/>
          <w:sz w:val="23"/>
          <w:szCs w:val="23"/>
          <w:lang w:eastAsia="en-US"/>
        </w:rPr>
        <w:t xml:space="preserve"> </w:t>
      </w:r>
      <w:r w:rsidRPr="006B3DB8">
        <w:rPr>
          <w:rFonts w:ascii="Times New Roman" w:hAnsi="Times New Roman" w:cs="Times New Roman"/>
          <w:sz w:val="23"/>
          <w:szCs w:val="23"/>
          <w:lang w:eastAsia="en-US"/>
        </w:rPr>
        <w:t xml:space="preserve">pripraví </w:t>
      </w:r>
      <w:r w:rsidRPr="006B3DB8" w:rsidR="00D309DF">
        <w:rPr>
          <w:rFonts w:ascii="Times New Roman" w:hAnsi="Times New Roman" w:cs="Times New Roman"/>
          <w:sz w:val="23"/>
          <w:szCs w:val="23"/>
          <w:lang w:eastAsia="en-US"/>
        </w:rPr>
        <w:t xml:space="preserve">zodpovedné ministerstvo </w:t>
      </w:r>
      <w:r w:rsidRPr="006B3DB8" w:rsidR="00D309DF">
        <w:rPr>
          <w:rFonts w:ascii="Times New Roman" w:hAnsi="Times New Roman" w:cs="Times New Roman"/>
          <w:i/>
          <w:sz w:val="23"/>
          <w:szCs w:val="23"/>
          <w:lang w:eastAsia="en-US"/>
        </w:rPr>
        <w:t>návrh stanoviska Slovenskej republiky</w:t>
      </w:r>
      <w:r w:rsidRPr="006B3DB8" w:rsidR="00E5539A">
        <w:rPr>
          <w:rFonts w:ascii="Times New Roman" w:hAnsi="Times New Roman" w:cs="Times New Roman"/>
          <w:sz w:val="23"/>
          <w:szCs w:val="23"/>
          <w:lang w:eastAsia="en-US"/>
        </w:rPr>
        <w:t xml:space="preserve"> a predloží ho na </w:t>
      </w:r>
      <w:r w:rsidRPr="006B3DB8" w:rsidR="00AB48B1">
        <w:rPr>
          <w:rFonts w:ascii="Times New Roman" w:hAnsi="Times New Roman" w:cs="Times New Roman"/>
          <w:sz w:val="23"/>
          <w:szCs w:val="23"/>
          <w:lang w:eastAsia="en-US"/>
        </w:rPr>
        <w:t xml:space="preserve">schválenie </w:t>
      </w:r>
      <w:r w:rsidRPr="006B3DB8" w:rsidR="000B5E68">
        <w:rPr>
          <w:rFonts w:ascii="Times New Roman" w:hAnsi="Times New Roman" w:cs="Times New Roman"/>
          <w:sz w:val="23"/>
          <w:szCs w:val="23"/>
          <w:lang w:eastAsia="en-US"/>
        </w:rPr>
        <w:t>výboru pre európske záležitosti</w:t>
      </w:r>
      <w:r w:rsidRPr="006B3DB8" w:rsidR="00E9757C">
        <w:rPr>
          <w:rFonts w:ascii="Times New Roman" w:hAnsi="Times New Roman" w:cs="Times New Roman"/>
          <w:sz w:val="23"/>
          <w:szCs w:val="23"/>
          <w:lang w:eastAsia="en-US"/>
        </w:rPr>
        <w:t xml:space="preserve"> (</w:t>
      </w:r>
      <w:r w:rsidRPr="006B3DB8" w:rsidR="00BA7ACD">
        <w:rPr>
          <w:rFonts w:ascii="Times New Roman" w:hAnsi="Times New Roman" w:cs="Times New Roman"/>
          <w:sz w:val="23"/>
          <w:szCs w:val="23"/>
          <w:lang w:eastAsia="en-US"/>
        </w:rPr>
        <w:t>§58a ods. 9 rokovacieho poriadku</w:t>
      </w:r>
      <w:r w:rsidRPr="006B3DB8" w:rsidR="00E9757C">
        <w:rPr>
          <w:rFonts w:ascii="Times New Roman" w:hAnsi="Times New Roman" w:cs="Times New Roman"/>
          <w:sz w:val="23"/>
          <w:szCs w:val="23"/>
          <w:lang w:eastAsia="en-US"/>
        </w:rPr>
        <w:t>)</w:t>
      </w:r>
      <w:r w:rsidRPr="006B3DB8" w:rsidR="000B5E68">
        <w:rPr>
          <w:rFonts w:ascii="Times New Roman" w:hAnsi="Times New Roman" w:cs="Times New Roman"/>
          <w:sz w:val="23"/>
          <w:szCs w:val="23"/>
          <w:lang w:eastAsia="en-US"/>
        </w:rPr>
        <w:t xml:space="preserve">. </w:t>
      </w:r>
      <w:r w:rsidRPr="006B3DB8">
        <w:rPr>
          <w:rFonts w:ascii="Times New Roman" w:hAnsi="Times New Roman" w:cs="Times New Roman"/>
          <w:sz w:val="23"/>
          <w:szCs w:val="23"/>
          <w:lang w:eastAsia="en-US"/>
        </w:rPr>
        <w:t>Ak výbor uvedený návrh stanoviska schváli, člen vlády je týmto stanoviskom viazaný a</w:t>
      </w:r>
      <w:r w:rsidRPr="006B3DB8" w:rsidR="004E1BD3">
        <w:rPr>
          <w:rFonts w:ascii="Times New Roman" w:hAnsi="Times New Roman" w:cs="Times New Roman"/>
          <w:sz w:val="23"/>
          <w:szCs w:val="23"/>
          <w:lang w:eastAsia="en-US"/>
        </w:rPr>
        <w:t xml:space="preserve"> môže sa od neho </w:t>
      </w:r>
      <w:r w:rsidRPr="006B3DB8">
        <w:rPr>
          <w:rFonts w:ascii="Times New Roman" w:hAnsi="Times New Roman" w:cs="Times New Roman"/>
          <w:sz w:val="23"/>
          <w:szCs w:val="23"/>
          <w:lang w:eastAsia="en-US"/>
        </w:rPr>
        <w:t xml:space="preserve">odchýliť iba v nevyhnutnom prípade </w:t>
      </w:r>
      <w:r w:rsidRPr="006B3DB8" w:rsidR="002845D3">
        <w:rPr>
          <w:rFonts w:ascii="Times New Roman" w:hAnsi="Times New Roman" w:cs="Times New Roman"/>
          <w:sz w:val="23"/>
          <w:szCs w:val="23"/>
          <w:lang w:eastAsia="en-US"/>
        </w:rPr>
        <w:t xml:space="preserve">a </w:t>
      </w:r>
      <w:r w:rsidRPr="006B3DB8">
        <w:rPr>
          <w:rFonts w:ascii="Times New Roman" w:hAnsi="Times New Roman" w:cs="Times New Roman"/>
          <w:sz w:val="23"/>
          <w:szCs w:val="23"/>
          <w:lang w:eastAsia="en-US"/>
        </w:rPr>
        <w:t xml:space="preserve">so zreteľom na záujmy Slovenskej republiky. Ak výbor návrh stanoviska </w:t>
      </w:r>
      <w:r w:rsidRPr="006B3DB8" w:rsidR="00344073">
        <w:rPr>
          <w:rFonts w:ascii="Times New Roman" w:hAnsi="Times New Roman" w:cs="Times New Roman"/>
          <w:sz w:val="23"/>
          <w:szCs w:val="23"/>
          <w:lang w:eastAsia="en-US"/>
        </w:rPr>
        <w:t>ne</w:t>
      </w:r>
      <w:r w:rsidRPr="006B3DB8">
        <w:rPr>
          <w:rFonts w:ascii="Times New Roman" w:hAnsi="Times New Roman" w:cs="Times New Roman"/>
          <w:sz w:val="23"/>
          <w:szCs w:val="23"/>
          <w:lang w:eastAsia="en-US"/>
        </w:rPr>
        <w:t>schváli, nevyjadrí sa k nemu alebo ho neschváli a zároveň neschváli v danej veci iné stanovisko, člen vlády je viazaný návrhom stanoviska Slovenskej republiky</w:t>
      </w:r>
      <w:r w:rsidRPr="006B3DB8" w:rsidR="003B431D">
        <w:rPr>
          <w:rFonts w:ascii="Times New Roman" w:hAnsi="Times New Roman" w:cs="Times New Roman"/>
          <w:sz w:val="23"/>
          <w:szCs w:val="23"/>
          <w:lang w:eastAsia="en-US"/>
        </w:rPr>
        <w:t xml:space="preserve"> (čl. 2 ods. 4 ústavného zákona)</w:t>
      </w:r>
      <w:r w:rsidRPr="006B3DB8">
        <w:rPr>
          <w:rFonts w:ascii="Times New Roman" w:hAnsi="Times New Roman" w:cs="Times New Roman"/>
          <w:sz w:val="23"/>
          <w:szCs w:val="23"/>
          <w:lang w:eastAsia="en-US"/>
        </w:rPr>
        <w:t>.</w:t>
      </w:r>
    </w:p>
    <w:p w:rsidR="006B3DB8" w:rsidP="00C360AE">
      <w:pPr>
        <w:overflowPunct w:val="0"/>
        <w:autoSpaceDE/>
        <w:autoSpaceDN/>
        <w:jc w:val="both"/>
        <w:rPr>
          <w:rFonts w:ascii="Times New Roman" w:hAnsi="Times New Roman" w:cs="Times New Roman"/>
          <w:sz w:val="23"/>
          <w:szCs w:val="23"/>
        </w:rPr>
      </w:pPr>
    </w:p>
    <w:p w:rsidR="002A4347" w:rsidRPr="006B3DB8" w:rsidP="006B3DB8">
      <w:pPr>
        <w:overflowPunct w:val="0"/>
        <w:autoSpaceDE/>
        <w:autoSpaceDN/>
        <w:ind w:firstLine="360"/>
        <w:jc w:val="both"/>
        <w:rPr>
          <w:rFonts w:ascii="Times New Roman" w:hAnsi="Times New Roman" w:cs="Times New Roman"/>
          <w:sz w:val="23"/>
          <w:szCs w:val="23"/>
        </w:rPr>
      </w:pPr>
      <w:r w:rsidRPr="006B3DB8" w:rsidR="00C360AE">
        <w:rPr>
          <w:rFonts w:ascii="Times New Roman" w:hAnsi="Times New Roman" w:cs="Times New Roman"/>
          <w:sz w:val="23"/>
          <w:szCs w:val="23"/>
        </w:rPr>
        <w:t xml:space="preserve">Príloha č. 1 obsahuje </w:t>
      </w:r>
      <w:r w:rsidR="006B3DB8">
        <w:rPr>
          <w:rFonts w:ascii="Times New Roman" w:hAnsi="Times New Roman" w:cs="Times New Roman"/>
          <w:sz w:val="23"/>
          <w:szCs w:val="23"/>
        </w:rPr>
        <w:t xml:space="preserve">stručné spracovanie </w:t>
      </w:r>
      <w:r w:rsidRPr="006B3DB8" w:rsidR="00C360AE">
        <w:rPr>
          <w:rFonts w:ascii="Times New Roman" w:hAnsi="Times New Roman" w:cs="Times New Roman"/>
          <w:sz w:val="23"/>
          <w:szCs w:val="23"/>
        </w:rPr>
        <w:t>ročn</w:t>
      </w:r>
      <w:r w:rsidR="006B3DB8">
        <w:rPr>
          <w:rFonts w:ascii="Times New Roman" w:hAnsi="Times New Roman" w:cs="Times New Roman"/>
          <w:sz w:val="23"/>
          <w:szCs w:val="23"/>
        </w:rPr>
        <w:t>ej</w:t>
      </w:r>
      <w:r w:rsidRPr="006B3DB8" w:rsidR="00C360AE">
        <w:rPr>
          <w:rFonts w:ascii="Times New Roman" w:hAnsi="Times New Roman" w:cs="Times New Roman"/>
          <w:sz w:val="23"/>
          <w:szCs w:val="23"/>
        </w:rPr>
        <w:t xml:space="preserve"> politick</w:t>
      </w:r>
      <w:r w:rsidR="006B3DB8">
        <w:rPr>
          <w:rFonts w:ascii="Times New Roman" w:hAnsi="Times New Roman" w:cs="Times New Roman"/>
          <w:sz w:val="23"/>
          <w:szCs w:val="23"/>
        </w:rPr>
        <w:t>ej</w:t>
      </w:r>
      <w:r w:rsidRPr="006B3DB8" w:rsidR="00C360AE">
        <w:rPr>
          <w:rFonts w:ascii="Times New Roman" w:hAnsi="Times New Roman" w:cs="Times New Roman"/>
          <w:sz w:val="23"/>
          <w:szCs w:val="23"/>
        </w:rPr>
        <w:t xml:space="preserve"> stratégi</w:t>
      </w:r>
      <w:r w:rsidR="006B3DB8">
        <w:rPr>
          <w:rFonts w:ascii="Times New Roman" w:hAnsi="Times New Roman" w:cs="Times New Roman"/>
          <w:sz w:val="23"/>
          <w:szCs w:val="23"/>
        </w:rPr>
        <w:t>e</w:t>
      </w:r>
      <w:r w:rsidRPr="006B3DB8" w:rsidR="00C360AE">
        <w:rPr>
          <w:rFonts w:ascii="Times New Roman" w:hAnsi="Times New Roman" w:cs="Times New Roman"/>
          <w:sz w:val="23"/>
          <w:szCs w:val="23"/>
        </w:rPr>
        <w:t xml:space="preserve"> Európskej komisie a zahŕňa kľúčové iniciatívy, ktoré sa majú uskutočniť v roku 2008.</w:t>
      </w:r>
    </w:p>
    <w:p w:rsidR="002A4347" w:rsidRPr="006B3DB8" w:rsidP="006B3DB8">
      <w:pPr>
        <w:overflowPunct w:val="0"/>
        <w:autoSpaceDE/>
        <w:autoSpaceDN/>
        <w:jc w:val="both"/>
        <w:rPr>
          <w:rFonts w:ascii="Times New Roman" w:hAnsi="Times New Roman" w:cs="Times New Roman"/>
          <w:sz w:val="23"/>
          <w:szCs w:val="23"/>
        </w:rPr>
      </w:pPr>
    </w:p>
    <w:p w:rsidR="006B3DB8" w:rsidRPr="006B3DB8" w:rsidP="006B3DB8">
      <w:pPr>
        <w:overflowPunct w:val="0"/>
        <w:autoSpaceDE/>
        <w:autoSpaceDN/>
        <w:ind w:firstLine="360"/>
        <w:jc w:val="both"/>
        <w:rPr>
          <w:rFonts w:ascii="Times New Roman" w:hAnsi="Times New Roman" w:cs="Times New Roman"/>
          <w:sz w:val="23"/>
          <w:szCs w:val="23"/>
        </w:rPr>
      </w:pPr>
      <w:r w:rsidRPr="006B3DB8">
        <w:rPr>
          <w:rFonts w:ascii="Times New Roman" w:hAnsi="Times New Roman" w:cs="Times New Roman"/>
          <w:sz w:val="23"/>
          <w:szCs w:val="23"/>
        </w:rPr>
        <w:t>Vzhľadom na dôležitosť problematiky čerpania finančných prostriedkov z</w:t>
      </w:r>
      <w:r>
        <w:rPr>
          <w:rFonts w:ascii="Times New Roman" w:hAnsi="Times New Roman" w:cs="Times New Roman"/>
          <w:sz w:val="23"/>
          <w:szCs w:val="23"/>
        </w:rPr>
        <w:t>o</w:t>
      </w:r>
      <w:r w:rsidRPr="006B3DB8">
        <w:rPr>
          <w:rFonts w:ascii="Times New Roman" w:hAnsi="Times New Roman" w:cs="Times New Roman"/>
          <w:sz w:val="23"/>
          <w:szCs w:val="23"/>
        </w:rPr>
        <w:t> </w:t>
      </w:r>
      <w:r>
        <w:rPr>
          <w:rFonts w:ascii="Times New Roman" w:hAnsi="Times New Roman" w:cs="Times New Roman"/>
          <w:sz w:val="23"/>
          <w:szCs w:val="23"/>
        </w:rPr>
        <w:t xml:space="preserve">zdrojov Európskej únie </w:t>
      </w:r>
      <w:r w:rsidRPr="006B3DB8">
        <w:rPr>
          <w:rFonts w:ascii="Times New Roman" w:hAnsi="Times New Roman" w:cs="Times New Roman"/>
          <w:sz w:val="23"/>
          <w:szCs w:val="23"/>
        </w:rPr>
        <w:t>pripájame v prílohe č. 2 stručný prehľad o ich čerpaní za obdobie od 1.1.2004 do 19.9.2007</w:t>
      </w:r>
      <w:r>
        <w:rPr>
          <w:rFonts w:ascii="Times New Roman" w:hAnsi="Times New Roman" w:cs="Times New Roman"/>
          <w:sz w:val="23"/>
          <w:szCs w:val="23"/>
        </w:rPr>
        <w:t>.</w:t>
      </w:r>
    </w:p>
    <w:p w:rsidR="002A4347" w:rsidRPr="00E66E17" w:rsidP="00E66E17">
      <w:pPr>
        <w:shd w:val="clear" w:color="auto" w:fill="E0E0E0"/>
        <w:rPr>
          <w:rFonts w:ascii="Times New Roman" w:hAnsi="Times New Roman" w:cs="Times New Roman"/>
          <w:b/>
          <w:sz w:val="28"/>
          <w:szCs w:val="28"/>
        </w:rPr>
      </w:pPr>
      <w:r w:rsidRPr="00E66E17">
        <w:rPr>
          <w:rFonts w:ascii="Times New Roman" w:hAnsi="Times New Roman" w:cs="Times New Roman"/>
          <w:b/>
          <w:sz w:val="28"/>
          <w:szCs w:val="28"/>
        </w:rPr>
        <w:t>2. Informácie podľa §58a ods. 3 písm. a) až d) rokovacieho poriadku</w:t>
      </w:r>
    </w:p>
    <w:p w:rsidR="002A4347" w:rsidRPr="002A4347" w:rsidP="0095109A">
      <w:pPr>
        <w:overflowPunct w:val="0"/>
        <w:autoSpaceDE/>
        <w:autoSpaceDN/>
        <w:ind w:firstLine="708"/>
        <w:jc w:val="both"/>
        <w:rPr>
          <w:rFonts w:ascii="Times New Roman" w:hAnsi="Times New Roman" w:cs="Times New Roman"/>
          <w:b/>
        </w:rPr>
      </w:pPr>
    </w:p>
    <w:p w:rsidR="002A4347" w:rsidP="0095109A">
      <w:pPr>
        <w:overflowPunct w:val="0"/>
        <w:autoSpaceDE/>
        <w:autoSpaceDN/>
        <w:ind w:firstLine="708"/>
        <w:jc w:val="both"/>
        <w:rPr>
          <w:rFonts w:ascii="Times New Roman" w:hAnsi="Times New Roman" w:cs="Times New Roman"/>
        </w:rPr>
      </w:pPr>
    </w:p>
    <w:p w:rsidR="00D76C22" w:rsidRPr="00533E36" w:rsidP="0095109A">
      <w:pPr>
        <w:overflowPunct w:val="0"/>
        <w:autoSpaceDE/>
        <w:autoSpaceDN/>
        <w:ind w:firstLine="708"/>
        <w:jc w:val="both"/>
        <w:rPr>
          <w:rFonts w:ascii="Times New Roman" w:hAnsi="Times New Roman" w:cs="Times New Roman"/>
        </w:rPr>
      </w:pPr>
      <w:r w:rsidR="002A4347">
        <w:rPr>
          <w:rFonts w:ascii="Times New Roman" w:hAnsi="Times New Roman" w:cs="Times New Roman"/>
        </w:rPr>
        <w:t xml:space="preserve">Výbor </w:t>
      </w:r>
      <w:r w:rsidR="00533E36">
        <w:rPr>
          <w:rFonts w:ascii="Times New Roman" w:hAnsi="Times New Roman" w:cs="Times New Roman"/>
        </w:rPr>
        <w:t xml:space="preserve">pre európske záležitosti </w:t>
      </w:r>
      <w:r w:rsidR="002A4347">
        <w:rPr>
          <w:rFonts w:ascii="Times New Roman" w:hAnsi="Times New Roman" w:cs="Times New Roman"/>
        </w:rPr>
        <w:t>v</w:t>
      </w:r>
      <w:r>
        <w:rPr>
          <w:rFonts w:ascii="Times New Roman" w:hAnsi="Times New Roman" w:cs="Times New Roman"/>
        </w:rPr>
        <w:t xml:space="preserve"> súlade s </w:t>
      </w:r>
      <w:r w:rsidRPr="00B859A3" w:rsidR="00B859A3">
        <w:rPr>
          <w:rFonts w:ascii="Times New Roman" w:hAnsi="Times New Roman" w:cs="Times New Roman"/>
        </w:rPr>
        <w:t>§58a ods. 3 písm. e)</w:t>
      </w:r>
      <w:r w:rsidR="00B859A3">
        <w:rPr>
          <w:rFonts w:ascii="Times New Roman" w:hAnsi="Times New Roman" w:cs="Times New Roman"/>
          <w:b/>
        </w:rPr>
        <w:t xml:space="preserve"> </w:t>
      </w:r>
      <w:r>
        <w:rPr>
          <w:rFonts w:ascii="Times New Roman" w:hAnsi="Times New Roman" w:cs="Times New Roman"/>
        </w:rPr>
        <w:t xml:space="preserve"> rokovac</w:t>
      </w:r>
      <w:r w:rsidR="00B859A3">
        <w:rPr>
          <w:rFonts w:ascii="Times New Roman" w:hAnsi="Times New Roman" w:cs="Times New Roman"/>
        </w:rPr>
        <w:t xml:space="preserve">ieho </w:t>
      </w:r>
      <w:r>
        <w:rPr>
          <w:rFonts w:ascii="Times New Roman" w:hAnsi="Times New Roman" w:cs="Times New Roman"/>
        </w:rPr>
        <w:t>poriadk</w:t>
      </w:r>
      <w:r w:rsidR="00B859A3">
        <w:rPr>
          <w:rFonts w:ascii="Times New Roman" w:hAnsi="Times New Roman" w:cs="Times New Roman"/>
        </w:rPr>
        <w:t>u</w:t>
      </w:r>
      <w:r>
        <w:rPr>
          <w:rFonts w:ascii="Times New Roman" w:hAnsi="Times New Roman" w:cs="Times New Roman"/>
        </w:rPr>
        <w:t xml:space="preserve"> </w:t>
      </w:r>
      <w:r w:rsidR="00533E36">
        <w:rPr>
          <w:rFonts w:ascii="Times New Roman" w:hAnsi="Times New Roman" w:cs="Times New Roman"/>
        </w:rPr>
        <w:t xml:space="preserve">podáva </w:t>
      </w:r>
      <w:r w:rsidRPr="00533E36">
        <w:rPr>
          <w:rFonts w:ascii="Times New Roman" w:hAnsi="Times New Roman" w:cs="Times New Roman"/>
        </w:rPr>
        <w:t>národnej rade správ</w:t>
      </w:r>
      <w:r w:rsidRPr="00533E36" w:rsidR="00533E36">
        <w:rPr>
          <w:rFonts w:ascii="Times New Roman" w:hAnsi="Times New Roman" w:cs="Times New Roman"/>
        </w:rPr>
        <w:t>y</w:t>
      </w:r>
      <w:r w:rsidRPr="00533E36">
        <w:rPr>
          <w:rFonts w:ascii="Times New Roman" w:hAnsi="Times New Roman" w:cs="Times New Roman"/>
        </w:rPr>
        <w:t xml:space="preserve"> o</w:t>
      </w:r>
      <w:r w:rsidRPr="00533E36" w:rsidR="00533E36">
        <w:rPr>
          <w:rFonts w:ascii="Times New Roman" w:hAnsi="Times New Roman" w:cs="Times New Roman"/>
        </w:rPr>
        <w:t> </w:t>
      </w:r>
      <w:r w:rsidRPr="00533E36">
        <w:rPr>
          <w:rFonts w:ascii="Times New Roman" w:hAnsi="Times New Roman" w:cs="Times New Roman"/>
        </w:rPr>
        <w:t>činnosti</w:t>
      </w:r>
      <w:r w:rsidRPr="00533E36" w:rsidR="00533E36">
        <w:rPr>
          <w:rFonts w:ascii="Times New Roman" w:hAnsi="Times New Roman" w:cs="Times New Roman"/>
        </w:rPr>
        <w:t>.</w:t>
      </w:r>
      <w:r w:rsidRPr="00DA4C94">
        <w:rPr>
          <w:rFonts w:ascii="Times New Roman" w:hAnsi="Times New Roman" w:cs="Times New Roman"/>
          <w:b/>
        </w:rPr>
        <w:t xml:space="preserve"> </w:t>
      </w:r>
      <w:r w:rsidRPr="00533E36" w:rsidR="00533E36">
        <w:rPr>
          <w:rFonts w:ascii="Times New Roman" w:hAnsi="Times New Roman" w:cs="Times New Roman"/>
        </w:rPr>
        <w:t>Z</w:t>
      </w:r>
      <w:r w:rsidRPr="00533E36" w:rsidR="00B859A3">
        <w:rPr>
          <w:rFonts w:ascii="Times New Roman" w:hAnsi="Times New Roman" w:cs="Times New Roman"/>
        </w:rPr>
        <w:t xml:space="preserve">a </w:t>
      </w:r>
      <w:r w:rsidRPr="00533E36" w:rsidR="00533E36">
        <w:rPr>
          <w:rFonts w:ascii="Times New Roman" w:hAnsi="Times New Roman" w:cs="Times New Roman"/>
        </w:rPr>
        <w:t xml:space="preserve">štvrté volebné obdobie - </w:t>
      </w:r>
      <w:r w:rsidRPr="00533E36" w:rsidR="00206165">
        <w:rPr>
          <w:rFonts w:ascii="Times New Roman" w:hAnsi="Times New Roman" w:cs="Times New Roman"/>
        </w:rPr>
        <w:t>druhý pol</w:t>
      </w:r>
      <w:r w:rsidRPr="00533E36" w:rsidR="00B859A3">
        <w:rPr>
          <w:rFonts w:ascii="Times New Roman" w:hAnsi="Times New Roman" w:cs="Times New Roman"/>
        </w:rPr>
        <w:t>rok 2006</w:t>
      </w:r>
      <w:r w:rsidRPr="00533E36" w:rsidR="00206165">
        <w:rPr>
          <w:rFonts w:ascii="Times New Roman" w:hAnsi="Times New Roman" w:cs="Times New Roman"/>
        </w:rPr>
        <w:t xml:space="preserve"> a prvý polrok 2007</w:t>
      </w:r>
      <w:r w:rsidRPr="00533E36" w:rsidR="00533E36">
        <w:rPr>
          <w:rFonts w:ascii="Times New Roman" w:hAnsi="Times New Roman" w:cs="Times New Roman"/>
        </w:rPr>
        <w:t xml:space="preserve"> - </w:t>
      </w:r>
      <w:r w:rsidR="00533E36">
        <w:rPr>
          <w:rFonts w:ascii="Times New Roman" w:hAnsi="Times New Roman" w:cs="Times New Roman"/>
        </w:rPr>
        <w:t>výbor vypracoval a predkladá túto správu, ktorá obsahuje</w:t>
      </w:r>
      <w:r w:rsidR="00533E36">
        <w:rPr>
          <w:rFonts w:ascii="Times New Roman" w:hAnsi="Times New Roman" w:cs="Times New Roman"/>
        </w:rPr>
        <w:t xml:space="preserve"> nasledovné informácie: </w:t>
      </w:r>
    </w:p>
    <w:p w:rsidR="00B859A3" w:rsidP="00B859A3">
      <w:pPr>
        <w:ind w:firstLine="708"/>
        <w:jc w:val="both"/>
        <w:rPr>
          <w:rFonts w:ascii="Times New Roman" w:hAnsi="Times New Roman" w:cs="Times New Roman"/>
          <w:b/>
        </w:rPr>
      </w:pPr>
    </w:p>
    <w:p w:rsidR="00D76C22" w:rsidP="002A4347">
      <w:pPr>
        <w:numPr>
          <w:ilvl w:val="0"/>
          <w:numId w:val="2"/>
        </w:numPr>
        <w:tabs>
          <w:tab w:val="left" w:pos="720"/>
        </w:tabs>
        <w:ind w:left="714" w:hanging="357"/>
        <w:jc w:val="both"/>
        <w:rPr>
          <w:rFonts w:ascii="Times New Roman" w:hAnsi="Times New Roman" w:cs="Times New Roman"/>
        </w:rPr>
      </w:pPr>
      <w:r>
        <w:rPr>
          <w:rFonts w:ascii="Times New Roman" w:hAnsi="Times New Roman" w:cs="Arial"/>
        </w:rPr>
        <w:t>o p</w:t>
      </w:r>
      <w:r>
        <w:rPr>
          <w:rFonts w:ascii="Times New Roman" w:hAnsi="Times New Roman" w:cs="Times New Roman"/>
        </w:rPr>
        <w:t xml:space="preserve">rerokovaných </w:t>
      </w:r>
      <w:r w:rsidRPr="002845D3">
        <w:rPr>
          <w:rFonts w:ascii="Times New Roman" w:hAnsi="Times New Roman" w:cs="Times New Roman"/>
          <w:u w:val="single"/>
        </w:rPr>
        <w:t>návrhoch právne záväzných aktov a iných aktov</w:t>
      </w:r>
      <w:r>
        <w:rPr>
          <w:rFonts w:ascii="Times New Roman" w:hAnsi="Times New Roman" w:cs="Times New Roman"/>
        </w:rPr>
        <w:t xml:space="preserve"> Európskych spoločenstiev a Európskej únie, </w:t>
      </w:r>
      <w:r w:rsidRPr="006210B8">
        <w:rPr>
          <w:rFonts w:ascii="Times New Roman" w:hAnsi="Times New Roman" w:cs="Times New Roman"/>
        </w:rPr>
        <w:t>o ktorých budú rokovať zástupcovia vlád členských štátov Európskej únie</w:t>
      </w:r>
      <w:r w:rsidR="00B859A3">
        <w:rPr>
          <w:rFonts w:ascii="Times New Roman" w:hAnsi="Times New Roman" w:cs="Times New Roman"/>
        </w:rPr>
        <w:t xml:space="preserve"> (</w:t>
      </w:r>
      <w:r w:rsidRPr="00B859A3" w:rsidR="00B859A3">
        <w:rPr>
          <w:rFonts w:ascii="Times New Roman" w:hAnsi="Times New Roman" w:cs="Times New Roman"/>
        </w:rPr>
        <w:t>§58a ods. 3 písm.</w:t>
      </w:r>
      <w:r w:rsidR="00B859A3">
        <w:rPr>
          <w:rFonts w:ascii="Times New Roman" w:hAnsi="Times New Roman" w:cs="Times New Roman"/>
        </w:rPr>
        <w:t xml:space="preserve"> a) rokovacieho poriadku)</w:t>
      </w:r>
      <w:r w:rsidRPr="006210B8">
        <w:rPr>
          <w:rFonts w:ascii="Times New Roman" w:hAnsi="Times New Roman" w:cs="Times New Roman"/>
        </w:rPr>
        <w:t>,</w:t>
      </w:r>
    </w:p>
    <w:p w:rsidR="002A4347" w:rsidP="002A4347">
      <w:pPr>
        <w:ind w:left="357"/>
        <w:jc w:val="both"/>
        <w:rPr>
          <w:rFonts w:ascii="Times New Roman" w:hAnsi="Times New Roman" w:cs="Times New Roman"/>
        </w:rPr>
      </w:pPr>
    </w:p>
    <w:p w:rsidR="00D76C22" w:rsidP="002A4347">
      <w:pPr>
        <w:numPr>
          <w:ilvl w:val="0"/>
          <w:numId w:val="2"/>
        </w:numPr>
        <w:tabs>
          <w:tab w:val="left" w:pos="720"/>
        </w:tabs>
        <w:ind w:left="714" w:hanging="357"/>
        <w:jc w:val="both"/>
        <w:rPr>
          <w:rFonts w:ascii="Times New Roman" w:hAnsi="Times New Roman" w:cs="Times New Roman"/>
        </w:rPr>
      </w:pPr>
      <w:r>
        <w:rPr>
          <w:rFonts w:ascii="Times New Roman" w:hAnsi="Times New Roman" w:cs="Times New Roman"/>
        </w:rPr>
        <w:t>o </w:t>
      </w:r>
      <w:r w:rsidRPr="002845D3">
        <w:rPr>
          <w:rFonts w:ascii="Times New Roman" w:hAnsi="Times New Roman" w:cs="Times New Roman"/>
          <w:u w:val="single"/>
        </w:rPr>
        <w:t>schvá</w:t>
      </w:r>
      <w:r w:rsidRPr="002845D3">
        <w:rPr>
          <w:rFonts w:ascii="Times New Roman" w:hAnsi="Times New Roman" w:cs="Times New Roman"/>
          <w:u w:val="single"/>
        </w:rPr>
        <w:t>lených stanoviskách Slovenskej republiky</w:t>
      </w:r>
      <w:r w:rsidRPr="00DA4C94">
        <w:rPr>
          <w:rFonts w:ascii="Times New Roman" w:hAnsi="Times New Roman" w:cs="Times New Roman"/>
        </w:rPr>
        <w:t xml:space="preserve"> k návrhom právne záväzných aktov a iných aktov Európskych spoločenstiev a Európskej únie</w:t>
      </w:r>
      <w:r>
        <w:rPr>
          <w:rFonts w:ascii="Times New Roman" w:hAnsi="Times New Roman" w:cs="Times New Roman"/>
        </w:rPr>
        <w:t xml:space="preserve">, </w:t>
      </w:r>
      <w:r w:rsidRPr="00D40C37">
        <w:rPr>
          <w:rFonts w:ascii="Times New Roman" w:hAnsi="Times New Roman" w:cs="Times New Roman"/>
          <w:bCs/>
        </w:rPr>
        <w:t>o ktorých budú rokovať zástupcovia vlád členských štátov Európskej únie</w:t>
      </w:r>
      <w:r w:rsidR="00B859A3">
        <w:rPr>
          <w:rFonts w:ascii="Times New Roman" w:hAnsi="Times New Roman" w:cs="Times New Roman"/>
          <w:bCs/>
        </w:rPr>
        <w:t xml:space="preserve"> (</w:t>
      </w:r>
      <w:r w:rsidRPr="00B859A3" w:rsidR="00B859A3">
        <w:rPr>
          <w:rFonts w:ascii="Times New Roman" w:hAnsi="Times New Roman" w:cs="Times New Roman"/>
        </w:rPr>
        <w:t>§58a ods. 3 písm.</w:t>
      </w:r>
      <w:r w:rsidR="00B859A3">
        <w:rPr>
          <w:rFonts w:ascii="Times New Roman" w:hAnsi="Times New Roman" w:cs="Times New Roman"/>
        </w:rPr>
        <w:t xml:space="preserve"> b rokovacieho poriadku)</w:t>
      </w:r>
      <w:r w:rsidRPr="006210B8">
        <w:rPr>
          <w:rFonts w:ascii="Times New Roman" w:hAnsi="Times New Roman" w:cs="Times New Roman"/>
        </w:rPr>
        <w:t>,</w:t>
      </w:r>
    </w:p>
    <w:p w:rsidR="002A4347" w:rsidP="002A4347">
      <w:pPr>
        <w:jc w:val="both"/>
        <w:rPr>
          <w:rFonts w:ascii="Times New Roman" w:hAnsi="Times New Roman" w:cs="Times New Roman"/>
        </w:rPr>
      </w:pPr>
    </w:p>
    <w:p w:rsidR="00D76C22" w:rsidP="002A4347">
      <w:pPr>
        <w:numPr>
          <w:ilvl w:val="0"/>
          <w:numId w:val="2"/>
        </w:numPr>
        <w:tabs>
          <w:tab w:val="left" w:pos="720"/>
        </w:tabs>
        <w:ind w:left="714" w:hanging="357"/>
        <w:jc w:val="both"/>
        <w:rPr>
          <w:rFonts w:ascii="Times New Roman" w:hAnsi="Times New Roman" w:cs="Times New Roman"/>
        </w:rPr>
      </w:pPr>
      <w:r>
        <w:rPr>
          <w:rFonts w:ascii="Times New Roman" w:hAnsi="Times New Roman" w:cs="Times New Roman"/>
        </w:rPr>
        <w:t xml:space="preserve">o </w:t>
      </w:r>
      <w:r w:rsidRPr="002845D3">
        <w:rPr>
          <w:rFonts w:ascii="Times New Roman" w:hAnsi="Times New Roman" w:cs="Times New Roman"/>
          <w:u w:val="single"/>
        </w:rPr>
        <w:t>prerok</w:t>
      </w:r>
      <w:r w:rsidRPr="002845D3">
        <w:rPr>
          <w:rFonts w:ascii="Times New Roman" w:hAnsi="Times New Roman" w:cs="Times New Roman"/>
          <w:u w:val="single"/>
        </w:rPr>
        <w:t>ovaných správach a informáciách</w:t>
      </w:r>
      <w:r w:rsidRPr="00DA4C94">
        <w:rPr>
          <w:rFonts w:ascii="Times New Roman" w:hAnsi="Times New Roman" w:cs="Times New Roman"/>
        </w:rPr>
        <w:t xml:space="preserve"> predkladan</w:t>
      </w:r>
      <w:r>
        <w:rPr>
          <w:rFonts w:ascii="Times New Roman" w:hAnsi="Times New Roman" w:cs="Times New Roman"/>
        </w:rPr>
        <w:t>ých</w:t>
      </w:r>
      <w:r w:rsidRPr="00DA4C94">
        <w:rPr>
          <w:rFonts w:ascii="Times New Roman" w:hAnsi="Times New Roman" w:cs="Times New Roman"/>
        </w:rPr>
        <w:t xml:space="preserve"> národnej rade vládou a členmi vlády</w:t>
      </w:r>
      <w:r w:rsidR="00B859A3">
        <w:rPr>
          <w:rFonts w:ascii="Times New Roman" w:hAnsi="Times New Roman" w:cs="Times New Roman"/>
        </w:rPr>
        <w:t xml:space="preserve"> (</w:t>
      </w:r>
      <w:r w:rsidRPr="00B859A3" w:rsidR="00B859A3">
        <w:rPr>
          <w:rFonts w:ascii="Times New Roman" w:hAnsi="Times New Roman" w:cs="Times New Roman"/>
        </w:rPr>
        <w:t>§58a ods. 3 písm.</w:t>
      </w:r>
      <w:r w:rsidR="00B859A3">
        <w:rPr>
          <w:rFonts w:ascii="Times New Roman" w:hAnsi="Times New Roman" w:cs="Times New Roman"/>
        </w:rPr>
        <w:t xml:space="preserve"> c) rokovacieho poriadku)</w:t>
      </w:r>
      <w:r w:rsidRPr="00DA4C94">
        <w:rPr>
          <w:rFonts w:ascii="Times New Roman" w:hAnsi="Times New Roman" w:cs="Times New Roman"/>
        </w:rPr>
        <w:t>,</w:t>
      </w:r>
    </w:p>
    <w:p w:rsidR="002A4347" w:rsidP="002A4347">
      <w:pPr>
        <w:jc w:val="both"/>
        <w:rPr>
          <w:rFonts w:ascii="Times New Roman" w:hAnsi="Times New Roman" w:cs="Times New Roman"/>
        </w:rPr>
      </w:pPr>
    </w:p>
    <w:p w:rsidR="00D76C22" w:rsidRPr="00DA4C94" w:rsidP="002A4347">
      <w:pPr>
        <w:numPr>
          <w:ilvl w:val="0"/>
          <w:numId w:val="2"/>
        </w:numPr>
        <w:tabs>
          <w:tab w:val="left" w:pos="720"/>
        </w:tabs>
        <w:ind w:left="714" w:hanging="357"/>
        <w:jc w:val="both"/>
        <w:rPr>
          <w:rFonts w:ascii="Times New Roman" w:hAnsi="Times New Roman" w:cs="Times New Roman"/>
        </w:rPr>
      </w:pPr>
      <w:r>
        <w:rPr>
          <w:rFonts w:ascii="Times New Roman" w:hAnsi="Times New Roman" w:cs="Times New Roman"/>
        </w:rPr>
        <w:t>o </w:t>
      </w:r>
      <w:r w:rsidRPr="002845D3">
        <w:rPr>
          <w:rFonts w:ascii="Times New Roman" w:hAnsi="Times New Roman" w:cs="Times New Roman"/>
          <w:u w:val="single"/>
        </w:rPr>
        <w:t>návrhoch stanovísk</w:t>
      </w:r>
      <w:r>
        <w:rPr>
          <w:rFonts w:ascii="Times New Roman" w:hAnsi="Times New Roman" w:cs="Times New Roman"/>
        </w:rPr>
        <w:t xml:space="preserve"> k návrhom podľa bodov 1 a 2, o ktoré požiadal </w:t>
      </w:r>
      <w:r w:rsidRPr="002845D3">
        <w:rPr>
          <w:rFonts w:ascii="Times New Roman" w:hAnsi="Times New Roman" w:cs="Times New Roman"/>
          <w:bCs/>
          <w:u w:val="single"/>
        </w:rPr>
        <w:t>ostatné</w:t>
      </w:r>
      <w:r w:rsidRPr="002845D3">
        <w:rPr>
          <w:rFonts w:ascii="Times New Roman" w:hAnsi="Times New Roman" w:cs="Times New Roman"/>
          <w:u w:val="single"/>
        </w:rPr>
        <w:t xml:space="preserve"> výbory národnej rady</w:t>
      </w:r>
      <w:r w:rsidRPr="00DA4C94">
        <w:rPr>
          <w:rFonts w:ascii="Times New Roman" w:hAnsi="Times New Roman" w:cs="Times New Roman"/>
        </w:rPr>
        <w:t xml:space="preserve"> </w:t>
      </w:r>
      <w:r w:rsidR="00B859A3">
        <w:rPr>
          <w:rFonts w:ascii="Times New Roman" w:hAnsi="Times New Roman" w:cs="Times New Roman"/>
        </w:rPr>
        <w:t>(</w:t>
      </w:r>
      <w:r w:rsidRPr="00B859A3" w:rsidR="00B859A3">
        <w:rPr>
          <w:rFonts w:ascii="Times New Roman" w:hAnsi="Times New Roman" w:cs="Times New Roman"/>
        </w:rPr>
        <w:t>§58a ods. 3 písm.</w:t>
      </w:r>
      <w:r w:rsidR="00B859A3">
        <w:rPr>
          <w:rFonts w:ascii="Times New Roman" w:hAnsi="Times New Roman" w:cs="Times New Roman"/>
        </w:rPr>
        <w:t xml:space="preserve"> d) rokovacieh</w:t>
      </w:r>
      <w:r w:rsidR="00B859A3">
        <w:rPr>
          <w:rFonts w:ascii="Times New Roman" w:hAnsi="Times New Roman" w:cs="Times New Roman"/>
        </w:rPr>
        <w:t>o poriadku).</w:t>
      </w:r>
    </w:p>
    <w:p w:rsidR="00D76C22" w:rsidP="002A4347">
      <w:pPr>
        <w:pStyle w:val="BodyText"/>
        <w:jc w:val="both"/>
        <w:rPr>
          <w:rFonts w:ascii="Times New Roman" w:hAnsi="Times New Roman" w:cs="Arial"/>
          <w:b w:val="0"/>
        </w:rPr>
      </w:pPr>
    </w:p>
    <w:p w:rsidR="002A4347" w:rsidP="002A4347">
      <w:pPr>
        <w:pStyle w:val="BodyText"/>
        <w:jc w:val="both"/>
        <w:rPr>
          <w:rFonts w:ascii="Times New Roman" w:hAnsi="Times New Roman" w:cs="Arial"/>
          <w:b w:val="0"/>
        </w:rPr>
      </w:pPr>
    </w:p>
    <w:p w:rsidR="008D568D" w:rsidP="002A4347">
      <w:pPr>
        <w:ind w:firstLine="708"/>
        <w:jc w:val="both"/>
        <w:rPr>
          <w:rFonts w:ascii="Times New Roman" w:hAnsi="Times New Roman" w:cs="Times New Roman"/>
        </w:rPr>
      </w:pPr>
      <w:r w:rsidR="00D76C22">
        <w:rPr>
          <w:rFonts w:ascii="Times New Roman" w:hAnsi="Times New Roman" w:cs="Times New Roman"/>
        </w:rPr>
        <w:t>Výbor pre európske záležitosti v</w:t>
      </w:r>
      <w:r>
        <w:rPr>
          <w:rFonts w:ascii="Times New Roman" w:hAnsi="Times New Roman" w:cs="Times New Roman"/>
        </w:rPr>
        <w:t xml:space="preserve"> sledovanom období </w:t>
      </w:r>
      <w:r w:rsidR="00D76C22">
        <w:rPr>
          <w:rFonts w:ascii="Times New Roman" w:hAnsi="Times New Roman" w:cs="Times New Roman"/>
        </w:rPr>
        <w:t>prerok</w:t>
      </w:r>
      <w:r>
        <w:rPr>
          <w:rFonts w:ascii="Times New Roman" w:hAnsi="Times New Roman" w:cs="Times New Roman"/>
        </w:rPr>
        <w:t>oval:</w:t>
      </w:r>
    </w:p>
    <w:p w:rsidR="002A4347" w:rsidP="002A4347">
      <w:pPr>
        <w:ind w:firstLine="708"/>
        <w:jc w:val="both"/>
        <w:rPr>
          <w:rFonts w:ascii="Times New Roman" w:hAnsi="Times New Roman" w:cs="Times New Roman"/>
        </w:rPr>
      </w:pPr>
    </w:p>
    <w:p w:rsidR="008D568D" w:rsidP="002A4347">
      <w:pPr>
        <w:numPr>
          <w:ilvl w:val="0"/>
          <w:numId w:val="13"/>
        </w:numPr>
        <w:tabs>
          <w:tab w:val="left" w:pos="-2580"/>
        </w:tabs>
        <w:ind w:left="720" w:hanging="360"/>
        <w:jc w:val="both"/>
        <w:rPr>
          <w:rFonts w:ascii="Times New Roman" w:hAnsi="Times New Roman" w:cs="Times New Roman"/>
        </w:rPr>
      </w:pPr>
      <w:r>
        <w:rPr>
          <w:rFonts w:ascii="Times New Roman" w:hAnsi="Times New Roman" w:cs="Times New Roman"/>
          <w:b/>
        </w:rPr>
        <w:t xml:space="preserve">421 </w:t>
      </w:r>
      <w:r w:rsidRPr="00603378" w:rsidR="00D76C22">
        <w:rPr>
          <w:rFonts w:ascii="Times New Roman" w:hAnsi="Times New Roman" w:cs="Times New Roman"/>
          <w:b/>
        </w:rPr>
        <w:t>návrhov právne záväzných aktov a iných aktov Európskych spoločenstiev a Európskej únie</w:t>
      </w:r>
      <w:r w:rsidRPr="00603378" w:rsidR="00603378">
        <w:rPr>
          <w:rFonts w:ascii="Times New Roman" w:hAnsi="Times New Roman" w:cs="Times New Roman"/>
          <w:b/>
        </w:rPr>
        <w:t>,</w:t>
      </w:r>
      <w:r w:rsidR="00603378">
        <w:rPr>
          <w:rFonts w:ascii="Times New Roman" w:hAnsi="Times New Roman" w:cs="Times New Roman"/>
        </w:rPr>
        <w:t xml:space="preserve"> </w:t>
      </w:r>
    </w:p>
    <w:p w:rsidR="002A4347" w:rsidP="002A4347">
      <w:pPr>
        <w:ind w:left="360"/>
        <w:jc w:val="both"/>
        <w:rPr>
          <w:rFonts w:ascii="Times New Roman" w:hAnsi="Times New Roman" w:cs="Times New Roman"/>
        </w:rPr>
      </w:pPr>
    </w:p>
    <w:p w:rsidR="002845D3" w:rsidP="002A4347">
      <w:pPr>
        <w:numPr>
          <w:ilvl w:val="0"/>
          <w:numId w:val="13"/>
        </w:numPr>
        <w:tabs>
          <w:tab w:val="left" w:pos="-2580"/>
        </w:tabs>
        <w:ind w:left="720" w:hanging="360"/>
        <w:jc w:val="both"/>
        <w:rPr>
          <w:rFonts w:ascii="Times New Roman" w:hAnsi="Times New Roman" w:cs="Times New Roman"/>
        </w:rPr>
      </w:pPr>
      <w:r w:rsidR="008D568D">
        <w:rPr>
          <w:rFonts w:ascii="Times New Roman" w:hAnsi="Times New Roman" w:cs="Times New Roman"/>
          <w:b/>
        </w:rPr>
        <w:t xml:space="preserve">591 </w:t>
      </w:r>
      <w:r w:rsidRPr="002A567E" w:rsidR="00D76C22">
        <w:rPr>
          <w:rFonts w:ascii="Times New Roman" w:hAnsi="Times New Roman" w:cs="Times New Roman"/>
          <w:b/>
        </w:rPr>
        <w:t xml:space="preserve">návrhov stanovísk Slovenskej republiky </w:t>
      </w:r>
      <w:r w:rsidR="00D76C22">
        <w:rPr>
          <w:rFonts w:ascii="Times New Roman" w:hAnsi="Times New Roman" w:cs="Times New Roman"/>
        </w:rPr>
        <w:t>k návrhom tých aktov, o ktorých rokovali členovia vlády Slovenskej republiky v orgánoch Európskej únie</w:t>
      </w:r>
      <w:r w:rsidR="008D568D">
        <w:rPr>
          <w:rFonts w:ascii="Times New Roman" w:hAnsi="Times New Roman" w:cs="Times New Roman"/>
        </w:rPr>
        <w:t xml:space="preserve"> </w:t>
      </w:r>
      <w:r>
        <w:rPr>
          <w:rStyle w:val="FootnoteReference"/>
          <w:rFonts w:ascii="Times New Roman" w:hAnsi="Times New Roman" w:cs="Times New Roman"/>
          <w:rtl w:val="0"/>
        </w:rPr>
        <w:footnoteReference w:id="3"/>
      </w:r>
    </w:p>
    <w:p w:rsidR="002A4347" w:rsidP="002A4347">
      <w:pPr>
        <w:jc w:val="both"/>
        <w:rPr>
          <w:rFonts w:ascii="Times New Roman" w:hAnsi="Times New Roman" w:cs="Times New Roman"/>
        </w:rPr>
      </w:pPr>
    </w:p>
    <w:p w:rsidR="006029C2" w:rsidP="002A4347">
      <w:pPr>
        <w:numPr>
          <w:ilvl w:val="0"/>
          <w:numId w:val="13"/>
        </w:numPr>
        <w:tabs>
          <w:tab w:val="left" w:pos="-2580"/>
        </w:tabs>
        <w:ind w:left="720" w:hanging="360"/>
        <w:jc w:val="both"/>
        <w:rPr>
          <w:rFonts w:ascii="Times New Roman" w:hAnsi="Times New Roman" w:cs="Times New Roman"/>
        </w:rPr>
      </w:pPr>
      <w:r w:rsidRPr="006029C2">
        <w:rPr>
          <w:rFonts w:ascii="Times New Roman" w:hAnsi="Times New Roman" w:cs="Times New Roman"/>
          <w:b/>
        </w:rPr>
        <w:t>správy a informácie</w:t>
      </w:r>
      <w:r>
        <w:rPr>
          <w:rFonts w:ascii="Times New Roman" w:hAnsi="Times New Roman" w:cs="Times New Roman"/>
        </w:rPr>
        <w:t xml:space="preserve"> –</w:t>
      </w:r>
      <w:r w:rsidRPr="006029C2">
        <w:rPr>
          <w:rFonts w:ascii="Times New Roman" w:hAnsi="Times New Roman" w:cs="Times New Roman"/>
        </w:rPr>
        <w:t xml:space="preserve"> naj</w:t>
      </w:r>
      <w:r>
        <w:rPr>
          <w:rFonts w:ascii="Times New Roman" w:hAnsi="Times New Roman" w:cs="Times New Roman"/>
        </w:rPr>
        <w:t xml:space="preserve">významnejšími </w:t>
      </w:r>
      <w:r w:rsidR="00BD7BAA">
        <w:rPr>
          <w:rFonts w:ascii="Times New Roman" w:hAnsi="Times New Roman" w:cs="Times New Roman"/>
        </w:rPr>
        <w:t xml:space="preserve">za sledované obdobie </w:t>
      </w:r>
      <w:r>
        <w:rPr>
          <w:rFonts w:ascii="Times New Roman" w:hAnsi="Times New Roman" w:cs="Times New Roman"/>
        </w:rPr>
        <w:t>boli</w:t>
      </w:r>
      <w:r w:rsidRPr="006029C2">
        <w:rPr>
          <w:rFonts w:ascii="Times New Roman" w:hAnsi="Times New Roman" w:cs="Times New Roman"/>
        </w:rPr>
        <w:t xml:space="preserve">: </w:t>
      </w:r>
      <w:r w:rsidRPr="006029C2" w:rsidR="008D568D">
        <w:rPr>
          <w:rFonts w:ascii="Times New Roman" w:hAnsi="Times New Roman" w:cs="Times New Roman"/>
        </w:rPr>
        <w:t>Správ</w:t>
      </w:r>
      <w:r>
        <w:rPr>
          <w:rFonts w:ascii="Times New Roman" w:hAnsi="Times New Roman" w:cs="Times New Roman"/>
        </w:rPr>
        <w:t>a</w:t>
      </w:r>
      <w:r w:rsidRPr="006029C2" w:rsidR="008D568D">
        <w:rPr>
          <w:rFonts w:ascii="Times New Roman" w:hAnsi="Times New Roman" w:cs="Times New Roman"/>
        </w:rPr>
        <w:t xml:space="preserve"> o pokroku v implementácií Národného programu reforiem na roky 2006 -</w:t>
      </w:r>
      <w:r w:rsidR="00BD7BAA">
        <w:rPr>
          <w:rFonts w:ascii="Times New Roman" w:hAnsi="Times New Roman" w:cs="Times New Roman"/>
        </w:rPr>
        <w:t xml:space="preserve"> </w:t>
      </w:r>
      <w:r w:rsidRPr="006029C2" w:rsidR="008D568D">
        <w:rPr>
          <w:rFonts w:ascii="Times New Roman" w:hAnsi="Times New Roman" w:cs="Times New Roman"/>
        </w:rPr>
        <w:t xml:space="preserve">2008, </w:t>
      </w:r>
      <w:r w:rsidRPr="006029C2" w:rsidR="00605DD3">
        <w:rPr>
          <w:rFonts w:ascii="Times New Roman" w:hAnsi="Times New Roman" w:cs="Times New Roman"/>
        </w:rPr>
        <w:t>Legislatívn</w:t>
      </w:r>
      <w:r w:rsidRPr="006029C2">
        <w:rPr>
          <w:rFonts w:ascii="Times New Roman" w:hAnsi="Times New Roman" w:cs="Times New Roman"/>
        </w:rPr>
        <w:t>y</w:t>
      </w:r>
      <w:r w:rsidRPr="006029C2" w:rsidR="00605DD3">
        <w:rPr>
          <w:rFonts w:ascii="Times New Roman" w:hAnsi="Times New Roman" w:cs="Times New Roman"/>
        </w:rPr>
        <w:t xml:space="preserve"> a</w:t>
      </w:r>
      <w:r w:rsidRPr="006029C2">
        <w:rPr>
          <w:rFonts w:ascii="Times New Roman" w:hAnsi="Times New Roman" w:cs="Times New Roman"/>
        </w:rPr>
        <w:t> </w:t>
      </w:r>
      <w:r w:rsidRPr="006029C2" w:rsidR="00605DD3">
        <w:rPr>
          <w:rFonts w:ascii="Times New Roman" w:hAnsi="Times New Roman" w:cs="Times New Roman"/>
        </w:rPr>
        <w:t>pracovn</w:t>
      </w:r>
      <w:r w:rsidRPr="006029C2">
        <w:rPr>
          <w:rFonts w:ascii="Times New Roman" w:hAnsi="Times New Roman" w:cs="Times New Roman"/>
        </w:rPr>
        <w:t xml:space="preserve">ý </w:t>
      </w:r>
      <w:r w:rsidRPr="006029C2" w:rsidR="00605DD3">
        <w:rPr>
          <w:rFonts w:ascii="Times New Roman" w:hAnsi="Times New Roman" w:cs="Times New Roman"/>
        </w:rPr>
        <w:t xml:space="preserve">program Európskej </w:t>
      </w:r>
      <w:r w:rsidRPr="006029C2" w:rsidR="00605DD3">
        <w:rPr>
          <w:rFonts w:ascii="Times New Roman" w:hAnsi="Times New Roman" w:cs="Times New Roman"/>
        </w:rPr>
        <w:t>komisie na rok 2007 a Správ</w:t>
      </w:r>
      <w:r w:rsidRPr="006029C2">
        <w:rPr>
          <w:rFonts w:ascii="Times New Roman" w:hAnsi="Times New Roman" w:cs="Times New Roman"/>
        </w:rPr>
        <w:t>a</w:t>
      </w:r>
      <w:r w:rsidRPr="006029C2" w:rsidR="00605DD3">
        <w:rPr>
          <w:rFonts w:ascii="Times New Roman" w:hAnsi="Times New Roman" w:cs="Times New Roman"/>
        </w:rPr>
        <w:t xml:space="preserve"> o prioritách vyplývajúcich z Legislatívneho a pracovného programu Európskej komisie na rok 2007 pre Slovenskú republiku (tlač 156)</w:t>
      </w:r>
      <w:r w:rsidRPr="006029C2" w:rsidR="00355009">
        <w:rPr>
          <w:rFonts w:ascii="Times New Roman" w:hAnsi="Times New Roman" w:cs="Times New Roman"/>
        </w:rPr>
        <w:t>, Informatívny materiál k Lisabonskej stratégii, Konvergenčný program Slovenska na roky 2006-2010 - Aktualizácia 2006, Správ</w:t>
      </w:r>
      <w:r w:rsidRPr="006029C2">
        <w:rPr>
          <w:rFonts w:ascii="Times New Roman" w:hAnsi="Times New Roman" w:cs="Times New Roman"/>
        </w:rPr>
        <w:t>a</w:t>
      </w:r>
      <w:r w:rsidRPr="006029C2" w:rsidR="00355009">
        <w:rPr>
          <w:rFonts w:ascii="Times New Roman" w:hAnsi="Times New Roman" w:cs="Times New Roman"/>
        </w:rPr>
        <w:t xml:space="preserve"> o stave čerpania štrukturálnych fondov, Kohézneho fondu a predvstupových nástrojov k 31.12.2006</w:t>
      </w:r>
      <w:r w:rsidRPr="006029C2">
        <w:rPr>
          <w:rFonts w:ascii="Times New Roman" w:hAnsi="Times New Roman" w:cs="Times New Roman"/>
        </w:rPr>
        <w:t xml:space="preserve">, Správa o plnení prioritných cieľov Lisabonskej stratégie v pripravovanej novele Zákonníka práce, </w:t>
      </w:r>
      <w:r>
        <w:rPr>
          <w:rFonts w:ascii="Times New Roman" w:hAnsi="Times New Roman" w:cs="Times New Roman"/>
        </w:rPr>
        <w:t>Monitoring</w:t>
      </w:r>
      <w:r w:rsidRPr="006029C2">
        <w:rPr>
          <w:rFonts w:ascii="Times New Roman" w:hAnsi="Times New Roman" w:cs="Times New Roman"/>
        </w:rPr>
        <w:t xml:space="preserve"> vývoja stanovísk Slove</w:t>
      </w:r>
      <w:r w:rsidRPr="006029C2">
        <w:rPr>
          <w:rFonts w:ascii="Times New Roman" w:hAnsi="Times New Roman" w:cs="Times New Roman"/>
        </w:rPr>
        <w:t>nskej republiky k návrhom právnych aktov Európskej únie</w:t>
      </w:r>
      <w:r w:rsidR="00F11B6C">
        <w:rPr>
          <w:rFonts w:ascii="Times New Roman" w:hAnsi="Times New Roman" w:cs="Times New Roman"/>
        </w:rPr>
        <w:t xml:space="preserve"> (tlač 245)</w:t>
      </w:r>
      <w:r w:rsidRPr="006029C2">
        <w:rPr>
          <w:rFonts w:ascii="Times New Roman" w:hAnsi="Times New Roman" w:cs="Times New Roman"/>
        </w:rPr>
        <w:t>, Stratégi</w:t>
      </w:r>
      <w:r w:rsidR="00BD7BAA">
        <w:rPr>
          <w:rFonts w:ascii="Times New Roman" w:hAnsi="Times New Roman" w:cs="Times New Roman"/>
        </w:rPr>
        <w:t>a</w:t>
      </w:r>
      <w:r w:rsidRPr="006029C2">
        <w:rPr>
          <w:rFonts w:ascii="Times New Roman" w:hAnsi="Times New Roman" w:cs="Times New Roman"/>
        </w:rPr>
        <w:t xml:space="preserve"> celoživotného vzdelávania a celoživotného poradenstva.</w:t>
      </w:r>
    </w:p>
    <w:p w:rsidR="002A4347" w:rsidP="002A4347">
      <w:pPr>
        <w:jc w:val="both"/>
        <w:rPr>
          <w:rFonts w:ascii="Times New Roman" w:hAnsi="Times New Roman" w:cs="Times New Roman"/>
        </w:rPr>
      </w:pPr>
    </w:p>
    <w:p w:rsidR="00BD7BAA" w:rsidP="008D1EF5">
      <w:pPr>
        <w:numPr>
          <w:ilvl w:val="0"/>
          <w:numId w:val="13"/>
        </w:numPr>
        <w:tabs>
          <w:tab w:val="left" w:pos="-2580"/>
          <w:tab w:val="left" w:pos="720"/>
        </w:tabs>
        <w:spacing w:after="120"/>
        <w:ind w:left="720" w:hanging="360"/>
        <w:jc w:val="both"/>
        <w:rPr>
          <w:rFonts w:ascii="Times New Roman" w:hAnsi="Times New Roman" w:cs="Times New Roman"/>
        </w:rPr>
      </w:pPr>
      <w:r w:rsidRPr="00BD7BAA" w:rsidR="00D76C22">
        <w:rPr>
          <w:rFonts w:ascii="Times New Roman" w:hAnsi="Times New Roman" w:cs="Times New Roman"/>
        </w:rPr>
        <w:t xml:space="preserve">V prípade </w:t>
      </w:r>
      <w:r w:rsidRPr="00BD7BAA" w:rsidR="0005180B">
        <w:rPr>
          <w:rFonts w:ascii="Times New Roman" w:hAnsi="Times New Roman" w:cs="Times New Roman"/>
          <w:b/>
        </w:rPr>
        <w:t>25</w:t>
      </w:r>
      <w:r w:rsidRPr="00BD7BAA" w:rsidR="00877161">
        <w:rPr>
          <w:rFonts w:ascii="Times New Roman" w:hAnsi="Times New Roman" w:cs="Times New Roman"/>
          <w:b/>
        </w:rPr>
        <w:t xml:space="preserve"> </w:t>
      </w:r>
      <w:r w:rsidRPr="00BD7BAA" w:rsidR="00D76C22">
        <w:rPr>
          <w:rFonts w:ascii="Times New Roman" w:hAnsi="Times New Roman" w:cs="Times New Roman"/>
          <w:b/>
        </w:rPr>
        <w:t>tzv. prioritných návrhov</w:t>
      </w:r>
      <w:r>
        <w:rPr>
          <w:rStyle w:val="FootnoteReference"/>
          <w:rFonts w:ascii="Times New Roman" w:hAnsi="Times New Roman" w:cs="Times New Roman"/>
          <w:b/>
          <w:rtl w:val="0"/>
        </w:rPr>
        <w:footnoteReference w:id="4"/>
      </w:r>
      <w:r w:rsidRPr="00BD7BAA" w:rsidR="00D76C22">
        <w:rPr>
          <w:rFonts w:ascii="Times New Roman" w:hAnsi="Times New Roman" w:cs="Times New Roman"/>
        </w:rPr>
        <w:t xml:space="preserve"> požiadal výbor o</w:t>
      </w:r>
      <w:r w:rsidR="009D2058">
        <w:rPr>
          <w:rFonts w:ascii="Times New Roman" w:hAnsi="Times New Roman" w:cs="Times New Roman"/>
        </w:rPr>
        <w:t xml:space="preserve"> návrhy </w:t>
      </w:r>
      <w:r w:rsidRPr="00BD7BAA" w:rsidR="00D76C22">
        <w:rPr>
          <w:rFonts w:ascii="Times New Roman" w:hAnsi="Times New Roman" w:cs="Times New Roman"/>
        </w:rPr>
        <w:t>stanov</w:t>
      </w:r>
      <w:r w:rsidR="009D2058">
        <w:rPr>
          <w:rFonts w:ascii="Times New Roman" w:hAnsi="Times New Roman" w:cs="Times New Roman"/>
        </w:rPr>
        <w:t>ísk</w:t>
      </w:r>
      <w:r w:rsidRPr="00BD7BAA" w:rsidR="00D76C22">
        <w:rPr>
          <w:rFonts w:ascii="Times New Roman" w:hAnsi="Times New Roman" w:cs="Times New Roman"/>
        </w:rPr>
        <w:t xml:space="preserve"> </w:t>
      </w:r>
      <w:r w:rsidR="00124C0B">
        <w:rPr>
          <w:rFonts w:ascii="Times New Roman" w:hAnsi="Times New Roman" w:cs="Times New Roman"/>
        </w:rPr>
        <w:t xml:space="preserve">tieto </w:t>
      </w:r>
      <w:r w:rsidRPr="00BD7BAA" w:rsidR="00D76C22">
        <w:rPr>
          <w:rFonts w:ascii="Times New Roman" w:hAnsi="Times New Roman" w:cs="Times New Roman"/>
        </w:rPr>
        <w:t>výbor</w:t>
      </w:r>
      <w:r w:rsidRPr="00BD7BAA" w:rsidR="00603378">
        <w:rPr>
          <w:rFonts w:ascii="Times New Roman" w:hAnsi="Times New Roman" w:cs="Times New Roman"/>
        </w:rPr>
        <w:t>y</w:t>
      </w:r>
      <w:r w:rsidRPr="00BD7BAA" w:rsidR="00D76C22">
        <w:rPr>
          <w:rFonts w:ascii="Times New Roman" w:hAnsi="Times New Roman" w:cs="Times New Roman"/>
        </w:rPr>
        <w:t xml:space="preserve"> </w:t>
      </w:r>
      <w:r w:rsidR="00A00EE5">
        <w:rPr>
          <w:rFonts w:ascii="Times New Roman" w:hAnsi="Times New Roman" w:cs="Times New Roman"/>
        </w:rPr>
        <w:t>n</w:t>
      </w:r>
      <w:r w:rsidRPr="00BD7BAA" w:rsidR="00D76C22">
        <w:rPr>
          <w:rFonts w:ascii="Times New Roman" w:hAnsi="Times New Roman" w:cs="Times New Roman"/>
        </w:rPr>
        <w:t>árodnej rady</w:t>
      </w:r>
      <w:r w:rsidR="00124C0B">
        <w:rPr>
          <w:rFonts w:ascii="Times New Roman" w:hAnsi="Times New Roman" w:cs="Times New Roman"/>
        </w:rPr>
        <w:t xml:space="preserve">: </w:t>
      </w:r>
      <w:r w:rsidRPr="00BD7BAA" w:rsidR="008D1EF5">
        <w:rPr>
          <w:rFonts w:ascii="Times New Roman" w:hAnsi="Times New Roman" w:cs="Times New Roman"/>
        </w:rPr>
        <w:t xml:space="preserve"> </w:t>
      </w:r>
    </w:p>
    <w:p w:rsidR="003B431D" w:rsidRPr="00BD7BAA" w:rsidP="00BD7BAA">
      <w:pPr>
        <w:tabs>
          <w:tab w:val="left" w:pos="720"/>
        </w:tabs>
        <w:spacing w:after="120"/>
        <w:ind w:left="720"/>
        <w:jc w:val="both"/>
        <w:rPr>
          <w:rFonts w:ascii="Times New Roman" w:hAnsi="Times New Roman" w:cs="Times New Roman"/>
        </w:rPr>
      </w:pPr>
      <w:r w:rsidR="00BD7BAA">
        <w:rPr>
          <w:rFonts w:ascii="Times New Roman" w:hAnsi="Times New Roman" w:cs="Times New Roman"/>
        </w:rPr>
        <w:t xml:space="preserve">Zahraničný výbor NR SR, Výbor NR SR pre hospodársku politiku, Výbor NR SR pre financie, rozpočet a menu,  Výbor NR SR pre sociálne veci a bývanie, Ústavnoprávny výbor NR SR, Výbor NR SR pre ľudské práva, národnosti, a postavenie žien </w:t>
      </w:r>
      <w:r w:rsidRPr="00BD7BAA" w:rsidR="00D76C22">
        <w:rPr>
          <w:rFonts w:ascii="Times New Roman" w:hAnsi="Times New Roman" w:cs="Times New Roman"/>
        </w:rPr>
        <w:t xml:space="preserve"> </w:t>
      </w:r>
      <w:r w:rsidRPr="00BD7BAA" w:rsidR="008D568D">
        <w:rPr>
          <w:rFonts w:ascii="Times New Roman" w:hAnsi="Times New Roman" w:cs="Times New Roman"/>
        </w:rPr>
        <w:t xml:space="preserve"> </w:t>
      </w:r>
    </w:p>
    <w:p w:rsidR="00603378" w:rsidP="00D51C29">
      <w:pPr>
        <w:spacing w:after="120"/>
        <w:jc w:val="both"/>
        <w:rPr>
          <w:rFonts w:ascii="Times New Roman" w:hAnsi="Times New Roman" w:cs="Times New Roman"/>
        </w:rPr>
      </w:pPr>
    </w:p>
    <w:p w:rsidR="00D51C29" w:rsidP="00D51C29">
      <w:pPr>
        <w:spacing w:after="120"/>
        <w:ind w:firstLine="708"/>
        <w:jc w:val="both"/>
        <w:rPr>
          <w:rFonts w:ascii="Times New Roman" w:hAnsi="Times New Roman" w:cs="Times New Roman"/>
        </w:rPr>
      </w:pPr>
      <w:r>
        <w:rPr>
          <w:rFonts w:ascii="Times New Roman" w:hAnsi="Times New Roman" w:cs="Times New Roman"/>
        </w:rPr>
        <w:t xml:space="preserve">Výbor v uvedenom období zasadal </w:t>
      </w:r>
      <w:r w:rsidRPr="009A6285">
        <w:rPr>
          <w:rFonts w:ascii="Times New Roman" w:hAnsi="Times New Roman" w:cs="Times New Roman"/>
          <w:b/>
        </w:rPr>
        <w:t>22</w:t>
      </w:r>
      <w:r w:rsidRPr="00603378">
        <w:rPr>
          <w:rFonts w:ascii="Times New Roman" w:hAnsi="Times New Roman" w:cs="Times New Roman"/>
          <w:b/>
        </w:rPr>
        <w:t>-kr</w:t>
      </w:r>
      <w:r w:rsidRPr="00603378">
        <w:rPr>
          <w:rFonts w:ascii="Times New Roman" w:hAnsi="Times New Roman" w:cs="Times New Roman"/>
          <w:b/>
        </w:rPr>
        <w:t>át</w:t>
      </w:r>
      <w:r>
        <w:rPr>
          <w:rFonts w:ascii="Times New Roman" w:hAnsi="Times New Roman" w:cs="Times New Roman"/>
        </w:rPr>
        <w:t xml:space="preserve"> a na svojich schôdzach prijal </w:t>
      </w:r>
      <w:r w:rsidRPr="005F20D4">
        <w:rPr>
          <w:rFonts w:ascii="Times New Roman" w:hAnsi="Times New Roman" w:cs="Times New Roman"/>
          <w:b/>
        </w:rPr>
        <w:t xml:space="preserve">99 </w:t>
      </w:r>
      <w:r w:rsidRPr="00603378">
        <w:rPr>
          <w:rFonts w:ascii="Times New Roman" w:hAnsi="Times New Roman" w:cs="Times New Roman"/>
          <w:b/>
        </w:rPr>
        <w:t>uznesení</w:t>
      </w:r>
      <w:r w:rsidRPr="00B859A3">
        <w:rPr>
          <w:rFonts w:ascii="Times New Roman" w:hAnsi="Times New Roman" w:cs="Times New Roman"/>
        </w:rPr>
        <w:t xml:space="preserve"> </w:t>
      </w:r>
      <w:r>
        <w:rPr>
          <w:rFonts w:ascii="Times New Roman" w:hAnsi="Times New Roman" w:cs="Times New Roman"/>
        </w:rPr>
        <w:t xml:space="preserve">(3 návrhy na uznesenie neboli schválené). </w:t>
      </w:r>
    </w:p>
    <w:p w:rsidR="00D51C29" w:rsidP="00D51C29">
      <w:pPr>
        <w:spacing w:after="120"/>
        <w:jc w:val="both"/>
        <w:rPr>
          <w:rFonts w:ascii="Times New Roman" w:hAnsi="Times New Roman" w:cs="Times New Roman"/>
        </w:rPr>
      </w:pPr>
    </w:p>
    <w:p w:rsidR="00877161" w:rsidP="00D76C22">
      <w:pPr>
        <w:spacing w:after="120"/>
        <w:ind w:firstLine="708"/>
        <w:jc w:val="both"/>
        <w:rPr>
          <w:rFonts w:ascii="Times New Roman" w:hAnsi="Times New Roman" w:cs="Times New Roman"/>
        </w:rPr>
      </w:pPr>
      <w:r w:rsidR="00E66E17">
        <w:rPr>
          <w:rFonts w:ascii="Times New Roman" w:hAnsi="Times New Roman" w:cs="Times New Roman"/>
        </w:rPr>
        <w:t>Pre informáciu uvádzame z</w:t>
      </w:r>
      <w:r w:rsidR="006029C2">
        <w:rPr>
          <w:rFonts w:ascii="Times New Roman" w:hAnsi="Times New Roman" w:cs="Times New Roman"/>
        </w:rPr>
        <w:t xml:space="preserve"> celkového počtu </w:t>
      </w:r>
      <w:r w:rsidR="00D76C22">
        <w:rPr>
          <w:rFonts w:ascii="Times New Roman" w:hAnsi="Times New Roman" w:cs="Times New Roman"/>
        </w:rPr>
        <w:t>prerokovaný</w:t>
      </w:r>
      <w:r w:rsidR="006029C2">
        <w:rPr>
          <w:rFonts w:ascii="Times New Roman" w:hAnsi="Times New Roman" w:cs="Times New Roman"/>
        </w:rPr>
        <w:t>ch</w:t>
      </w:r>
      <w:r w:rsidR="00D76C22">
        <w:rPr>
          <w:rFonts w:ascii="Times New Roman" w:hAnsi="Times New Roman" w:cs="Times New Roman"/>
        </w:rPr>
        <w:t xml:space="preserve"> návrh</w:t>
      </w:r>
      <w:r w:rsidR="006029C2">
        <w:rPr>
          <w:rFonts w:ascii="Times New Roman" w:hAnsi="Times New Roman" w:cs="Times New Roman"/>
        </w:rPr>
        <w:t>ov</w:t>
      </w:r>
      <w:r w:rsidR="00D76C22">
        <w:rPr>
          <w:rFonts w:ascii="Times New Roman" w:hAnsi="Times New Roman" w:cs="Times New Roman"/>
        </w:rPr>
        <w:t xml:space="preserve"> právne záväzných aktov a iných aktov Európskych spoločenstiev a Európskej únie </w:t>
      </w:r>
      <w:r w:rsidR="00124C0B">
        <w:rPr>
          <w:rFonts w:ascii="Times New Roman" w:hAnsi="Times New Roman" w:cs="Times New Roman"/>
        </w:rPr>
        <w:t>návrhy, ktoré boli prero</w:t>
      </w:r>
      <w:r w:rsidR="00124C0B">
        <w:rPr>
          <w:rFonts w:ascii="Times New Roman" w:hAnsi="Times New Roman" w:cs="Times New Roman"/>
        </w:rPr>
        <w:t xml:space="preserve">kované v jednotlivých formáciách Rady EÚ a ktoré </w:t>
      </w:r>
      <w:r w:rsidR="00D51C29">
        <w:rPr>
          <w:rFonts w:ascii="Times New Roman" w:hAnsi="Times New Roman" w:cs="Times New Roman"/>
        </w:rPr>
        <w:t xml:space="preserve">výbor </w:t>
      </w:r>
      <w:r w:rsidR="00124C0B">
        <w:rPr>
          <w:rFonts w:ascii="Times New Roman" w:hAnsi="Times New Roman" w:cs="Times New Roman"/>
        </w:rPr>
        <w:t>posúdi</w:t>
      </w:r>
      <w:r w:rsidR="00D51C29">
        <w:rPr>
          <w:rFonts w:ascii="Times New Roman" w:hAnsi="Times New Roman" w:cs="Times New Roman"/>
        </w:rPr>
        <w:t>l</w:t>
      </w:r>
      <w:r w:rsidR="00124C0B">
        <w:rPr>
          <w:rFonts w:ascii="Times New Roman" w:hAnsi="Times New Roman" w:cs="Times New Roman"/>
        </w:rPr>
        <w:t xml:space="preserve"> ako návrhy prioritné </w:t>
      </w:r>
      <w:r w:rsidR="00986AA9">
        <w:rPr>
          <w:rFonts w:ascii="Times New Roman" w:hAnsi="Times New Roman" w:cs="Times New Roman"/>
        </w:rPr>
        <w:t>z pohľadu záujmov Slovenskej republiky</w:t>
      </w:r>
      <w:r w:rsidR="00124C0B">
        <w:rPr>
          <w:rFonts w:ascii="Times New Roman" w:hAnsi="Times New Roman" w:cs="Times New Roman"/>
        </w:rPr>
        <w:t xml:space="preserve">. </w:t>
      </w:r>
      <w:r w:rsidR="00986AA9">
        <w:rPr>
          <w:rFonts w:ascii="Times New Roman" w:hAnsi="Times New Roman" w:cs="Times New Roman"/>
        </w:rPr>
        <w:t xml:space="preserve">  </w:t>
      </w:r>
      <w:r>
        <w:rPr>
          <w:rFonts w:ascii="Times New Roman" w:hAnsi="Times New Roman" w:cs="Times New Roman"/>
          <w:color w:val="FF0000"/>
        </w:rPr>
        <w:t xml:space="preserve"> </w:t>
      </w:r>
      <w:r w:rsidR="00D76C22">
        <w:rPr>
          <w:rFonts w:ascii="Times New Roman" w:hAnsi="Times New Roman" w:cs="Times New Roman"/>
        </w:rPr>
        <w:t xml:space="preserve"> </w:t>
      </w:r>
    </w:p>
    <w:p w:rsidR="003B431D" w:rsidRPr="003B431D" w:rsidP="00877161">
      <w:pPr>
        <w:spacing w:after="120"/>
        <w:jc w:val="both"/>
        <w:rPr>
          <w:rFonts w:ascii="Times New Roman" w:hAnsi="Times New Roman" w:cs="Times New Roman"/>
          <w:color w:val="FF0000"/>
        </w:rPr>
      </w:pPr>
    </w:p>
    <w:p w:rsidR="00964963" w:rsidP="00877161">
      <w:pPr>
        <w:spacing w:after="120"/>
        <w:jc w:val="both"/>
        <w:rPr>
          <w:rFonts w:ascii="Times New Roman" w:hAnsi="Times New Roman" w:cs="Times New Roman"/>
          <w:b/>
          <w:u w:val="single"/>
        </w:rPr>
      </w:pPr>
      <w:r w:rsidRPr="00B446EF" w:rsidR="006029C2">
        <w:rPr>
          <w:rFonts w:ascii="Times New Roman" w:hAnsi="Times New Roman" w:cs="Times New Roman"/>
          <w:b/>
          <w:u w:val="single"/>
        </w:rPr>
        <w:t>O</w:t>
      </w:r>
      <w:r w:rsidRPr="00B446EF">
        <w:rPr>
          <w:rFonts w:ascii="Times New Roman" w:hAnsi="Times New Roman" w:cs="Times New Roman"/>
          <w:b/>
          <w:u w:val="single"/>
        </w:rPr>
        <w:t xml:space="preserve">blasť všeobecných </w:t>
      </w:r>
      <w:r w:rsidRPr="00B446EF" w:rsidR="00AB48B1">
        <w:rPr>
          <w:rFonts w:ascii="Times New Roman" w:hAnsi="Times New Roman" w:cs="Times New Roman"/>
          <w:b/>
          <w:u w:val="single"/>
        </w:rPr>
        <w:t xml:space="preserve">záležitostí </w:t>
      </w:r>
      <w:r w:rsidRPr="00B446EF">
        <w:rPr>
          <w:rFonts w:ascii="Times New Roman" w:hAnsi="Times New Roman" w:cs="Times New Roman"/>
          <w:b/>
          <w:u w:val="single"/>
        </w:rPr>
        <w:t xml:space="preserve">a vonkajších </w:t>
      </w:r>
      <w:r w:rsidRPr="00B446EF" w:rsidR="00AB48B1">
        <w:rPr>
          <w:rFonts w:ascii="Times New Roman" w:hAnsi="Times New Roman" w:cs="Times New Roman"/>
          <w:b/>
          <w:u w:val="single"/>
        </w:rPr>
        <w:t>vzťahov</w:t>
      </w:r>
      <w:r w:rsidRPr="00B446EF">
        <w:rPr>
          <w:rFonts w:ascii="Times New Roman" w:hAnsi="Times New Roman" w:cs="Times New Roman"/>
          <w:b/>
          <w:u w:val="single"/>
        </w:rPr>
        <w:t>:</w:t>
      </w:r>
    </w:p>
    <w:p w:rsidR="00F30EA6" w:rsidRPr="00B446EF" w:rsidP="00877161">
      <w:pPr>
        <w:spacing w:after="120"/>
        <w:jc w:val="both"/>
        <w:rPr>
          <w:rFonts w:ascii="Times New Roman" w:hAnsi="Times New Roman" w:cs="Times New Roman"/>
          <w:b/>
          <w:u w:val="single"/>
        </w:rPr>
      </w:pPr>
    </w:p>
    <w:p w:rsidR="00964963" w:rsidRPr="00B446EF" w:rsidP="00964963">
      <w:pPr>
        <w:numPr>
          <w:ilvl w:val="0"/>
          <w:numId w:val="5"/>
        </w:numPr>
        <w:tabs>
          <w:tab w:val="left" w:pos="360"/>
          <w:tab w:val="clear" w:pos="720"/>
        </w:tabs>
        <w:ind w:hanging="720"/>
        <w:jc w:val="both"/>
        <w:rPr>
          <w:rFonts w:ascii="Times New Roman" w:hAnsi="Times New Roman" w:cs="Times New Roman"/>
        </w:rPr>
      </w:pPr>
      <w:r w:rsidRPr="00B446EF">
        <w:rPr>
          <w:rFonts w:ascii="Times New Roman" w:hAnsi="Times New Roman" w:cs="Times New Roman"/>
        </w:rPr>
        <w:t xml:space="preserve">problematika </w:t>
      </w:r>
      <w:r w:rsidRPr="00B446EF">
        <w:rPr>
          <w:rFonts w:ascii="Times New Roman" w:hAnsi="Times New Roman" w:cs="Times New Roman"/>
          <w:b/>
        </w:rPr>
        <w:t>rozširovacieho procesu EÚ, najmä:</w:t>
      </w:r>
    </w:p>
    <w:p w:rsidR="00964963" w:rsidRPr="00B446EF" w:rsidP="00964963">
      <w:pPr>
        <w:numPr>
          <w:ilvl w:val="0"/>
          <w:numId w:val="6"/>
        </w:numPr>
        <w:tabs>
          <w:tab w:val="left" w:pos="720"/>
        </w:tabs>
        <w:jc w:val="both"/>
        <w:rPr>
          <w:rFonts w:ascii="Times New Roman" w:hAnsi="Times New Roman" w:cs="Times New Roman"/>
        </w:rPr>
      </w:pPr>
      <w:r w:rsidRPr="00B446EF">
        <w:rPr>
          <w:rFonts w:ascii="Times New Roman" w:hAnsi="Times New Roman" w:cs="Times New Roman"/>
        </w:rPr>
        <w:t xml:space="preserve">pristúpenie </w:t>
      </w:r>
      <w:r w:rsidRPr="00B446EF">
        <w:rPr>
          <w:rFonts w:ascii="Times New Roman" w:hAnsi="Times New Roman" w:cs="Times New Roman"/>
          <w:b/>
        </w:rPr>
        <w:t>Bulharska a R</w:t>
      </w:r>
      <w:r w:rsidRPr="00B446EF">
        <w:rPr>
          <w:rFonts w:ascii="Times New Roman" w:hAnsi="Times New Roman" w:cs="Times New Roman"/>
          <w:b/>
        </w:rPr>
        <w:t>umunska k</w:t>
      </w:r>
      <w:r w:rsidRPr="00B446EF">
        <w:rPr>
          <w:rFonts w:ascii="Times New Roman" w:hAnsi="Times New Roman" w:cs="Times New Roman"/>
        </w:rPr>
        <w:t xml:space="preserve"> 1.1.2007 (uplatnenie tzv. ochranných opatrení </w:t>
      </w:r>
      <w:r w:rsidR="007A5E05">
        <w:rPr>
          <w:rFonts w:ascii="Times New Roman" w:hAnsi="Times New Roman" w:cs="Times New Roman"/>
        </w:rPr>
        <w:t xml:space="preserve">s možnosťou prijatia sankcií </w:t>
      </w:r>
      <w:r w:rsidRPr="00B446EF">
        <w:rPr>
          <w:rFonts w:ascii="Times New Roman" w:hAnsi="Times New Roman" w:cs="Times New Roman"/>
        </w:rPr>
        <w:t xml:space="preserve">v tých oblastiach, v ktorých uvedené krajiny </w:t>
      </w:r>
      <w:r w:rsidR="007A5E05">
        <w:rPr>
          <w:rFonts w:ascii="Times New Roman" w:hAnsi="Times New Roman" w:cs="Times New Roman"/>
        </w:rPr>
        <w:t xml:space="preserve">v čase pristúpenia </w:t>
      </w:r>
      <w:r w:rsidRPr="00B446EF">
        <w:rPr>
          <w:rFonts w:ascii="Times New Roman" w:hAnsi="Times New Roman" w:cs="Times New Roman"/>
        </w:rPr>
        <w:t>preukázali nedostatočný pokrok</w:t>
      </w:r>
      <w:r w:rsidRPr="00B446EF" w:rsidR="00344073">
        <w:rPr>
          <w:rFonts w:ascii="Times New Roman" w:hAnsi="Times New Roman" w:cs="Times New Roman"/>
        </w:rPr>
        <w:t>)</w:t>
      </w:r>
      <w:r>
        <w:rPr>
          <w:rStyle w:val="FootnoteReference"/>
          <w:rFonts w:ascii="Times New Roman" w:hAnsi="Times New Roman" w:cs="Times New Roman"/>
          <w:rtl w:val="0"/>
        </w:rPr>
        <w:footnoteReference w:id="5"/>
      </w:r>
      <w:r w:rsidRPr="00B446EF" w:rsidR="00344073">
        <w:rPr>
          <w:rFonts w:ascii="Times New Roman" w:hAnsi="Times New Roman" w:cs="Times New Roman"/>
        </w:rPr>
        <w:t>. Hodnotiaca správa EK zverejnená 27. júna 2007 bola kritická, napriek tomu</w:t>
      </w:r>
      <w:r w:rsidRPr="00B446EF" w:rsidR="00344073">
        <w:rPr>
          <w:rFonts w:ascii="Times New Roman" w:hAnsi="Times New Roman" w:cs="Times New Roman"/>
        </w:rPr>
        <w:t xml:space="preserve"> EK nerozhodla o uplatnení avizovaných sankcií a rozhodla o pokračovaní monitoringu pokroku tzv. mechanizmu spolupráce a verifikácie BG a RO do jari 2008,  ktorý opätovne vyhodnotí správa EK v júni 2008</w:t>
      </w:r>
    </w:p>
    <w:p w:rsidR="00964963" w:rsidRPr="00B446EF" w:rsidP="00964963">
      <w:pPr>
        <w:numPr>
          <w:ilvl w:val="0"/>
          <w:numId w:val="6"/>
        </w:numPr>
        <w:tabs>
          <w:tab w:val="left" w:pos="720"/>
        </w:tabs>
        <w:jc w:val="both"/>
        <w:rPr>
          <w:rFonts w:ascii="Times New Roman" w:hAnsi="Times New Roman" w:cs="Times New Roman"/>
        </w:rPr>
      </w:pPr>
      <w:r w:rsidRPr="00B446EF">
        <w:rPr>
          <w:rFonts w:ascii="Times New Roman" w:hAnsi="Times New Roman" w:cs="Times New Roman"/>
          <w:b/>
        </w:rPr>
        <w:t xml:space="preserve">Západný Balkán - </w:t>
      </w:r>
      <w:r w:rsidRPr="00B446EF">
        <w:rPr>
          <w:rFonts w:ascii="Times New Roman" w:hAnsi="Times New Roman" w:cs="Times New Roman"/>
        </w:rPr>
        <w:t xml:space="preserve">vydanie tzv. rozširovacej stratégie </w:t>
      </w:r>
      <w:r w:rsidRPr="00B446EF">
        <w:rPr>
          <w:rFonts w:ascii="Times New Roman" w:hAnsi="Times New Roman" w:cs="Times New Roman"/>
        </w:rPr>
        <w:t>EK</w:t>
      </w:r>
      <w:r>
        <w:rPr>
          <w:rStyle w:val="FootnoteReference"/>
          <w:rFonts w:ascii="Times New Roman" w:hAnsi="Times New Roman" w:cs="Times New Roman"/>
          <w:rtl w:val="0"/>
        </w:rPr>
        <w:footnoteReference w:id="6"/>
      </w:r>
      <w:r w:rsidRPr="00B446EF">
        <w:rPr>
          <w:rFonts w:ascii="Times New Roman" w:hAnsi="Times New Roman" w:cs="Times New Roman"/>
        </w:rPr>
        <w:t xml:space="preserve">; prijatie novej srbskej ústavy </w:t>
      </w:r>
      <w:r w:rsidRPr="00B446EF">
        <w:rPr>
          <w:rFonts w:ascii="Times New Roman" w:hAnsi="Times New Roman" w:cs="Times New Roman"/>
          <w:i/>
        </w:rPr>
        <w:t>(definuje Kosovo a Metohiju ako „neoddeliteľnú súčasť krajiny“</w:t>
      </w:r>
      <w:r w:rsidR="007A5E05">
        <w:rPr>
          <w:rFonts w:ascii="Times New Roman" w:hAnsi="Times New Roman" w:cs="Times New Roman"/>
          <w:i/>
        </w:rPr>
        <w:t>- pozn.</w:t>
      </w:r>
      <w:r w:rsidRPr="00B446EF">
        <w:rPr>
          <w:rFonts w:ascii="Times New Roman" w:hAnsi="Times New Roman" w:cs="Times New Roman"/>
          <w:i/>
        </w:rPr>
        <w:t xml:space="preserve">), </w:t>
      </w:r>
      <w:r w:rsidRPr="00B446EF">
        <w:rPr>
          <w:rFonts w:ascii="Times New Roman" w:hAnsi="Times New Roman" w:cs="Times New Roman"/>
        </w:rPr>
        <w:t>vývoj rozhovorov medzi Belehradom a Prištinou o určení budúceho štatútu Kosova</w:t>
      </w:r>
      <w:r w:rsidRPr="00B446EF" w:rsidR="00AB48B1">
        <w:rPr>
          <w:rFonts w:ascii="Times New Roman" w:hAnsi="Times New Roman" w:cs="Times New Roman"/>
        </w:rPr>
        <w:t xml:space="preserve"> pod vedením osobitného vyslanca OSN M. Ahtisaariho</w:t>
      </w:r>
      <w:r w:rsidRPr="00B446EF" w:rsidR="00344073">
        <w:rPr>
          <w:rFonts w:ascii="Times New Roman" w:hAnsi="Times New Roman" w:cs="Times New Roman"/>
        </w:rPr>
        <w:t>. Osobitne problemat</w:t>
      </w:r>
      <w:r w:rsidRPr="00B446EF" w:rsidR="00344073">
        <w:rPr>
          <w:rFonts w:ascii="Times New Roman" w:hAnsi="Times New Roman" w:cs="Times New Roman"/>
        </w:rPr>
        <w:t>ika Srbska rezonovala v súvislosti s konštatovaním hlavnej prokurátorky ICTY Carly del Ponte o dostatočnej spolupráci Srbska s ICTY, na základe čoho 13. júna 2007 EÚ so Srbskom otvorila rokovania o Stabilizačnej a asociačnej dohode, ktoré boli prerušené od mája minulého roku.</w:t>
      </w:r>
      <w:r w:rsidR="007A5E05">
        <w:rPr>
          <w:rFonts w:ascii="Times New Roman" w:hAnsi="Times New Roman" w:cs="Times New Roman"/>
        </w:rPr>
        <w:t xml:space="preserve"> </w:t>
      </w:r>
      <w:r w:rsidR="007A5E05">
        <w:rPr>
          <w:rFonts w:ascii="Times New Roman" w:hAnsi="Times New Roman" w:cs="Times New Roman"/>
          <w:sz w:val="23"/>
          <w:szCs w:val="23"/>
        </w:rPr>
        <w:t xml:space="preserve">Chorvátsko bolo tiež akcentované v súvislosti s dosahovaným pokrokom v prístupových rokovaniach </w:t>
      </w:r>
      <w:r w:rsidRPr="00381BBC" w:rsidR="007A5E05">
        <w:rPr>
          <w:rFonts w:ascii="Times New Roman" w:hAnsi="Times New Roman" w:cs="Times New Roman"/>
          <w:i/>
          <w:sz w:val="22"/>
          <w:szCs w:val="22"/>
        </w:rPr>
        <w:t>(v decembri 2006 sa po uzavretí kapitoly Vzdelávanie a kultúra stalo lídrom medzi kandidátskymi krajinami usilujúcimi o členstvo v EÚ);</w:t>
      </w:r>
    </w:p>
    <w:p w:rsidR="00481A7D" w:rsidRPr="005B3C65" w:rsidP="00481A7D">
      <w:pPr>
        <w:numPr>
          <w:ilvl w:val="0"/>
          <w:numId w:val="6"/>
        </w:numPr>
        <w:tabs>
          <w:tab w:val="left" w:pos="720"/>
        </w:tabs>
        <w:jc w:val="both"/>
        <w:rPr>
          <w:rFonts w:ascii="Times New Roman" w:hAnsi="Times New Roman" w:cs="Times New Roman"/>
          <w:i/>
          <w:color w:val="3366FF"/>
          <w:sz w:val="22"/>
          <w:szCs w:val="22"/>
        </w:rPr>
      </w:pPr>
      <w:r w:rsidRPr="00F30EA6" w:rsidR="00964963">
        <w:rPr>
          <w:rFonts w:ascii="Times New Roman" w:hAnsi="Times New Roman" w:cs="Times New Roman"/>
          <w:b/>
        </w:rPr>
        <w:t>Tur</w:t>
      </w:r>
      <w:r w:rsidRPr="00F30EA6" w:rsidR="00964963">
        <w:rPr>
          <w:rFonts w:ascii="Times New Roman" w:hAnsi="Times New Roman" w:cs="Times New Roman"/>
          <w:b/>
        </w:rPr>
        <w:t xml:space="preserve">ecko - </w:t>
      </w:r>
      <w:r w:rsidRPr="00F30EA6" w:rsidR="00964963">
        <w:rPr>
          <w:rFonts w:ascii="Times New Roman" w:hAnsi="Times New Roman" w:cs="Times New Roman"/>
        </w:rPr>
        <w:t xml:space="preserve">vydanie pravidelnej </w:t>
      </w:r>
      <w:r w:rsidRPr="00F30EA6" w:rsidR="00D048FF">
        <w:rPr>
          <w:rFonts w:ascii="Times New Roman" w:hAnsi="Times New Roman" w:cs="Times New Roman"/>
        </w:rPr>
        <w:t xml:space="preserve">hodnotiacej </w:t>
      </w:r>
      <w:r w:rsidRPr="00F30EA6" w:rsidR="00964963">
        <w:rPr>
          <w:rFonts w:ascii="Times New Roman" w:hAnsi="Times New Roman" w:cs="Times New Roman"/>
        </w:rPr>
        <w:t>správy EK o pokroku Turecka na ceste členstva v EÚ, prerušenie prístupových rokovaní EÚ s Tureckom v 8 kapitolách</w:t>
      </w:r>
      <w:r w:rsidRPr="00F30EA6">
        <w:rPr>
          <w:rFonts w:ascii="Times New Roman" w:hAnsi="Times New Roman" w:cs="Times New Roman"/>
        </w:rPr>
        <w:t xml:space="preserve"> </w:t>
      </w:r>
      <w:r w:rsidRPr="00F30EA6">
        <w:rPr>
          <w:rFonts w:ascii="Times New Roman" w:hAnsi="Times New Roman" w:cs="Times New Roman"/>
          <w:i/>
          <w:sz w:val="22"/>
          <w:szCs w:val="22"/>
        </w:rPr>
        <w:t>(z celkového počtu 35 negociačných kapitol – pozn.)</w:t>
      </w:r>
      <w:r w:rsidRPr="00F30EA6" w:rsidR="00964963">
        <w:rPr>
          <w:rFonts w:ascii="Times New Roman" w:hAnsi="Times New Roman" w:cs="Times New Roman"/>
        </w:rPr>
        <w:t xml:space="preserve"> na decembrovom samit</w:t>
      </w:r>
      <w:r w:rsidRPr="00F30EA6" w:rsidR="0044253F">
        <w:rPr>
          <w:rFonts w:ascii="Times New Roman" w:hAnsi="Times New Roman" w:cs="Times New Roman"/>
        </w:rPr>
        <w:t>e</w:t>
      </w:r>
      <w:r w:rsidRPr="00F30EA6" w:rsidR="00964963">
        <w:rPr>
          <w:rFonts w:ascii="Times New Roman" w:hAnsi="Times New Roman" w:cs="Times New Roman"/>
        </w:rPr>
        <w:t xml:space="preserve"> Európskej rady</w:t>
      </w:r>
      <w:r w:rsidRPr="00F30EA6">
        <w:rPr>
          <w:rFonts w:ascii="Times New Roman" w:hAnsi="Times New Roman" w:cs="Times New Roman"/>
        </w:rPr>
        <w:t xml:space="preserve"> </w:t>
      </w:r>
      <w:r w:rsidRPr="00F30EA6">
        <w:rPr>
          <w:rFonts w:ascii="Times New Roman" w:hAnsi="Times New Roman" w:cs="Times New Roman"/>
          <w:sz w:val="23"/>
          <w:szCs w:val="23"/>
        </w:rPr>
        <w:t>v dôsledku nep</w:t>
      </w:r>
      <w:r w:rsidRPr="00F30EA6">
        <w:rPr>
          <w:rFonts w:ascii="Times New Roman" w:hAnsi="Times New Roman" w:cs="Times New Roman"/>
          <w:sz w:val="23"/>
          <w:szCs w:val="23"/>
        </w:rPr>
        <w:t xml:space="preserve">lnenia záväzkov Turecka </w:t>
      </w:r>
      <w:r w:rsidRPr="00F30EA6">
        <w:rPr>
          <w:rFonts w:ascii="Times New Roman" w:hAnsi="Times New Roman" w:cs="Times New Roman"/>
          <w:i/>
          <w:sz w:val="22"/>
          <w:szCs w:val="22"/>
        </w:rPr>
        <w:t>(vyplývajúcich z tzv. Dodatkového protokolu k tzv. Ankarskej dohode).</w:t>
      </w:r>
      <w:r w:rsidRPr="00F30EA6" w:rsidR="00344073">
        <w:rPr>
          <w:rFonts w:ascii="Times New Roman" w:hAnsi="Times New Roman" w:cs="Times New Roman"/>
        </w:rPr>
        <w:t xml:space="preserve"> </w:t>
      </w:r>
      <w:r w:rsidRPr="00F30EA6">
        <w:rPr>
          <w:rFonts w:ascii="Times New Roman" w:hAnsi="Times New Roman" w:cs="Times New Roman"/>
          <w:sz w:val="23"/>
          <w:szCs w:val="23"/>
        </w:rPr>
        <w:t>Osobitnú pozornosť Turecko zaujíma v súvislosti s pozíciou FR</w:t>
      </w:r>
      <w:r>
        <w:rPr>
          <w:rFonts w:ascii="Times New Roman" w:hAnsi="Times New Roman" w:cs="Times New Roman"/>
          <w:sz w:val="23"/>
          <w:szCs w:val="23"/>
        </w:rPr>
        <w:t xml:space="preserve"> prezidenta Sarkozyho </w:t>
      </w:r>
      <w:r w:rsidRPr="005B3C65">
        <w:rPr>
          <w:rFonts w:ascii="Times New Roman" w:hAnsi="Times New Roman" w:cs="Times New Roman"/>
          <w:i/>
          <w:sz w:val="22"/>
          <w:szCs w:val="22"/>
        </w:rPr>
        <w:t xml:space="preserve">(žiada </w:t>
      </w:r>
      <w:r>
        <w:rPr>
          <w:rFonts w:ascii="Times New Roman" w:hAnsi="Times New Roman" w:cs="Times New Roman"/>
          <w:i/>
          <w:sz w:val="22"/>
          <w:szCs w:val="22"/>
        </w:rPr>
        <w:t xml:space="preserve">zvážiť možnosť </w:t>
      </w:r>
      <w:r w:rsidRPr="005B3C65">
        <w:rPr>
          <w:rFonts w:ascii="Times New Roman" w:hAnsi="Times New Roman" w:cs="Times New Roman"/>
          <w:i/>
          <w:sz w:val="22"/>
          <w:szCs w:val="22"/>
        </w:rPr>
        <w:t>privilegovaného partnerstva pre Turecko)</w:t>
      </w:r>
      <w:r>
        <w:rPr>
          <w:rFonts w:ascii="Times New Roman" w:hAnsi="Times New Roman" w:cs="Times New Roman"/>
          <w:i/>
          <w:sz w:val="22"/>
          <w:szCs w:val="22"/>
        </w:rPr>
        <w:t>;</w:t>
      </w:r>
      <w:r w:rsidRPr="005B3C65">
        <w:rPr>
          <w:rFonts w:ascii="Times New Roman" w:hAnsi="Times New Roman" w:cs="Times New Roman"/>
          <w:i/>
          <w:color w:val="3366FF"/>
          <w:sz w:val="22"/>
          <w:szCs w:val="22"/>
        </w:rPr>
        <w:t> </w:t>
      </w:r>
    </w:p>
    <w:p w:rsidR="00964963" w:rsidRPr="00481A7D" w:rsidP="00964963">
      <w:pPr>
        <w:numPr>
          <w:ilvl w:val="0"/>
          <w:numId w:val="6"/>
        </w:numPr>
        <w:tabs>
          <w:tab w:val="left" w:pos="720"/>
        </w:tabs>
        <w:jc w:val="both"/>
        <w:rPr>
          <w:rFonts w:ascii="Times New Roman" w:hAnsi="Times New Roman" w:cs="Times New Roman"/>
          <w:i/>
        </w:rPr>
      </w:pPr>
      <w:r w:rsidRPr="00B446EF">
        <w:rPr>
          <w:rFonts w:ascii="Times New Roman" w:hAnsi="Times New Roman" w:cs="Times New Roman"/>
        </w:rPr>
        <w:t xml:space="preserve">tzv. </w:t>
      </w:r>
      <w:r w:rsidRPr="00B446EF">
        <w:rPr>
          <w:rFonts w:ascii="Times New Roman" w:hAnsi="Times New Roman" w:cs="Times New Roman"/>
          <w:b/>
        </w:rPr>
        <w:t>integračná kapacita EÚ</w:t>
      </w:r>
      <w:r w:rsidRPr="00B446EF">
        <w:rPr>
          <w:rFonts w:ascii="Times New Roman" w:hAnsi="Times New Roman" w:cs="Times New Roman"/>
        </w:rPr>
        <w:t xml:space="preserve"> - princípy a komponenty úzko súvisiace s kapacitou EÚ integrovať nových členov; </w:t>
      </w:r>
      <w:r w:rsidRPr="00481A7D">
        <w:rPr>
          <w:rFonts w:ascii="Times New Roman" w:hAnsi="Times New Roman" w:cs="Times New Roman"/>
        </w:rPr>
        <w:t>súbor opatrení pre zabezpečenie podpory verejnosti pre rozširovanie a hlavné výzvy pre EÚ v r. 2007.</w:t>
      </w:r>
    </w:p>
    <w:p w:rsidR="00481A7D" w:rsidRPr="00F30EA6" w:rsidP="00481A7D">
      <w:pPr>
        <w:numPr>
          <w:ilvl w:val="0"/>
          <w:numId w:val="20"/>
        </w:numPr>
        <w:tabs>
          <w:tab w:val="left" w:pos="360"/>
        </w:tabs>
        <w:jc w:val="both"/>
        <w:rPr>
          <w:rFonts w:ascii="Times New Roman" w:hAnsi="Times New Roman" w:cs="Times New Roman"/>
          <w:i/>
        </w:rPr>
      </w:pPr>
      <w:r w:rsidRPr="00F30EA6">
        <w:rPr>
          <w:rFonts w:ascii="Times New Roman" w:hAnsi="Times New Roman" w:cs="Times New Roman"/>
        </w:rPr>
        <w:t xml:space="preserve">problematika ďalšieho osudu </w:t>
      </w:r>
      <w:r w:rsidRPr="00F30EA6">
        <w:rPr>
          <w:rFonts w:ascii="Times New Roman" w:hAnsi="Times New Roman" w:cs="Times New Roman"/>
          <w:b/>
        </w:rPr>
        <w:t xml:space="preserve">Ústavnej zmluvy </w:t>
      </w:r>
      <w:r w:rsidRPr="00F30EA6">
        <w:rPr>
          <w:rFonts w:ascii="Times New Roman" w:hAnsi="Times New Roman" w:cs="Times New Roman"/>
        </w:rPr>
        <w:t>a </w:t>
      </w:r>
      <w:r w:rsidRPr="00F30EA6">
        <w:rPr>
          <w:rFonts w:ascii="Times New Roman" w:hAnsi="Times New Roman" w:cs="Times New Roman"/>
          <w:b/>
        </w:rPr>
        <w:t>inštitucionálne</w:t>
      </w:r>
      <w:r w:rsidRPr="00F30EA6">
        <w:rPr>
          <w:rFonts w:ascii="Times New Roman" w:hAnsi="Times New Roman" w:cs="Times New Roman"/>
          <w:b/>
        </w:rPr>
        <w:t xml:space="preserve">j reformy EÚ – </w:t>
      </w:r>
      <w:r w:rsidRPr="00F30EA6">
        <w:rPr>
          <w:rFonts w:ascii="Times New Roman" w:hAnsi="Times New Roman" w:cs="Times New Roman"/>
        </w:rPr>
        <w:t>najmä Berlínska deklarácia a zosúlaďovanie pozícií kľúčových členských štátov EÚ osobitne po prezidentských voľbách vo Francúzsku a pred (rozhodujúcim) júnovým samitom Európskej rady, ktorý vyústil do prijatia tzv. mandátu pre Medzivládnu konferenciu;</w:t>
      </w:r>
    </w:p>
    <w:p w:rsidR="00964963" w:rsidRPr="00F30EA6" w:rsidP="00964963">
      <w:pPr>
        <w:numPr>
          <w:ilvl w:val="0"/>
          <w:numId w:val="7"/>
        </w:numPr>
        <w:tabs>
          <w:tab w:val="left" w:pos="360"/>
          <w:tab w:val="clear" w:pos="720"/>
        </w:tabs>
        <w:ind w:hanging="720"/>
        <w:jc w:val="both"/>
        <w:rPr>
          <w:rFonts w:ascii="Times New Roman" w:hAnsi="Times New Roman" w:cs="Times New Roman"/>
          <w:i/>
        </w:rPr>
      </w:pPr>
      <w:r w:rsidRPr="00F30EA6">
        <w:rPr>
          <w:rFonts w:ascii="Times New Roman" w:hAnsi="Times New Roman" w:cs="Times New Roman"/>
        </w:rPr>
        <w:t xml:space="preserve">problematika </w:t>
      </w:r>
      <w:r w:rsidRPr="00F30EA6">
        <w:rPr>
          <w:rFonts w:ascii="Times New Roman" w:hAnsi="Times New Roman" w:cs="Times New Roman"/>
          <w:b/>
        </w:rPr>
        <w:t>vzťahov EÚ a Ruska;</w:t>
      </w:r>
    </w:p>
    <w:p w:rsidR="00964963" w:rsidRPr="00B446EF" w:rsidP="00964963">
      <w:pPr>
        <w:numPr>
          <w:ilvl w:val="0"/>
          <w:numId w:val="7"/>
        </w:numPr>
        <w:tabs>
          <w:tab w:val="left" w:pos="360"/>
          <w:tab w:val="clear" w:pos="720"/>
        </w:tabs>
        <w:ind w:left="360"/>
        <w:jc w:val="both"/>
        <w:rPr>
          <w:rFonts w:ascii="Times New Roman" w:hAnsi="Times New Roman" w:cs="Times New Roman"/>
          <w:b/>
          <w:i/>
        </w:rPr>
      </w:pPr>
      <w:r w:rsidRPr="00B446EF">
        <w:rPr>
          <w:rFonts w:ascii="Times New Roman" w:hAnsi="Times New Roman" w:cs="Times New Roman"/>
        </w:rPr>
        <w:t xml:space="preserve">problematika tzv. </w:t>
      </w:r>
      <w:r w:rsidRPr="00B446EF">
        <w:rPr>
          <w:rFonts w:ascii="Times New Roman" w:hAnsi="Times New Roman" w:cs="Times New Roman"/>
          <w:b/>
        </w:rPr>
        <w:t xml:space="preserve">Európskej susedskej politiky – </w:t>
      </w:r>
      <w:r w:rsidRPr="00B446EF">
        <w:rPr>
          <w:rFonts w:ascii="Times New Roman" w:hAnsi="Times New Roman" w:cs="Times New Roman"/>
        </w:rPr>
        <w:t xml:space="preserve">predovšetkým vývoj na </w:t>
      </w:r>
      <w:r w:rsidRPr="00B446EF">
        <w:rPr>
          <w:rFonts w:ascii="Times New Roman" w:hAnsi="Times New Roman" w:cs="Times New Roman"/>
          <w:b/>
        </w:rPr>
        <w:t xml:space="preserve">Ukrajine </w:t>
      </w:r>
      <w:r w:rsidRPr="00B446EF">
        <w:rPr>
          <w:rFonts w:ascii="Times New Roman" w:hAnsi="Times New Roman" w:cs="Times New Roman"/>
        </w:rPr>
        <w:t>a v </w:t>
      </w:r>
      <w:r w:rsidRPr="00B446EF">
        <w:rPr>
          <w:rFonts w:ascii="Times New Roman" w:hAnsi="Times New Roman" w:cs="Times New Roman"/>
          <w:b/>
        </w:rPr>
        <w:t>Bielorusku.</w:t>
      </w:r>
      <w:r w:rsidRPr="00B446EF">
        <w:rPr>
          <w:rFonts w:ascii="Times New Roman" w:hAnsi="Times New Roman" w:cs="Times New Roman"/>
        </w:rPr>
        <w:t xml:space="preserve"> </w:t>
      </w:r>
      <w:r w:rsidRPr="00B446EF">
        <w:rPr>
          <w:rFonts w:ascii="Times New Roman" w:hAnsi="Times New Roman" w:cs="Times New Roman"/>
          <w:b/>
        </w:rPr>
        <w:t xml:space="preserve">  </w:t>
      </w:r>
    </w:p>
    <w:p w:rsidR="00964963" w:rsidP="00877161">
      <w:pPr>
        <w:spacing w:after="120"/>
        <w:jc w:val="both"/>
        <w:rPr>
          <w:rFonts w:ascii="Times New Roman" w:hAnsi="Times New Roman" w:cs="Times New Roman"/>
        </w:rPr>
      </w:pPr>
    </w:p>
    <w:p w:rsidR="00964963" w:rsidRPr="00B446EF" w:rsidP="00877161">
      <w:pPr>
        <w:spacing w:after="120"/>
        <w:jc w:val="both"/>
        <w:rPr>
          <w:rFonts w:ascii="Times New Roman" w:hAnsi="Times New Roman" w:cs="Times New Roman"/>
          <w:b/>
          <w:u w:val="single"/>
        </w:rPr>
      </w:pPr>
      <w:r w:rsidRPr="00B446EF" w:rsidR="00986AA9">
        <w:rPr>
          <w:rFonts w:ascii="Times New Roman" w:hAnsi="Times New Roman" w:cs="Times New Roman"/>
          <w:b/>
          <w:u w:val="single"/>
        </w:rPr>
        <w:t>O</w:t>
      </w:r>
      <w:r w:rsidRPr="00B446EF">
        <w:rPr>
          <w:rFonts w:ascii="Times New Roman" w:hAnsi="Times New Roman" w:cs="Times New Roman"/>
          <w:b/>
          <w:u w:val="single"/>
        </w:rPr>
        <w:t>blasť ekonomických a finančných záležitostí:</w:t>
      </w:r>
    </w:p>
    <w:p w:rsidR="003B431D" w:rsidRPr="00B446EF" w:rsidP="00AB48B1">
      <w:pPr>
        <w:pStyle w:val="NormalWeb"/>
        <w:numPr>
          <w:ilvl w:val="0"/>
          <w:numId w:val="10"/>
        </w:numPr>
        <w:tabs>
          <w:tab w:val="left" w:pos="720"/>
        </w:tabs>
        <w:rPr>
          <w:rFonts w:ascii="Times New Roman" w:hAnsi="Times New Roman" w:cs="Times New Roman"/>
        </w:rPr>
      </w:pPr>
      <w:r w:rsidRPr="00B446EF">
        <w:rPr>
          <w:rFonts w:ascii="Times New Roman" w:hAnsi="Times New Roman" w:cs="Times New Roman"/>
        </w:rPr>
        <w:t>schválenie všeobecného rozpočtu EÚ na rok 2007</w:t>
      </w:r>
    </w:p>
    <w:p w:rsidR="003B431D" w:rsidRPr="00B446EF" w:rsidP="00AB48B1">
      <w:pPr>
        <w:pStyle w:val="NormalWeb"/>
        <w:numPr>
          <w:ilvl w:val="0"/>
          <w:numId w:val="10"/>
        </w:numPr>
        <w:tabs>
          <w:tab w:val="left" w:pos="720"/>
        </w:tabs>
        <w:rPr>
          <w:rFonts w:ascii="Times New Roman" w:hAnsi="Times New Roman" w:cs="Times New Roman"/>
        </w:rPr>
      </w:pPr>
      <w:r w:rsidRPr="00B446EF">
        <w:rPr>
          <w:rFonts w:ascii="Times New Roman" w:hAnsi="Times New Roman" w:cs="Times New Roman"/>
        </w:rPr>
        <w:t>prijatie nariadenia</w:t>
      </w:r>
      <w:r w:rsidRPr="00B446EF">
        <w:rPr>
          <w:rFonts w:ascii="Times New Roman" w:hAnsi="Times New Roman" w:cs="Times New Roman"/>
        </w:rPr>
        <w:t xml:space="preserve"> o rozpočtových pravidlách</w:t>
      </w:r>
      <w:r w:rsidR="00B446EF">
        <w:rPr>
          <w:rFonts w:ascii="Times New Roman" w:hAnsi="Times New Roman" w:cs="Times New Roman"/>
        </w:rPr>
        <w:t>,</w:t>
      </w:r>
      <w:r w:rsidRPr="00B446EF">
        <w:rPr>
          <w:rFonts w:ascii="Times New Roman" w:hAnsi="Times New Roman" w:cs="Times New Roman"/>
        </w:rPr>
        <w:t xml:space="preserve"> KOM (2006)213</w:t>
      </w:r>
    </w:p>
    <w:p w:rsidR="003B431D" w:rsidRPr="00B446EF" w:rsidP="00AB48B1">
      <w:pPr>
        <w:pStyle w:val="NormalWeb"/>
        <w:numPr>
          <w:ilvl w:val="0"/>
          <w:numId w:val="10"/>
        </w:numPr>
        <w:tabs>
          <w:tab w:val="left" w:pos="720"/>
        </w:tabs>
        <w:rPr>
          <w:rFonts w:ascii="Times New Roman" w:hAnsi="Times New Roman" w:cs="Times New Roman"/>
        </w:rPr>
      </w:pPr>
      <w:r w:rsidRPr="00B446EF">
        <w:rPr>
          <w:rFonts w:ascii="Times New Roman" w:hAnsi="Times New Roman" w:cs="Times New Roman"/>
        </w:rPr>
        <w:t>návrh smernice Rady, ktorou sa mení a dopĺňa smernica Rady 92/84/EHS o aproximácii sadzieb spotrebnej dane na alkohol a alkoholické nápoje</w:t>
      </w:r>
    </w:p>
    <w:p w:rsidR="003B431D" w:rsidP="00AB48B1">
      <w:pPr>
        <w:pStyle w:val="NormalWeb"/>
        <w:numPr>
          <w:ilvl w:val="0"/>
          <w:numId w:val="10"/>
        </w:numPr>
        <w:tabs>
          <w:tab w:val="left" w:pos="720"/>
        </w:tabs>
        <w:rPr>
          <w:rFonts w:ascii="Times New Roman" w:hAnsi="Times New Roman" w:cs="Times New Roman"/>
        </w:rPr>
      </w:pPr>
      <w:r w:rsidRPr="00B446EF">
        <w:rPr>
          <w:rFonts w:ascii="Times New Roman" w:hAnsi="Times New Roman" w:cs="Times New Roman"/>
        </w:rPr>
        <w:t>prijatie nariadenia o údajoch o príkazcovi, ktoré sprevádzajú prevody finančných prostriedkov</w:t>
      </w:r>
    </w:p>
    <w:p w:rsidR="0026228F" w:rsidP="00264E97">
      <w:pPr>
        <w:spacing w:after="120"/>
        <w:jc w:val="both"/>
        <w:rPr>
          <w:rFonts w:ascii="Times New Roman" w:hAnsi="Times New Roman" w:cs="Times New Roman"/>
          <w:b/>
          <w:u w:val="single"/>
        </w:rPr>
      </w:pPr>
    </w:p>
    <w:p w:rsidR="00264E97" w:rsidP="00264E97">
      <w:pPr>
        <w:spacing w:after="120"/>
        <w:jc w:val="both"/>
        <w:rPr>
          <w:rFonts w:ascii="Times New Roman" w:hAnsi="Times New Roman" w:cs="Times New Roman"/>
          <w:u w:val="single"/>
        </w:rPr>
      </w:pPr>
      <w:r w:rsidRPr="002562D7">
        <w:rPr>
          <w:rFonts w:ascii="Times New Roman" w:hAnsi="Times New Roman" w:cs="Times New Roman"/>
          <w:b/>
          <w:u w:val="single"/>
        </w:rPr>
        <w:t>Oblasť spravodlivosti a vnútorných záležitostí</w:t>
      </w:r>
      <w:r>
        <w:rPr>
          <w:rFonts w:ascii="Times New Roman" w:hAnsi="Times New Roman" w:cs="Times New Roman"/>
          <w:b/>
          <w:u w:val="single"/>
        </w:rPr>
        <w:t>:</w:t>
      </w:r>
    </w:p>
    <w:p w:rsidR="00264E97" w:rsidRPr="00F30EA6" w:rsidP="00F30EA6">
      <w:pPr>
        <w:numPr>
          <w:ilvl w:val="0"/>
          <w:numId w:val="22"/>
        </w:numPr>
        <w:tabs>
          <w:tab w:val="left" w:pos="720"/>
        </w:tabs>
        <w:spacing w:after="120"/>
        <w:jc w:val="both"/>
        <w:rPr>
          <w:rFonts w:ascii="Times New Roman" w:hAnsi="Times New Roman" w:cs="Times New Roman"/>
          <w:u w:val="single"/>
        </w:rPr>
      </w:pPr>
      <w:r w:rsidRPr="00F30EA6">
        <w:rPr>
          <w:rFonts w:ascii="Times New Roman" w:hAnsi="Times New Roman" w:cs="Times New Roman"/>
        </w:rPr>
        <w:t>Návrh nariadenia Rady, ktorým sa mení a dopĺňa nariadenie (ES) č. 2201/2003, pokiaľ ide o súdnu právomoc a ktorým sa zavádzajú pravidlá týkajúce sa rozhodného práva v manželských veciach (tento návrh bol aj súčasťou testu subsidiarity v rámci COSAC-u)</w:t>
      </w:r>
    </w:p>
    <w:p w:rsidR="00264E97" w:rsidRPr="00F30EA6" w:rsidP="00F30EA6">
      <w:pPr>
        <w:numPr>
          <w:ilvl w:val="0"/>
          <w:numId w:val="22"/>
        </w:numPr>
        <w:tabs>
          <w:tab w:val="left" w:pos="720"/>
        </w:tabs>
        <w:spacing w:after="120"/>
        <w:jc w:val="both"/>
        <w:rPr>
          <w:rFonts w:ascii="Times New Roman" w:hAnsi="Times New Roman" w:cs="Times New Roman"/>
          <w:u w:val="single"/>
        </w:rPr>
      </w:pPr>
      <w:r w:rsidRPr="00F30EA6">
        <w:rPr>
          <w:rFonts w:ascii="Times New Roman" w:hAnsi="Times New Roman" w:cs="Times New Roman"/>
        </w:rPr>
        <w:t xml:space="preserve">Návrhy týkajúce sa Schengenského priestoru (SIS - Schengenský informačný systém, VIS - Vízový informačný systém, SIRENE - </w:t>
      </w:r>
      <w:r w:rsidRPr="00F30EA6">
        <w:rPr>
          <w:rFonts w:ascii="Times New Roman" w:hAnsi="Times New Roman" w:cs="Times New Roman"/>
          <w:bCs/>
        </w:rPr>
        <w:t xml:space="preserve">výmena všetkých dodatočných informácií, ktoré nemôžu byť zabezpečené cez SIS a ďalšie nástroje súvisiace s </w:t>
      </w:r>
      <w:r w:rsidRPr="00F30EA6">
        <w:rPr>
          <w:rFonts w:ascii="Times New Roman" w:hAnsi="Times New Roman" w:cs="Times New Roman"/>
        </w:rPr>
        <w:t>prípravou Slovenska na vstup do Schengenu)</w:t>
      </w:r>
    </w:p>
    <w:p w:rsidR="00264E97" w:rsidRPr="00F30EA6" w:rsidP="00F30EA6">
      <w:pPr>
        <w:numPr>
          <w:ilvl w:val="0"/>
          <w:numId w:val="22"/>
        </w:numPr>
        <w:tabs>
          <w:tab w:val="left" w:pos="720"/>
        </w:tabs>
        <w:spacing w:after="120"/>
        <w:jc w:val="both"/>
        <w:rPr>
          <w:rFonts w:ascii="Times New Roman" w:hAnsi="Times New Roman" w:cs="Times New Roman"/>
          <w:u w:val="single"/>
        </w:rPr>
      </w:pPr>
      <w:r w:rsidRPr="00F30EA6">
        <w:rPr>
          <w:rFonts w:ascii="Times New Roman" w:hAnsi="Times New Roman" w:cs="Times New Roman"/>
        </w:rPr>
        <w:t xml:space="preserve">Návrhy, ktoré sa týkajú uznávania súdnych rozhodnutí (napr. rámcové rozhodnutie Rady o uplatňovaní zásady vzájomného uznávania rozsudkov v trestných veciach, ktorými sa ukladajú tresty odňatia slobody alebo opatrenia zahŕňajúce odňatie slobody, na účely ich výkonu v Európskej únii) </w:t>
      </w:r>
    </w:p>
    <w:p w:rsidR="00264E97" w:rsidRPr="00CC34DF" w:rsidP="00F30EA6">
      <w:pPr>
        <w:numPr>
          <w:ilvl w:val="0"/>
          <w:numId w:val="22"/>
        </w:numPr>
        <w:tabs>
          <w:tab w:val="left" w:pos="720"/>
        </w:tabs>
        <w:spacing w:after="120"/>
        <w:jc w:val="both"/>
        <w:rPr>
          <w:rFonts w:ascii="Times New Roman" w:hAnsi="Times New Roman" w:cs="Times New Roman"/>
          <w:b/>
        </w:rPr>
      </w:pPr>
      <w:r w:rsidRPr="00F30EA6">
        <w:rPr>
          <w:rFonts w:ascii="Times New Roman" w:hAnsi="Times New Roman" w:cs="Times New Roman"/>
        </w:rPr>
        <w:t>Migrácia (práca so susednými krajinami, financovanie</w:t>
      </w:r>
      <w:r w:rsidRPr="00264E97">
        <w:rPr>
          <w:rFonts w:ascii="Times New Roman" w:hAnsi="Times New Roman" w:cs="Times New Roman"/>
        </w:rPr>
        <w:t>, partnerstvo v oblasti mobility, integračná politika, vízová politika)</w:t>
      </w:r>
    </w:p>
    <w:p w:rsidR="0026228F" w:rsidP="00E66E17">
      <w:pPr>
        <w:pStyle w:val="NormalWeb"/>
        <w:spacing w:before="0" w:beforeAutospacing="0" w:after="0" w:afterAutospacing="0"/>
        <w:rPr>
          <w:rFonts w:ascii="Times New Roman" w:hAnsi="Times New Roman" w:cs="Times New Roman"/>
          <w:b/>
          <w:u w:val="single"/>
        </w:rPr>
      </w:pPr>
    </w:p>
    <w:p w:rsidR="0026228F" w:rsidP="00E66E17">
      <w:pPr>
        <w:pStyle w:val="NormalWeb"/>
        <w:spacing w:before="0" w:beforeAutospacing="0" w:after="0" w:afterAutospacing="0"/>
        <w:rPr>
          <w:rFonts w:ascii="Times New Roman" w:hAnsi="Times New Roman" w:cs="Times New Roman"/>
          <w:b/>
          <w:u w:val="single"/>
        </w:rPr>
      </w:pPr>
    </w:p>
    <w:p w:rsidR="002A567E" w:rsidP="00E66E17">
      <w:pPr>
        <w:pStyle w:val="NormalWeb"/>
        <w:spacing w:before="0" w:beforeAutospacing="0" w:after="0" w:afterAutospacing="0"/>
        <w:rPr>
          <w:rFonts w:ascii="Times New Roman" w:hAnsi="Times New Roman" w:cs="Times New Roman"/>
          <w:b/>
          <w:u w:val="single"/>
        </w:rPr>
      </w:pPr>
      <w:r w:rsidRPr="00B446EF" w:rsidR="00986AA9">
        <w:rPr>
          <w:rFonts w:ascii="Times New Roman" w:hAnsi="Times New Roman" w:cs="Times New Roman"/>
          <w:b/>
          <w:u w:val="single"/>
        </w:rPr>
        <w:t>O</w:t>
      </w:r>
      <w:r w:rsidRPr="00B446EF" w:rsidR="00F074AE">
        <w:rPr>
          <w:rFonts w:ascii="Times New Roman" w:hAnsi="Times New Roman" w:cs="Times New Roman"/>
          <w:b/>
          <w:u w:val="single"/>
        </w:rPr>
        <w:t>blasť dopravy, pôšt a telekomunikácií:</w:t>
      </w:r>
    </w:p>
    <w:p w:rsidR="00E66E17" w:rsidRPr="00B446EF" w:rsidP="00E66E17">
      <w:pPr>
        <w:pStyle w:val="NormalWeb"/>
        <w:spacing w:before="0" w:beforeAutospacing="0" w:after="0" w:afterAutospacing="0"/>
        <w:rPr>
          <w:rFonts w:ascii="Times New Roman" w:hAnsi="Times New Roman" w:cs="Times New Roman"/>
          <w:b/>
          <w:u w:val="single"/>
        </w:rPr>
      </w:pPr>
    </w:p>
    <w:p w:rsidR="00F074AE" w:rsidRPr="00B446EF" w:rsidP="00E66E17">
      <w:pPr>
        <w:rPr>
          <w:rFonts w:ascii="Times New Roman" w:hAnsi="Times New Roman" w:cs="Times New Roman"/>
          <w:u w:val="single"/>
        </w:rPr>
      </w:pPr>
      <w:r w:rsidRPr="00B446EF">
        <w:rPr>
          <w:rFonts w:ascii="Times New Roman" w:hAnsi="Times New Roman" w:cs="Times New Roman"/>
          <w:u w:val="single"/>
        </w:rPr>
        <w:t>Doprava:</w:t>
      </w:r>
    </w:p>
    <w:p w:rsidR="00F074AE"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Oznámenie Komisie Rade a Európskemu parlamentu: Pre Európu v pohybe – Trvalo udržateľná pohyblivosť pre náš kontinent Strednodobé preskúmanie bielej knihy Európskej komisie o doprave z roku 2001</w:t>
      </w:r>
    </w:p>
    <w:p w:rsidR="00F074AE"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Transeurópske dopravné siete</w:t>
      </w:r>
    </w:p>
    <w:p w:rsidR="00F074AE"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Návr</w:t>
      </w:r>
      <w:r w:rsidRPr="00B446EF">
        <w:rPr>
          <w:rFonts w:ascii="Times New Roman" w:hAnsi="Times New Roman" w:cs="Times New Roman"/>
        </w:rPr>
        <w:t>h nariadenia Európskeho parlamentu a Rady o spoločných pravidlách v  oblasti bezpečnostnej ochrany civilného letectva</w:t>
      </w:r>
    </w:p>
    <w:p w:rsidR="00E66E17" w:rsidP="00E66E17">
      <w:pPr>
        <w:rPr>
          <w:rFonts w:ascii="Times New Roman" w:hAnsi="Times New Roman" w:cs="Times New Roman"/>
          <w:u w:val="single"/>
        </w:rPr>
      </w:pPr>
    </w:p>
    <w:p w:rsidR="00F074AE" w:rsidRPr="00B446EF" w:rsidP="00E66E17">
      <w:pPr>
        <w:rPr>
          <w:rFonts w:ascii="Times New Roman" w:hAnsi="Times New Roman" w:cs="Times New Roman"/>
          <w:u w:val="single"/>
        </w:rPr>
      </w:pPr>
      <w:r w:rsidRPr="00B446EF">
        <w:rPr>
          <w:rFonts w:ascii="Times New Roman" w:hAnsi="Times New Roman" w:cs="Times New Roman"/>
          <w:u w:val="single"/>
        </w:rPr>
        <w:t>Telekomunikácie:</w:t>
      </w:r>
    </w:p>
    <w:p w:rsidR="00F074AE"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Návrh nariadenia Európskeho parlamentu a Rady o roamingu vo verejných mobilných sieťach v rámci Spoločenstva a o zmene a doplnení smernice  2002/21/ES o spoločnom regulačnom rámci pre elektronické komunikácie a služby</w:t>
      </w:r>
    </w:p>
    <w:p w:rsidR="00F074AE"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Návrh smernice Európskeho parlamentu a Rady, ktorou sa mení a dopĺňa smernica 97/67/ES, týkajúca sa úplného dokončenia vnútorného trhu poštových služieb Spoločenstva</w:t>
      </w:r>
      <w:r w:rsidR="002562D7">
        <w:rPr>
          <w:rFonts w:ascii="Times New Roman" w:hAnsi="Times New Roman" w:cs="Times New Roman"/>
        </w:rPr>
        <w:t xml:space="preserve"> (tento návrh bol aj súčasťou testu subsidiarity v rámci COSAC-u)</w:t>
      </w:r>
    </w:p>
    <w:p w:rsidR="00E66E17" w:rsidP="00E66E17">
      <w:pPr>
        <w:rPr>
          <w:rFonts w:ascii="Times New Roman" w:hAnsi="Times New Roman" w:cs="Times New Roman"/>
          <w:b/>
          <w:u w:val="single"/>
        </w:rPr>
      </w:pPr>
    </w:p>
    <w:p w:rsidR="00A945FA" w:rsidP="00E66E17">
      <w:pPr>
        <w:rPr>
          <w:rFonts w:ascii="Times New Roman" w:hAnsi="Times New Roman" w:cs="Times New Roman"/>
          <w:b/>
          <w:u w:val="single"/>
        </w:rPr>
      </w:pPr>
      <w:r w:rsidRPr="00A945FA">
        <w:rPr>
          <w:rFonts w:ascii="Times New Roman" w:hAnsi="Times New Roman" w:cs="Times New Roman"/>
          <w:b/>
          <w:u w:val="single"/>
        </w:rPr>
        <w:t>Oblasť energetiky:</w:t>
      </w:r>
    </w:p>
    <w:p w:rsidR="00E66E17" w:rsidP="00E66E17">
      <w:pPr>
        <w:rPr>
          <w:rFonts w:ascii="Times New Roman" w:hAnsi="Times New Roman" w:cs="Times New Roman"/>
          <w:b/>
          <w:u w:val="single"/>
        </w:rPr>
      </w:pPr>
    </w:p>
    <w:p w:rsidR="00A945FA" w:rsidRPr="00B446EF" w:rsidP="00E66E17">
      <w:pPr>
        <w:numPr>
          <w:ilvl w:val="0"/>
          <w:numId w:val="11"/>
        </w:numPr>
        <w:tabs>
          <w:tab w:val="left" w:pos="720"/>
        </w:tabs>
        <w:jc w:val="both"/>
        <w:rPr>
          <w:rFonts w:ascii="Times New Roman" w:hAnsi="Times New Roman" w:cs="Times New Roman"/>
        </w:rPr>
      </w:pPr>
      <w:r w:rsidRPr="00B446EF">
        <w:rPr>
          <w:rFonts w:ascii="Times New Roman" w:hAnsi="Times New Roman" w:cs="Times New Roman"/>
        </w:rPr>
        <w:t>Cestovná mapa pre obnoviteľnú energiu</w:t>
      </w:r>
    </w:p>
    <w:p w:rsidR="00A945FA" w:rsidRPr="00B446EF" w:rsidP="00E66E17">
      <w:pPr>
        <w:numPr>
          <w:ilvl w:val="0"/>
          <w:numId w:val="11"/>
        </w:numPr>
        <w:tabs>
          <w:tab w:val="left" w:pos="720"/>
        </w:tabs>
        <w:rPr>
          <w:rFonts w:ascii="Times New Roman" w:hAnsi="Times New Roman" w:cs="Times New Roman"/>
        </w:rPr>
      </w:pPr>
      <w:r w:rsidRPr="00B446EF">
        <w:rPr>
          <w:rFonts w:ascii="Times New Roman" w:hAnsi="Times New Roman" w:cs="Times New Roman"/>
        </w:rPr>
        <w:t>Správa o pokroku v oblasti biopalív</w:t>
      </w:r>
    </w:p>
    <w:p w:rsidR="00C3075F" w:rsidP="00E66E17">
      <w:pPr>
        <w:jc w:val="both"/>
        <w:rPr>
          <w:rFonts w:ascii="Times New Roman" w:hAnsi="Times New Roman" w:cs="Times New Roman"/>
          <w:b/>
          <w:bCs/>
          <w:u w:val="single"/>
        </w:rPr>
      </w:pPr>
    </w:p>
    <w:p w:rsidR="00E66E17" w:rsidP="00E66E17">
      <w:pPr>
        <w:jc w:val="both"/>
        <w:rPr>
          <w:rFonts w:ascii="Times New Roman" w:hAnsi="Times New Roman" w:cs="Times New Roman"/>
          <w:b/>
          <w:bCs/>
          <w:u w:val="single"/>
        </w:rPr>
      </w:pPr>
    </w:p>
    <w:p w:rsidR="0074427A" w:rsidRPr="00B446EF" w:rsidP="00E66E17">
      <w:pPr>
        <w:jc w:val="both"/>
        <w:rPr>
          <w:rFonts w:ascii="Times New Roman" w:hAnsi="Times New Roman" w:cs="Times New Roman"/>
          <w:b/>
          <w:bCs/>
          <w:u w:val="single"/>
        </w:rPr>
      </w:pPr>
      <w:r w:rsidRPr="00B446EF">
        <w:rPr>
          <w:rFonts w:ascii="Times New Roman" w:hAnsi="Times New Roman" w:cs="Times New Roman"/>
          <w:b/>
          <w:bCs/>
          <w:u w:val="single"/>
        </w:rPr>
        <w:t>Oblasť zamestnanosti, sociálnej politiky, zdravia a ochrany spotrebiteľov:</w:t>
      </w:r>
    </w:p>
    <w:p w:rsidR="00C3075F" w:rsidP="00E66E17">
      <w:pPr>
        <w:jc w:val="both"/>
        <w:rPr>
          <w:rFonts w:ascii="Times New Roman" w:hAnsi="Times New Roman" w:cs="Times New Roman"/>
          <w:u w:val="single"/>
        </w:rPr>
      </w:pPr>
    </w:p>
    <w:p w:rsidR="0074427A" w:rsidRPr="00C3075F" w:rsidP="00E66E17">
      <w:pPr>
        <w:jc w:val="both"/>
        <w:rPr>
          <w:rFonts w:ascii="Times New Roman" w:hAnsi="Times New Roman" w:cs="Times New Roman"/>
          <w:u w:val="single"/>
        </w:rPr>
      </w:pPr>
      <w:r w:rsidRPr="00C3075F">
        <w:rPr>
          <w:rFonts w:ascii="Times New Roman" w:hAnsi="Times New Roman" w:cs="Times New Roman"/>
          <w:u w:val="single"/>
        </w:rPr>
        <w:t>Zamestnanosť:</w:t>
      </w:r>
    </w:p>
    <w:p w:rsidR="0074427A" w:rsidRPr="00D048FF" w:rsidP="00E66E17">
      <w:pPr>
        <w:numPr>
          <w:ilvl w:val="0"/>
          <w:numId w:val="24"/>
        </w:numPr>
        <w:tabs>
          <w:tab w:val="left" w:pos="720"/>
        </w:tabs>
        <w:jc w:val="both"/>
        <w:rPr>
          <w:rFonts w:ascii="Times New Roman" w:hAnsi="Times New Roman" w:cs="Times New Roman"/>
          <w:i/>
          <w:iCs/>
        </w:rPr>
      </w:pPr>
      <w:r w:rsidRPr="00D048FF">
        <w:rPr>
          <w:rFonts w:ascii="Times New Roman" w:hAnsi="Times New Roman" w:cs="Times New Roman"/>
          <w:bCs/>
        </w:rPr>
        <w:t xml:space="preserve">Návrh rozhodnutia Rady o usmerneniach politík zamestnanosti členských štátov </w:t>
      </w:r>
    </w:p>
    <w:p w:rsidR="0074427A" w:rsidRPr="00D048FF" w:rsidP="00E66E17">
      <w:pPr>
        <w:numPr>
          <w:ilvl w:val="0"/>
          <w:numId w:val="24"/>
        </w:numPr>
        <w:tabs>
          <w:tab w:val="left" w:pos="720"/>
        </w:tabs>
        <w:jc w:val="both"/>
        <w:rPr>
          <w:rFonts w:ascii="Times New Roman" w:hAnsi="Times New Roman" w:cs="Times New Roman"/>
          <w:bCs/>
        </w:rPr>
      </w:pPr>
      <w:r w:rsidRPr="00D048FF">
        <w:rPr>
          <w:rFonts w:ascii="Times New Roman" w:hAnsi="Times New Roman" w:cs="Times New Roman"/>
          <w:bCs/>
        </w:rPr>
        <w:t>Návrh nariadenia Európskeho parlamentu a Rady, ktorým sa stanovuje postup na vykonávanie nariadenia (ES) č. 883/2004 o koordinácii systémov sociálneho zabezpečenia</w:t>
      </w:r>
      <w:r w:rsidRPr="00D048FF">
        <w:rPr>
          <w:rFonts w:ascii="Times New Roman" w:hAnsi="Times New Roman" w:cs="Times New Roman"/>
        </w:rPr>
        <w:t xml:space="preserve"> </w:t>
      </w:r>
    </w:p>
    <w:p w:rsidR="0074427A" w:rsidRPr="00D048FF" w:rsidP="00E66E17">
      <w:pPr>
        <w:numPr>
          <w:ilvl w:val="0"/>
          <w:numId w:val="24"/>
        </w:numPr>
        <w:tabs>
          <w:tab w:val="left" w:pos="720"/>
        </w:tabs>
        <w:jc w:val="both"/>
        <w:rPr>
          <w:rFonts w:ascii="Times New Roman" w:hAnsi="Times New Roman" w:cs="Times New Roman"/>
          <w:bCs/>
        </w:rPr>
      </w:pPr>
      <w:r w:rsidRPr="00D048FF">
        <w:rPr>
          <w:rFonts w:ascii="Times New Roman" w:hAnsi="Times New Roman" w:cs="Times New Roman"/>
          <w:bCs/>
        </w:rPr>
        <w:t>Návrh sme</w:t>
      </w:r>
      <w:r w:rsidRPr="00D048FF">
        <w:rPr>
          <w:rFonts w:ascii="Times New Roman" w:hAnsi="Times New Roman" w:cs="Times New Roman"/>
          <w:bCs/>
        </w:rPr>
        <w:t>rnice Európskeho parlamentu a Rady o zlepšení prenosnosti doplnkových dôchodkových práv</w:t>
      </w:r>
      <w:r w:rsidRPr="00D048FF">
        <w:rPr>
          <w:rFonts w:ascii="Times New Roman" w:hAnsi="Times New Roman" w:cs="Times New Roman"/>
        </w:rPr>
        <w:t xml:space="preserve"> </w:t>
      </w:r>
    </w:p>
    <w:p w:rsidR="00C3075F" w:rsidP="00E66E17">
      <w:pPr>
        <w:jc w:val="both"/>
        <w:rPr>
          <w:rFonts w:ascii="Times New Roman" w:hAnsi="Times New Roman" w:cs="Times New Roman"/>
          <w:u w:val="single"/>
        </w:rPr>
      </w:pPr>
    </w:p>
    <w:p w:rsidR="0074427A" w:rsidRPr="00C3075F" w:rsidP="00E66E17">
      <w:pPr>
        <w:jc w:val="both"/>
        <w:rPr>
          <w:rFonts w:ascii="Times New Roman" w:hAnsi="Times New Roman" w:cs="Times New Roman"/>
          <w:u w:val="single"/>
        </w:rPr>
      </w:pPr>
      <w:r w:rsidRPr="00C3075F">
        <w:rPr>
          <w:rFonts w:ascii="Times New Roman" w:hAnsi="Times New Roman" w:cs="Times New Roman"/>
          <w:u w:val="single"/>
        </w:rPr>
        <w:t>Verejné zdravie:</w:t>
      </w:r>
    </w:p>
    <w:p w:rsidR="0074427A" w:rsidRPr="00D048FF" w:rsidP="00E66E17">
      <w:pPr>
        <w:numPr>
          <w:ilvl w:val="0"/>
          <w:numId w:val="26"/>
        </w:numPr>
        <w:tabs>
          <w:tab w:val="left" w:pos="720"/>
        </w:tabs>
        <w:jc w:val="both"/>
        <w:rPr>
          <w:rFonts w:ascii="Times New Roman" w:hAnsi="Times New Roman" w:cs="Times New Roman"/>
          <w:bCs/>
          <w:u w:val="single"/>
        </w:rPr>
      </w:pPr>
      <w:r w:rsidRPr="00D048FF">
        <w:rPr>
          <w:rFonts w:ascii="Times New Roman" w:hAnsi="Times New Roman" w:cs="Times New Roman"/>
          <w:bCs/>
        </w:rPr>
        <w:t>Návrh nariadenia Európskeho parlamentu a Rady o produktoch určených na použitie pri pokrokových liečebných postupoch, ktorým sa mení a dopĺňa smernica 2001/83/ES a nariadenie (ES) č. 726/2004</w:t>
      </w:r>
      <w:r w:rsidRPr="00D048FF">
        <w:rPr>
          <w:rFonts w:ascii="Times New Roman" w:hAnsi="Times New Roman" w:cs="Times New Roman"/>
        </w:rPr>
        <w:t xml:space="preserve"> </w:t>
      </w:r>
    </w:p>
    <w:p w:rsidR="00D048FF" w:rsidRPr="00D048FF" w:rsidP="00E66E17">
      <w:pPr>
        <w:ind w:left="360"/>
        <w:jc w:val="both"/>
        <w:rPr>
          <w:rFonts w:ascii="Times New Roman" w:hAnsi="Times New Roman" w:cs="Times New Roman"/>
          <w:bCs/>
          <w:u w:val="single"/>
        </w:rPr>
      </w:pPr>
    </w:p>
    <w:p w:rsidR="0074427A" w:rsidP="00E66E17">
      <w:pPr>
        <w:jc w:val="both"/>
        <w:rPr>
          <w:rFonts w:ascii="Times New Roman" w:hAnsi="Times New Roman" w:cs="Times New Roman"/>
          <w:b/>
          <w:bCs/>
          <w:u w:val="single"/>
        </w:rPr>
      </w:pPr>
      <w:r w:rsidRPr="00B446EF">
        <w:rPr>
          <w:rFonts w:ascii="Times New Roman" w:hAnsi="Times New Roman" w:cs="Times New Roman"/>
          <w:b/>
          <w:bCs/>
          <w:u w:val="single"/>
        </w:rPr>
        <w:t>Oblasť konkurencieschopnosti  (vnútorný trh, priemysel a výskum):</w:t>
      </w:r>
    </w:p>
    <w:p w:rsidR="00E66E17" w:rsidRPr="00B446EF" w:rsidP="00E66E17">
      <w:pPr>
        <w:jc w:val="both"/>
        <w:rPr>
          <w:rFonts w:ascii="Times New Roman" w:hAnsi="Times New Roman" w:cs="Times New Roman"/>
          <w:b/>
          <w:bCs/>
          <w:u w:val="single"/>
        </w:rPr>
      </w:pPr>
    </w:p>
    <w:p w:rsidR="0074427A" w:rsidRPr="00D048FF" w:rsidP="00E66E17">
      <w:pPr>
        <w:numPr>
          <w:ilvl w:val="0"/>
          <w:numId w:val="28"/>
        </w:numPr>
        <w:tabs>
          <w:tab w:val="left" w:pos="720"/>
        </w:tabs>
        <w:jc w:val="both"/>
        <w:rPr>
          <w:rFonts w:ascii="Times New Roman" w:hAnsi="Times New Roman" w:cs="Times New Roman"/>
          <w:bCs/>
          <w:u w:val="single"/>
        </w:rPr>
      </w:pPr>
      <w:r w:rsidRPr="00D048FF">
        <w:rPr>
          <w:rFonts w:ascii="Times New Roman" w:hAnsi="Times New Roman" w:cs="Times New Roman"/>
          <w:bCs/>
        </w:rPr>
        <w:t>Návrh nariadenia o vytvorení Európskeho technologického inštitútu</w:t>
      </w:r>
      <w:r w:rsidRPr="00D048FF">
        <w:rPr>
          <w:rFonts w:ascii="Times New Roman" w:hAnsi="Times New Roman" w:cs="Times New Roman"/>
        </w:rPr>
        <w:t xml:space="preserve"> </w:t>
      </w:r>
    </w:p>
    <w:p w:rsidR="00264E97" w:rsidP="00E66E17">
      <w:pPr>
        <w:jc w:val="both"/>
        <w:rPr>
          <w:rFonts w:ascii="Times New Roman" w:hAnsi="Times New Roman" w:cs="Times New Roman"/>
          <w:b/>
          <w:bCs/>
          <w:u w:val="single"/>
        </w:rPr>
      </w:pPr>
    </w:p>
    <w:p w:rsidR="00D51C29" w:rsidP="00E66E17">
      <w:pPr>
        <w:jc w:val="both"/>
        <w:rPr>
          <w:rFonts w:ascii="Times New Roman" w:hAnsi="Times New Roman" w:cs="Times New Roman"/>
          <w:b/>
          <w:bCs/>
          <w:u w:val="single"/>
        </w:rPr>
      </w:pPr>
    </w:p>
    <w:p w:rsidR="0074427A" w:rsidP="00E66E17">
      <w:pPr>
        <w:jc w:val="both"/>
        <w:rPr>
          <w:rFonts w:ascii="Times New Roman" w:hAnsi="Times New Roman" w:cs="Times New Roman"/>
          <w:b/>
          <w:bCs/>
          <w:u w:val="single"/>
        </w:rPr>
      </w:pPr>
      <w:r w:rsidRPr="00B446EF">
        <w:rPr>
          <w:rFonts w:ascii="Times New Roman" w:hAnsi="Times New Roman" w:cs="Times New Roman"/>
          <w:b/>
          <w:bCs/>
          <w:u w:val="single"/>
        </w:rPr>
        <w:t>Oblasť vzdelávania, mládeže a kultúry:</w:t>
      </w:r>
    </w:p>
    <w:p w:rsidR="00E66E17" w:rsidRPr="00B446EF" w:rsidP="00E66E17">
      <w:pPr>
        <w:jc w:val="both"/>
        <w:rPr>
          <w:rFonts w:ascii="Times New Roman" w:hAnsi="Times New Roman" w:cs="Times New Roman"/>
          <w:b/>
          <w:bCs/>
          <w:u w:val="single"/>
        </w:rPr>
      </w:pPr>
    </w:p>
    <w:p w:rsidR="0074427A" w:rsidRPr="00D048FF" w:rsidP="00C3075F">
      <w:pPr>
        <w:numPr>
          <w:ilvl w:val="0"/>
          <w:numId w:val="30"/>
        </w:numPr>
        <w:tabs>
          <w:tab w:val="left" w:pos="720"/>
        </w:tabs>
        <w:rPr>
          <w:rFonts w:ascii="Times New Roman" w:hAnsi="Times New Roman" w:cs="Times New Roman"/>
          <w:bCs/>
          <w:u w:val="single"/>
        </w:rPr>
      </w:pPr>
      <w:r w:rsidRPr="00D048FF">
        <w:rPr>
          <w:rFonts w:ascii="Times New Roman" w:hAnsi="Times New Roman" w:cs="Times New Roman"/>
          <w:bCs/>
        </w:rPr>
        <w:t>Návrh smernice Európskeho parlament</w:t>
      </w:r>
      <w:r w:rsidRPr="00D048FF">
        <w:rPr>
          <w:rFonts w:ascii="Times New Roman" w:hAnsi="Times New Roman" w:cs="Times New Roman"/>
          <w:bCs/>
        </w:rPr>
        <w:t xml:space="preserve">u a Rady, ktorou sa mení a dopĺňa smernica Rady 89/552/EHS o koordinácii určitých ustanovení zákonov, iných právnych predpisov alebo správnych opatrení v členských štátoch týkajúcich sa vykonávania činností televízneho vysielania (Televízia bez hraníc) </w:t>
      </w:r>
    </w:p>
    <w:p w:rsidR="0074427A" w:rsidRPr="00C3075F" w:rsidP="0074427A">
      <w:pPr>
        <w:rPr>
          <w:rFonts w:ascii="Times New Roman" w:hAnsi="Times New Roman" w:cs="Times New Roman"/>
          <w:b/>
          <w:u w:val="single"/>
        </w:rPr>
      </w:pPr>
      <w:r w:rsidRPr="00C3075F">
        <w:rPr>
          <w:rFonts w:ascii="Times New Roman" w:hAnsi="Times New Roman" w:cs="Times New Roman"/>
          <w:b/>
          <w:u w:val="single"/>
        </w:rPr>
        <w:t>Oblasť životného prostredia</w:t>
      </w:r>
    </w:p>
    <w:p w:rsidR="00E66E17" w:rsidRPr="00E66E17" w:rsidP="00E66E17">
      <w:pPr>
        <w:ind w:left="360"/>
        <w:rPr>
          <w:rFonts w:ascii="TTA2037A68t00" w:hAnsi="TTA2037A68t00" w:cs="Arial"/>
          <w:color w:val="000000"/>
          <w:sz w:val="20"/>
          <w:szCs w:val="20"/>
        </w:rPr>
      </w:pPr>
    </w:p>
    <w:p w:rsidR="00581A64" w:rsidRPr="00581A64" w:rsidP="00C3075F">
      <w:pPr>
        <w:numPr>
          <w:ilvl w:val="0"/>
          <w:numId w:val="30"/>
        </w:numPr>
        <w:tabs>
          <w:tab w:val="left" w:pos="720"/>
        </w:tabs>
        <w:rPr>
          <w:rFonts w:ascii="TTA2037A68t00" w:hAnsi="TTA2037A68t00" w:cs="Arial"/>
          <w:color w:val="000000"/>
          <w:sz w:val="20"/>
          <w:szCs w:val="20"/>
        </w:rPr>
      </w:pPr>
      <w:r w:rsidR="00C3075F">
        <w:rPr>
          <w:rFonts w:ascii="Times New Roman" w:hAnsi="Times New Roman" w:cs="Times New Roman"/>
        </w:rPr>
        <w:t xml:space="preserve">Návrhy </w:t>
      </w:r>
      <w:r w:rsidRPr="00B446EF">
        <w:rPr>
          <w:rFonts w:ascii="Times New Roman" w:hAnsi="Times New Roman" w:cs="Times New Roman"/>
        </w:rPr>
        <w:t xml:space="preserve">z oblasti eliminovania klimatických zmien – </w:t>
      </w:r>
      <w:r w:rsidR="00C3075F">
        <w:rPr>
          <w:rFonts w:ascii="Times New Roman" w:hAnsi="Times New Roman" w:cs="Times New Roman"/>
        </w:rPr>
        <w:t>v</w:t>
      </w:r>
      <w:r w:rsidRPr="00581A64">
        <w:rPr>
          <w:rFonts w:ascii="Times New Roman" w:hAnsi="Times New Roman" w:cs="Times New Roman"/>
          <w:color w:val="000000"/>
        </w:rPr>
        <w:t>ýsledky preskúmania stratégie Spoločenstva zameranej na redukciu emisií CO</w:t>
      </w:r>
      <w:r w:rsidRPr="00581A64">
        <w:rPr>
          <w:rFonts w:ascii="Times New Roman" w:hAnsi="Times New Roman" w:cs="Times New Roman"/>
          <w:color w:val="000000"/>
          <w:vertAlign w:val="subscript"/>
        </w:rPr>
        <w:t>2</w:t>
      </w:r>
      <w:r w:rsidRPr="00581A64">
        <w:rPr>
          <w:rFonts w:ascii="Times New Roman" w:hAnsi="Times New Roman" w:cs="Times New Roman"/>
          <w:i/>
          <w:iCs/>
          <w:color w:val="000000"/>
          <w:vertAlign w:val="subscript"/>
        </w:rPr>
        <w:t xml:space="preserve"> </w:t>
      </w:r>
      <w:r w:rsidR="00C3075F">
        <w:rPr>
          <w:rFonts w:ascii="Times New Roman" w:hAnsi="Times New Roman" w:cs="Times New Roman"/>
          <w:i/>
          <w:iCs/>
          <w:color w:val="000000"/>
          <w:vertAlign w:val="subscript"/>
        </w:rPr>
        <w:t xml:space="preserve"> </w:t>
      </w:r>
      <w:r w:rsidRPr="00581A64">
        <w:rPr>
          <w:rFonts w:ascii="Times New Roman" w:hAnsi="Times New Roman" w:cs="Times New Roman"/>
          <w:color w:val="000000"/>
        </w:rPr>
        <w:t>z</w:t>
      </w:r>
      <w:r w:rsidR="00C3075F">
        <w:rPr>
          <w:rFonts w:ascii="Times New Roman" w:hAnsi="Times New Roman" w:cs="Times New Roman"/>
          <w:color w:val="000000"/>
        </w:rPr>
        <w:t> </w:t>
      </w:r>
      <w:r w:rsidRPr="00581A64">
        <w:rPr>
          <w:rFonts w:ascii="Times New Roman" w:hAnsi="Times New Roman" w:cs="Times New Roman"/>
          <w:color w:val="000000"/>
        </w:rPr>
        <w:t>áut; závery Rady o preskúmaní schémy obchodovania  EÚ s emisiami  </w:t>
      </w:r>
    </w:p>
    <w:p w:rsidR="00E66E17" w:rsidP="0074427A">
      <w:pPr>
        <w:rPr>
          <w:rFonts w:ascii="Times New Roman" w:hAnsi="Times New Roman" w:cs="Times New Roman"/>
          <w:b/>
          <w:u w:val="single"/>
        </w:rPr>
      </w:pPr>
    </w:p>
    <w:p w:rsidR="0074427A" w:rsidP="0074427A">
      <w:pPr>
        <w:rPr>
          <w:rFonts w:ascii="Times New Roman" w:hAnsi="Times New Roman" w:cs="Times New Roman"/>
          <w:b/>
          <w:u w:val="single"/>
        </w:rPr>
      </w:pPr>
      <w:r w:rsidRPr="00C3075F">
        <w:rPr>
          <w:rFonts w:ascii="Times New Roman" w:hAnsi="Times New Roman" w:cs="Times New Roman"/>
          <w:b/>
          <w:u w:val="single"/>
        </w:rPr>
        <w:t>Oblasť pôdohospodárstva</w:t>
      </w:r>
    </w:p>
    <w:p w:rsidR="00E66E17" w:rsidP="00E66E17">
      <w:pPr>
        <w:ind w:left="360"/>
        <w:rPr>
          <w:rFonts w:ascii="Times New Roman" w:hAnsi="Times New Roman" w:cs="Times New Roman"/>
        </w:rPr>
      </w:pPr>
    </w:p>
    <w:p w:rsidR="00B446EF" w:rsidRPr="00B446EF" w:rsidP="00C3075F">
      <w:pPr>
        <w:numPr>
          <w:ilvl w:val="0"/>
          <w:numId w:val="32"/>
        </w:numPr>
        <w:tabs>
          <w:tab w:val="left" w:pos="720"/>
        </w:tabs>
        <w:rPr>
          <w:rFonts w:ascii="Times New Roman" w:hAnsi="Times New Roman" w:cs="Times New Roman"/>
        </w:rPr>
      </w:pPr>
      <w:r w:rsidR="002C2AFE">
        <w:rPr>
          <w:rFonts w:ascii="Times New Roman" w:hAnsi="Times New Roman" w:cs="Times New Roman"/>
        </w:rPr>
        <w:t>Správ</w:t>
      </w:r>
      <w:r w:rsidR="002C2AFE">
        <w:rPr>
          <w:rFonts w:ascii="Times New Roman" w:hAnsi="Times New Roman" w:cs="Times New Roman"/>
        </w:rPr>
        <w:t xml:space="preserve">a o uplatňovaní </w:t>
      </w:r>
      <w:r w:rsidRPr="00B446EF" w:rsidR="0074427A">
        <w:rPr>
          <w:rFonts w:ascii="Times New Roman" w:hAnsi="Times New Roman" w:cs="Times New Roman"/>
        </w:rPr>
        <w:t>systém</w:t>
      </w:r>
      <w:r w:rsidR="002C2AFE">
        <w:rPr>
          <w:rFonts w:ascii="Times New Roman" w:hAnsi="Times New Roman" w:cs="Times New Roman"/>
        </w:rPr>
        <w:t xml:space="preserve">u krížového plnenia </w:t>
      </w:r>
      <w:r w:rsidRPr="00B446EF" w:rsidR="002C2AFE">
        <w:rPr>
          <w:rFonts w:ascii="Times New Roman" w:hAnsi="Times New Roman" w:cs="Times New Roman"/>
        </w:rPr>
        <w:t>(</w:t>
      </w:r>
      <w:r w:rsidR="002C2AFE">
        <w:rPr>
          <w:rFonts w:ascii="Times New Roman" w:hAnsi="Times New Roman" w:cs="Times New Roman"/>
        </w:rPr>
        <w:t xml:space="preserve">tzv. </w:t>
      </w:r>
      <w:r w:rsidRPr="00B446EF" w:rsidR="002C2AFE">
        <w:rPr>
          <w:rFonts w:ascii="Times New Roman" w:hAnsi="Times New Roman" w:cs="Times New Roman"/>
        </w:rPr>
        <w:t>cross-compliance)</w:t>
      </w:r>
      <w:r w:rsidR="002C2AFE">
        <w:rPr>
          <w:rFonts w:ascii="Times New Roman" w:hAnsi="Times New Roman" w:cs="Times New Roman"/>
        </w:rPr>
        <w:t xml:space="preserve"> ako </w:t>
      </w:r>
      <w:r w:rsidRPr="002E1B8F" w:rsidR="002C2AFE">
        <w:rPr>
          <w:rFonts w:ascii="Times New Roman" w:hAnsi="Times New Roman" w:cs="Times New Roman"/>
        </w:rPr>
        <w:t>dôležit</w:t>
      </w:r>
      <w:r w:rsidR="002C2AFE">
        <w:rPr>
          <w:rFonts w:ascii="Times New Roman" w:hAnsi="Times New Roman" w:cs="Times New Roman"/>
        </w:rPr>
        <w:t>á</w:t>
      </w:r>
      <w:r w:rsidRPr="002E1B8F" w:rsidR="002C2AFE">
        <w:rPr>
          <w:rFonts w:ascii="Times New Roman" w:hAnsi="Times New Roman" w:cs="Times New Roman"/>
        </w:rPr>
        <w:t xml:space="preserve"> súčasť reformy Spoločnej </w:t>
      </w:r>
      <w:r w:rsidRPr="00684997" w:rsidR="002C2AFE">
        <w:rPr>
          <w:rFonts w:ascii="Times New Roman" w:hAnsi="Times New Roman" w:cs="Times New Roman"/>
        </w:rPr>
        <w:t>poľnohospodárskej politiky</w:t>
      </w:r>
      <w:r w:rsidR="002C2AFE">
        <w:rPr>
          <w:rFonts w:ascii="Times New Roman" w:hAnsi="Times New Roman" w:cs="Times New Roman"/>
        </w:rPr>
        <w:t xml:space="preserve">, </w:t>
      </w:r>
      <w:r w:rsidRPr="00B446EF" w:rsidR="0074427A">
        <w:rPr>
          <w:rFonts w:ascii="Times New Roman" w:hAnsi="Times New Roman" w:cs="Times New Roman"/>
        </w:rPr>
        <w:t xml:space="preserve"> </w:t>
      </w:r>
      <w:r w:rsidR="002C2AFE">
        <w:rPr>
          <w:rFonts w:ascii="Times New Roman" w:hAnsi="Times New Roman" w:cs="Times New Roman"/>
        </w:rPr>
        <w:t xml:space="preserve">systém priamych </w:t>
      </w:r>
      <w:r w:rsidRPr="00B446EF" w:rsidR="0074427A">
        <w:rPr>
          <w:rFonts w:ascii="Times New Roman" w:hAnsi="Times New Roman" w:cs="Times New Roman"/>
        </w:rPr>
        <w:t xml:space="preserve">platieb </w:t>
      </w:r>
      <w:r w:rsidRPr="00B446EF">
        <w:rPr>
          <w:rFonts w:ascii="Times New Roman" w:hAnsi="Times New Roman" w:cs="Times New Roman"/>
        </w:rPr>
        <w:t>poľnohospodárom</w:t>
      </w:r>
      <w:r w:rsidRPr="00B446EF" w:rsidR="0074427A">
        <w:rPr>
          <w:rFonts w:ascii="Times New Roman" w:hAnsi="Times New Roman" w:cs="Times New Roman"/>
        </w:rPr>
        <w:t xml:space="preserve"> (</w:t>
      </w:r>
      <w:r w:rsidR="002C2AFE">
        <w:rPr>
          <w:rFonts w:ascii="Times New Roman" w:hAnsi="Times New Roman" w:cs="Times New Roman"/>
        </w:rPr>
        <w:t xml:space="preserve">tzv. </w:t>
      </w:r>
      <w:r w:rsidRPr="00B446EF" w:rsidR="0074427A">
        <w:rPr>
          <w:rFonts w:ascii="Times New Roman" w:hAnsi="Times New Roman" w:cs="Times New Roman"/>
        </w:rPr>
        <w:t xml:space="preserve">Single Payment Scheme), </w:t>
      </w:r>
    </w:p>
    <w:p w:rsidR="0074427A" w:rsidRPr="00B446EF" w:rsidP="00C3075F">
      <w:pPr>
        <w:numPr>
          <w:ilvl w:val="0"/>
          <w:numId w:val="32"/>
        </w:numPr>
        <w:tabs>
          <w:tab w:val="left" w:pos="720"/>
        </w:tabs>
        <w:rPr>
          <w:rFonts w:ascii="Times New Roman" w:hAnsi="Times New Roman" w:cs="Times New Roman"/>
        </w:rPr>
      </w:pPr>
      <w:r w:rsidR="002C2AFE">
        <w:rPr>
          <w:rFonts w:ascii="Times New Roman" w:hAnsi="Times New Roman" w:cs="Times New Roman"/>
        </w:rPr>
        <w:t>zahrnutie vína do spoločnej organizácie trhu - návrh nariadenia Rady o spoločnej organizácii trhu s vínom a zmene a doplnení niektorých nariadení, KOM (2007) 372</w:t>
      </w:r>
      <w:r w:rsidRPr="00B446EF">
        <w:rPr>
          <w:rFonts w:ascii="Times New Roman" w:hAnsi="Times New Roman" w:cs="Times New Roman"/>
        </w:rPr>
        <w:t xml:space="preserve"> </w:t>
      </w:r>
    </w:p>
    <w:p w:rsidR="0074427A"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E66E17"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765D0F" w:rsidP="0074427A">
      <w:pPr>
        <w:spacing w:after="120"/>
        <w:jc w:val="both"/>
        <w:rPr>
          <w:rFonts w:ascii="Times New Roman" w:hAnsi="Times New Roman" w:cs="Times New Roman"/>
        </w:rPr>
      </w:pPr>
    </w:p>
    <w:p w:rsidR="005F301A" w:rsidP="0074427A">
      <w:pPr>
        <w:spacing w:after="120"/>
        <w:jc w:val="both"/>
        <w:rPr>
          <w:rFonts w:ascii="Times New Roman" w:hAnsi="Times New Roman" w:cs="Times New Roman"/>
        </w:rPr>
        <w:sectPr>
          <w:footerReference w:type="even" r:id="rId5"/>
          <w:footerReference w:type="default" r:id="rId6"/>
          <w:pgSz w:w="11906" w:h="16838"/>
          <w:pgMar w:top="1417" w:right="1417" w:bottom="1417" w:left="1417" w:header="708" w:footer="708" w:gutter="0"/>
          <w:pgNumType w:start="1"/>
          <w:cols w:space="708"/>
          <w:titlePg/>
          <w:bidi w:val="0"/>
          <w:docGrid w:linePitch="360"/>
        </w:sectPr>
      </w:pPr>
    </w:p>
    <w:p w:rsidR="0074427A" w:rsidRPr="00E66E17" w:rsidP="00E66E17">
      <w:pPr>
        <w:shd w:val="clear" w:color="auto" w:fill="E0E0E0"/>
        <w:spacing w:after="120"/>
        <w:jc w:val="both"/>
        <w:rPr>
          <w:rFonts w:ascii="Times New Roman" w:hAnsi="Times New Roman" w:cs="Times New Roman"/>
          <w:b/>
          <w:sz w:val="28"/>
          <w:szCs w:val="28"/>
        </w:rPr>
      </w:pPr>
      <w:r w:rsidRPr="00E66E17" w:rsidR="00E66E17">
        <w:rPr>
          <w:rFonts w:ascii="Times New Roman" w:hAnsi="Times New Roman" w:cs="Times New Roman"/>
          <w:b/>
          <w:sz w:val="28"/>
          <w:szCs w:val="28"/>
        </w:rPr>
        <w:t xml:space="preserve">3. </w:t>
      </w:r>
      <w:r w:rsidRPr="00E66E17" w:rsidR="002A4347">
        <w:rPr>
          <w:rFonts w:ascii="Times New Roman" w:hAnsi="Times New Roman" w:cs="Times New Roman"/>
          <w:b/>
          <w:sz w:val="28"/>
          <w:szCs w:val="28"/>
        </w:rPr>
        <w:t>Iniciatívne a iné materiály prerok</w:t>
      </w:r>
      <w:r w:rsidR="002A7AE8">
        <w:rPr>
          <w:rFonts w:ascii="Times New Roman" w:hAnsi="Times New Roman" w:cs="Times New Roman"/>
          <w:b/>
          <w:sz w:val="28"/>
          <w:szCs w:val="28"/>
        </w:rPr>
        <w:t>ú</w:t>
      </w:r>
      <w:r w:rsidRPr="00E66E17" w:rsidR="002A4347">
        <w:rPr>
          <w:rFonts w:ascii="Times New Roman" w:hAnsi="Times New Roman" w:cs="Times New Roman"/>
          <w:b/>
          <w:sz w:val="28"/>
          <w:szCs w:val="28"/>
        </w:rPr>
        <w:t xml:space="preserve">vané výborom  </w:t>
      </w:r>
    </w:p>
    <w:p w:rsidR="005F301A" w:rsidP="00D76C22">
      <w:pPr>
        <w:spacing w:after="120"/>
        <w:ind w:firstLine="708"/>
        <w:jc w:val="both"/>
        <w:rPr>
          <w:rFonts w:ascii="Times New Roman" w:hAnsi="Times New Roman" w:cs="Times New Roman"/>
        </w:rPr>
      </w:pPr>
    </w:p>
    <w:p w:rsidR="00743730" w:rsidRPr="00564366" w:rsidP="00D76C22">
      <w:pPr>
        <w:spacing w:after="120"/>
        <w:ind w:firstLine="708"/>
        <w:jc w:val="both"/>
        <w:rPr>
          <w:rFonts w:ascii="Times New Roman" w:hAnsi="Times New Roman" w:cs="Times New Roman"/>
          <w:i/>
        </w:rPr>
      </w:pPr>
      <w:r w:rsidR="00D76C22">
        <w:rPr>
          <w:rFonts w:ascii="Times New Roman" w:hAnsi="Times New Roman" w:cs="Times New Roman"/>
        </w:rPr>
        <w:t>V priebehu roka 200</w:t>
      </w:r>
      <w:r w:rsidR="00877161">
        <w:rPr>
          <w:rFonts w:ascii="Times New Roman" w:hAnsi="Times New Roman" w:cs="Times New Roman"/>
        </w:rPr>
        <w:t>6</w:t>
      </w:r>
      <w:r w:rsidR="00D76C22">
        <w:rPr>
          <w:rFonts w:ascii="Times New Roman" w:hAnsi="Times New Roman" w:cs="Times New Roman"/>
        </w:rPr>
        <w:t xml:space="preserve"> </w:t>
      </w:r>
      <w:r w:rsidR="003E4938">
        <w:rPr>
          <w:rFonts w:ascii="Times New Roman" w:hAnsi="Times New Roman" w:cs="Times New Roman"/>
        </w:rPr>
        <w:t xml:space="preserve">a prvého polroka 2007 </w:t>
      </w:r>
      <w:r w:rsidR="00C3075F">
        <w:rPr>
          <w:rFonts w:ascii="Times New Roman" w:hAnsi="Times New Roman" w:cs="Times New Roman"/>
        </w:rPr>
        <w:t xml:space="preserve">výbor </w:t>
      </w:r>
      <w:r w:rsidRPr="006B746C" w:rsidR="00D76C22">
        <w:rPr>
          <w:rFonts w:ascii="Times New Roman" w:hAnsi="Times New Roman" w:cs="Times New Roman"/>
        </w:rPr>
        <w:t xml:space="preserve">pre európske záležitosti </w:t>
      </w:r>
      <w:r w:rsidR="008D568D">
        <w:rPr>
          <w:rFonts w:ascii="Times New Roman" w:hAnsi="Times New Roman" w:cs="Times New Roman"/>
        </w:rPr>
        <w:t xml:space="preserve">iniciatívne </w:t>
      </w:r>
      <w:r w:rsidRPr="006B746C" w:rsidR="00D76C22">
        <w:rPr>
          <w:rFonts w:ascii="Times New Roman" w:hAnsi="Times New Roman" w:cs="Times New Roman"/>
        </w:rPr>
        <w:t xml:space="preserve">prerokoval </w:t>
      </w:r>
      <w:r w:rsidR="00D76C22">
        <w:rPr>
          <w:rFonts w:ascii="Times New Roman" w:hAnsi="Times New Roman" w:cs="Times New Roman"/>
        </w:rPr>
        <w:t xml:space="preserve">ďalšie informácie prevažne </w:t>
      </w:r>
      <w:r w:rsidRPr="00564366" w:rsidR="00D76C22">
        <w:rPr>
          <w:rFonts w:ascii="Times New Roman" w:hAnsi="Times New Roman" w:cs="Times New Roman"/>
        </w:rPr>
        <w:t>prierezového charakteru.</w:t>
      </w:r>
      <w:r w:rsidR="00D76C22">
        <w:rPr>
          <w:rFonts w:ascii="Times New Roman" w:hAnsi="Times New Roman" w:cs="Times New Roman"/>
        </w:rPr>
        <w:t xml:space="preserve"> Išlo najmä o</w:t>
      </w:r>
      <w:r w:rsidR="00014BFF">
        <w:rPr>
          <w:rFonts w:ascii="Times New Roman" w:hAnsi="Times New Roman" w:cs="Times New Roman"/>
        </w:rPr>
        <w:t> viaceré rokovania k </w:t>
      </w:r>
      <w:r w:rsidRPr="00564366" w:rsidR="00014BFF">
        <w:rPr>
          <w:rFonts w:ascii="Times New Roman" w:hAnsi="Times New Roman" w:cs="Times New Roman"/>
          <w:b/>
        </w:rPr>
        <w:t xml:space="preserve">Národnému strategickému referenčnému rámcu Slovenskej republiky na </w:t>
      </w:r>
      <w:r w:rsidRPr="00564366" w:rsidR="00484345">
        <w:rPr>
          <w:rFonts w:ascii="Times New Roman" w:hAnsi="Times New Roman" w:cs="Times New Roman"/>
          <w:b/>
        </w:rPr>
        <w:t>r</w:t>
      </w:r>
      <w:r w:rsidRPr="00564366" w:rsidR="00EC1AEC">
        <w:rPr>
          <w:rFonts w:ascii="Times New Roman" w:hAnsi="Times New Roman" w:cs="Times New Roman"/>
          <w:b/>
        </w:rPr>
        <w:t>oky</w:t>
      </w:r>
      <w:r w:rsidRPr="00564366" w:rsidR="00484345">
        <w:rPr>
          <w:rFonts w:ascii="Times New Roman" w:hAnsi="Times New Roman" w:cs="Times New Roman"/>
          <w:b/>
        </w:rPr>
        <w:t xml:space="preserve"> 2007 – 2013</w:t>
      </w:r>
      <w:r w:rsidRPr="00564366">
        <w:rPr>
          <w:rFonts w:ascii="Times New Roman" w:hAnsi="Times New Roman" w:cs="Times New Roman"/>
          <w:b/>
        </w:rPr>
        <w:t xml:space="preserve">, </w:t>
      </w:r>
      <w:r w:rsidRPr="00EC1AEC">
        <w:rPr>
          <w:rFonts w:ascii="Times New Roman" w:hAnsi="Times New Roman" w:cs="Times New Roman"/>
        </w:rPr>
        <w:t>na ktorých minister výstavby a regionálneho rozvoja SR</w:t>
      </w:r>
      <w:r w:rsidRPr="00EC1AEC">
        <w:rPr>
          <w:rFonts w:ascii="Times New Roman" w:hAnsi="Times New Roman" w:cs="Times New Roman"/>
        </w:rPr>
        <w:t xml:space="preserve"> </w:t>
      </w:r>
      <w:r w:rsidRPr="00EC1AEC" w:rsidR="00EC1AEC">
        <w:rPr>
          <w:rFonts w:ascii="Times New Roman" w:hAnsi="Times New Roman" w:cs="Times New Roman"/>
        </w:rPr>
        <w:t xml:space="preserve">a podpredseda vlády SR pre </w:t>
      </w:r>
      <w:r w:rsidRPr="00EC1AEC" w:rsidR="00EC1AEC">
        <w:rPr>
          <w:rFonts w:ascii="Times New Roman" w:hAnsi="Times New Roman" w:cs="Times New Roman"/>
          <w:color w:val="000000"/>
        </w:rPr>
        <w:t>vedomostnú spoločnosť, európske záležitosti, ľudské práva a menšiny </w:t>
      </w:r>
      <w:r w:rsidRPr="00EC1AEC">
        <w:rPr>
          <w:rFonts w:ascii="Times New Roman" w:hAnsi="Times New Roman" w:cs="Times New Roman"/>
        </w:rPr>
        <w:t>priebežne informoval</w:t>
      </w:r>
      <w:r w:rsidR="00EC1AEC">
        <w:rPr>
          <w:rFonts w:ascii="Times New Roman" w:hAnsi="Times New Roman" w:cs="Times New Roman"/>
        </w:rPr>
        <w:t>i</w:t>
      </w:r>
      <w:r w:rsidRPr="00EC1AEC">
        <w:rPr>
          <w:rFonts w:ascii="Times New Roman" w:hAnsi="Times New Roman" w:cs="Times New Roman"/>
        </w:rPr>
        <w:t xml:space="preserve"> členov výboru o aktuálnom stave jeho schvaľovania. </w:t>
      </w:r>
      <w:r w:rsidR="0074427A">
        <w:rPr>
          <w:rFonts w:ascii="Times New Roman" w:hAnsi="Times New Roman" w:cs="Times New Roman"/>
        </w:rPr>
        <w:t>Výbor taktiež rokoval o </w:t>
      </w:r>
      <w:r w:rsidRPr="00564366" w:rsidR="0074427A">
        <w:rPr>
          <w:rFonts w:ascii="Times New Roman" w:hAnsi="Times New Roman" w:cs="Times New Roman"/>
          <w:b/>
        </w:rPr>
        <w:t>Národnom programe reforiem Slovenskej republiky</w:t>
      </w:r>
      <w:r w:rsidRPr="00564366" w:rsidR="00A945FA">
        <w:rPr>
          <w:rFonts w:ascii="Times New Roman" w:hAnsi="Times New Roman" w:cs="Times New Roman"/>
          <w:b/>
        </w:rPr>
        <w:t xml:space="preserve"> na roky 2006-20</w:t>
      </w:r>
      <w:r w:rsidRPr="00564366" w:rsidR="00A945FA">
        <w:rPr>
          <w:rFonts w:ascii="Times New Roman" w:hAnsi="Times New Roman" w:cs="Times New Roman"/>
          <w:b/>
        </w:rPr>
        <w:t>08</w:t>
      </w:r>
      <w:r w:rsidR="00A945FA">
        <w:rPr>
          <w:rFonts w:ascii="Times New Roman" w:hAnsi="Times New Roman" w:cs="Times New Roman"/>
        </w:rPr>
        <w:t xml:space="preserve"> (rozpracovanie cieľov Lisabonskej stratégie v podmienkach Slovenskej republiky)</w:t>
      </w:r>
      <w:r w:rsidR="0074427A">
        <w:rPr>
          <w:rFonts w:ascii="Times New Roman" w:hAnsi="Times New Roman" w:cs="Times New Roman"/>
        </w:rPr>
        <w:t xml:space="preserve">. </w:t>
      </w:r>
      <w:r w:rsidRPr="0074427A" w:rsidR="0074427A">
        <w:rPr>
          <w:rFonts w:ascii="Times New Roman" w:hAnsi="Times New Roman" w:cs="Times New Roman"/>
        </w:rPr>
        <w:t>Dňa</w:t>
      </w:r>
      <w:r w:rsidR="00A945FA">
        <w:rPr>
          <w:rFonts w:ascii="Times New Roman" w:hAnsi="Times New Roman" w:cs="Times New Roman"/>
        </w:rPr>
        <w:t xml:space="preserve"> </w:t>
      </w:r>
      <w:r w:rsidRPr="0074427A" w:rsidR="0074427A">
        <w:rPr>
          <w:rStyle w:val="Emphasis"/>
          <w:rFonts w:ascii="Times New Roman" w:hAnsi="Times New Roman" w:cs="Times New Roman"/>
          <w:bCs/>
          <w:i w:val="0"/>
          <w:iCs w:val="0"/>
        </w:rPr>
        <w:t xml:space="preserve">6. novembra 2006 určil poslanca Józsefa Berényiho za spravodajcu výboru pre agendu </w:t>
      </w:r>
      <w:r w:rsidRPr="00564366" w:rsidR="0074427A">
        <w:rPr>
          <w:rStyle w:val="Emphasis"/>
          <w:rFonts w:ascii="Times New Roman" w:hAnsi="Times New Roman" w:cs="Times New Roman"/>
          <w:bCs/>
          <w:i w:val="0"/>
          <w:iCs w:val="0"/>
        </w:rPr>
        <w:t>Lisabonskej stratégie.</w:t>
      </w:r>
    </w:p>
    <w:p w:rsidR="00B446EF" w:rsidP="00EC1AEC">
      <w:pPr>
        <w:ind w:firstLine="708"/>
        <w:jc w:val="both"/>
        <w:rPr>
          <w:rFonts w:ascii="Times New Roman" w:hAnsi="Times New Roman" w:cs="Times New Roman"/>
        </w:rPr>
      </w:pPr>
    </w:p>
    <w:p w:rsidR="00EC1AEC" w:rsidP="00EC1AEC">
      <w:pPr>
        <w:ind w:firstLine="708"/>
        <w:jc w:val="both"/>
        <w:rPr>
          <w:rFonts w:ascii="Times New Roman" w:hAnsi="Times New Roman" w:cs="Times New Roman"/>
        </w:rPr>
      </w:pPr>
      <w:r w:rsidR="00743730">
        <w:rPr>
          <w:rFonts w:ascii="Times New Roman" w:hAnsi="Times New Roman" w:cs="Times New Roman"/>
        </w:rPr>
        <w:t xml:space="preserve">Výbor </w:t>
      </w:r>
      <w:r>
        <w:rPr>
          <w:rFonts w:ascii="Times New Roman" w:hAnsi="Times New Roman" w:cs="Times New Roman"/>
        </w:rPr>
        <w:t xml:space="preserve">ďalej rokoval </w:t>
      </w:r>
      <w:r w:rsidR="00743730">
        <w:rPr>
          <w:rFonts w:ascii="Times New Roman" w:hAnsi="Times New Roman" w:cs="Times New Roman"/>
        </w:rPr>
        <w:t>o </w:t>
      </w:r>
      <w:r w:rsidRPr="00EC1AEC" w:rsidR="00743730">
        <w:rPr>
          <w:rFonts w:ascii="Times New Roman" w:hAnsi="Times New Roman" w:cs="Times New Roman"/>
          <w:b/>
        </w:rPr>
        <w:t xml:space="preserve">transpozičnom deficite </w:t>
      </w:r>
      <w:r w:rsidRPr="00EC1AEC">
        <w:rPr>
          <w:rFonts w:ascii="Times New Roman" w:hAnsi="Times New Roman" w:cs="Times New Roman"/>
          <w:b/>
        </w:rPr>
        <w:t>Slovenskej repub</w:t>
      </w:r>
      <w:r w:rsidRPr="00EC1AEC">
        <w:rPr>
          <w:rFonts w:ascii="Times New Roman" w:hAnsi="Times New Roman" w:cs="Times New Roman"/>
          <w:b/>
        </w:rPr>
        <w:t>liky</w:t>
      </w:r>
      <w:r>
        <w:rPr>
          <w:rFonts w:ascii="Times New Roman" w:hAnsi="Times New Roman" w:cs="Times New Roman"/>
        </w:rPr>
        <w:t xml:space="preserve"> a uložil podpredsedovi vlády a ministrovi spravodlivosti SR, aby polročne informoval výbor o aktuálnom stave transpozičného deficitu Slovenskej republiky a predložil informáciu o systéme transpozície smerníc do vnútroštátneho právneho poriadku Slovenskej republiky. </w:t>
      </w:r>
    </w:p>
    <w:p w:rsidR="002A7AE8" w:rsidP="002A7AE8">
      <w:pPr>
        <w:spacing w:after="120"/>
        <w:ind w:firstLine="708"/>
        <w:jc w:val="both"/>
        <w:rPr>
          <w:rFonts w:ascii="Times New Roman" w:hAnsi="Times New Roman" w:cs="Times New Roman"/>
        </w:rPr>
      </w:pPr>
    </w:p>
    <w:p w:rsidR="002A7AE8" w:rsidP="002A7AE8">
      <w:pPr>
        <w:spacing w:after="120"/>
        <w:ind w:firstLine="708"/>
        <w:jc w:val="both"/>
        <w:rPr>
          <w:rFonts w:ascii="Times New Roman" w:hAnsi="Times New Roman" w:cs="Times New Roman"/>
        </w:rPr>
      </w:pPr>
      <w:r>
        <w:rPr>
          <w:rFonts w:ascii="Times New Roman" w:hAnsi="Times New Roman" w:cs="Times New Roman"/>
        </w:rPr>
        <w:t xml:space="preserve">Výbor sa zaoberal aj otázkou riešenia problémov </w:t>
      </w:r>
      <w:r w:rsidRPr="002A7AE8">
        <w:rPr>
          <w:rFonts w:ascii="Times New Roman" w:hAnsi="Times New Roman" w:cs="Times New Roman"/>
          <w:b/>
        </w:rPr>
        <w:t>riadenej imigrácie</w:t>
      </w:r>
      <w:r>
        <w:rPr>
          <w:rFonts w:ascii="Times New Roman" w:hAnsi="Times New Roman" w:cs="Times New Roman"/>
        </w:rPr>
        <w:t xml:space="preserve"> z hľadiska nedostatku pracovných síl v určitých hospodárskych odvetviach v Slovenskej republike a požiadal príslušné ministerstvá o</w:t>
      </w:r>
      <w:r w:rsidR="00564366">
        <w:rPr>
          <w:rFonts w:ascii="Times New Roman" w:hAnsi="Times New Roman" w:cs="Times New Roman"/>
        </w:rPr>
        <w:t xml:space="preserve"> predloženie </w:t>
      </w:r>
      <w:r>
        <w:rPr>
          <w:rFonts w:ascii="Times New Roman" w:hAnsi="Times New Roman" w:cs="Times New Roman"/>
        </w:rPr>
        <w:t xml:space="preserve">informácie o tom, v ktorých </w:t>
      </w:r>
      <w:r>
        <w:rPr>
          <w:rFonts w:ascii="Times New Roman" w:hAnsi="Times New Roman" w:cs="Times New Roman"/>
        </w:rPr>
        <w:t>odvetviach Slovensko pociťuje nedostatok pracovnej sily, v akom rozsahu a aké sú plánované aktivity zamerané na pokrytie týchto voľných pracovných síl zahraničnými zdrojmi v rámci riadenej imigrácie.</w:t>
      </w:r>
    </w:p>
    <w:p w:rsidR="00EC1AEC" w:rsidP="008D1EF5">
      <w:pPr>
        <w:rPr>
          <w:rFonts w:ascii="Times New Roman" w:hAnsi="Times New Roman" w:cs="Times New Roman"/>
        </w:rPr>
      </w:pPr>
    </w:p>
    <w:p w:rsidR="00D76C22" w:rsidP="002A7AE8">
      <w:pPr>
        <w:ind w:firstLine="709"/>
        <w:jc w:val="both"/>
        <w:rPr>
          <w:rFonts w:ascii="Times New Roman" w:hAnsi="Times New Roman" w:cs="Times New Roman"/>
        </w:rPr>
      </w:pPr>
      <w:r w:rsidR="00EC1AEC">
        <w:rPr>
          <w:rFonts w:ascii="Times New Roman" w:hAnsi="Times New Roman" w:cs="Times New Roman"/>
        </w:rPr>
        <w:t>V roku 2006 sa v</w:t>
      </w:r>
      <w:r>
        <w:rPr>
          <w:rFonts w:ascii="Times New Roman" w:hAnsi="Times New Roman" w:cs="Times New Roman"/>
        </w:rPr>
        <w:t>ýbor zapojil do</w:t>
      </w:r>
      <w:r w:rsidR="00B716EB">
        <w:rPr>
          <w:rFonts w:ascii="Times New Roman" w:hAnsi="Times New Roman" w:cs="Times New Roman"/>
        </w:rPr>
        <w:t xml:space="preserve"> ďalších dvoch </w:t>
      </w:r>
      <w:r w:rsidRPr="003656B0" w:rsidR="00B716EB">
        <w:rPr>
          <w:rFonts w:ascii="Times New Roman" w:hAnsi="Times New Roman" w:cs="Times New Roman"/>
          <w:b/>
        </w:rPr>
        <w:t>projektov</w:t>
      </w:r>
      <w:r w:rsidRPr="003656B0" w:rsidR="00B716EB">
        <w:rPr>
          <w:rFonts w:ascii="Times New Roman" w:hAnsi="Times New Roman" w:cs="Times New Roman"/>
          <w:b/>
        </w:rPr>
        <w:t xml:space="preserve"> na kontrolu subsidiarity</w:t>
      </w:r>
      <w:r w:rsidR="00B8551B">
        <w:rPr>
          <w:rFonts w:ascii="Times New Roman" w:hAnsi="Times New Roman" w:cs="Times New Roman"/>
          <w:b/>
        </w:rPr>
        <w:t xml:space="preserve"> a proporcionality</w:t>
      </w:r>
      <w:r w:rsidR="00B716EB">
        <w:rPr>
          <w:rFonts w:ascii="Times New Roman" w:hAnsi="Times New Roman" w:cs="Times New Roman"/>
        </w:rPr>
        <w:t xml:space="preserve"> v</w:t>
      </w:r>
      <w:r w:rsidR="00B8551B">
        <w:rPr>
          <w:rFonts w:ascii="Times New Roman" w:hAnsi="Times New Roman" w:cs="Times New Roman"/>
        </w:rPr>
        <w:t> </w:t>
      </w:r>
      <w:r w:rsidR="00B716EB">
        <w:rPr>
          <w:rFonts w:ascii="Times New Roman" w:hAnsi="Times New Roman" w:cs="Times New Roman"/>
        </w:rPr>
        <w:t>rámci</w:t>
      </w:r>
      <w:r w:rsidR="00B8551B">
        <w:rPr>
          <w:rFonts w:ascii="Times New Roman" w:hAnsi="Times New Roman" w:cs="Times New Roman"/>
        </w:rPr>
        <w:t xml:space="preserve"> </w:t>
      </w:r>
      <w:r>
        <w:rPr>
          <w:rFonts w:ascii="Times New Roman" w:hAnsi="Times New Roman" w:cs="Times New Roman"/>
        </w:rPr>
        <w:t xml:space="preserve">Konferencie výborov pre </w:t>
      </w:r>
      <w:r w:rsidR="00B8551B">
        <w:rPr>
          <w:rFonts w:ascii="Times New Roman" w:hAnsi="Times New Roman" w:cs="Times New Roman"/>
        </w:rPr>
        <w:t xml:space="preserve">európske a </w:t>
      </w:r>
      <w:r>
        <w:rPr>
          <w:rFonts w:ascii="Times New Roman" w:hAnsi="Times New Roman" w:cs="Times New Roman"/>
        </w:rPr>
        <w:t>komunitárne záležitosti národných parlamentov členských štátov Európskej únie (COSAC)</w:t>
      </w:r>
      <w:r w:rsidR="003656B0">
        <w:rPr>
          <w:rFonts w:ascii="Times New Roman" w:hAnsi="Times New Roman" w:cs="Times New Roman"/>
        </w:rPr>
        <w:t>, a to</w:t>
      </w:r>
      <w:r w:rsidR="00B716EB">
        <w:rPr>
          <w:rFonts w:ascii="Times New Roman" w:hAnsi="Times New Roman" w:cs="Times New Roman"/>
        </w:rPr>
        <w:t xml:space="preserve"> pri </w:t>
      </w:r>
      <w:r w:rsidRPr="003656B0" w:rsidR="00B716EB">
        <w:rPr>
          <w:rFonts w:ascii="Times New Roman" w:hAnsi="Times New Roman" w:cs="Times New Roman"/>
          <w:i/>
        </w:rPr>
        <w:t xml:space="preserve">návrhu nariadenia o rozhodnom práve pri rozvodoch s cezhraničným prvkom </w:t>
      </w:r>
      <w:r w:rsidRPr="003656B0" w:rsidR="004C4D27">
        <w:rPr>
          <w:rFonts w:ascii="Times New Roman" w:hAnsi="Times New Roman" w:cs="Times New Roman"/>
          <w:i/>
        </w:rPr>
        <w:t>(</w:t>
      </w:r>
      <w:r w:rsidRPr="003656B0" w:rsidR="004C4D27">
        <w:rPr>
          <w:rFonts w:ascii="Times New Roman" w:hAnsi="Times New Roman" w:cs="Times New Roman"/>
          <w:i/>
        </w:rPr>
        <w:t>KOM(2006)399)</w:t>
      </w:r>
      <w:r w:rsidR="004C4D27">
        <w:rPr>
          <w:rFonts w:ascii="Times New Roman" w:hAnsi="Times New Roman" w:cs="Times New Roman"/>
        </w:rPr>
        <w:t xml:space="preserve"> </w:t>
      </w:r>
      <w:r w:rsidR="00B716EB">
        <w:rPr>
          <w:rFonts w:ascii="Times New Roman" w:hAnsi="Times New Roman" w:cs="Times New Roman"/>
        </w:rPr>
        <w:t xml:space="preserve">a pri </w:t>
      </w:r>
      <w:r w:rsidRPr="003656B0" w:rsidR="00B716EB">
        <w:rPr>
          <w:rFonts w:ascii="Times New Roman" w:hAnsi="Times New Roman" w:cs="Times New Roman"/>
          <w:i/>
        </w:rPr>
        <w:t>návrhu smernice o dokončení trhu poštových služieb</w:t>
      </w:r>
      <w:r w:rsidRPr="003656B0" w:rsidR="00484345">
        <w:rPr>
          <w:rFonts w:ascii="Times New Roman" w:hAnsi="Times New Roman" w:cs="Times New Roman"/>
          <w:i/>
        </w:rPr>
        <w:t xml:space="preserve"> (KOM(2006)594)</w:t>
      </w:r>
      <w:r w:rsidRPr="003656B0" w:rsidR="00B716EB">
        <w:rPr>
          <w:rFonts w:ascii="Times New Roman" w:hAnsi="Times New Roman" w:cs="Times New Roman"/>
          <w:i/>
        </w:rPr>
        <w:t>.</w:t>
      </w:r>
      <w:r w:rsidRPr="00B859A3">
        <w:rPr>
          <w:rFonts w:ascii="Times New Roman" w:hAnsi="Times New Roman" w:cs="Times New Roman"/>
          <w:i/>
          <w:color w:val="FF0000"/>
        </w:rPr>
        <w:t xml:space="preserve"> </w:t>
      </w:r>
      <w:r>
        <w:rPr>
          <w:rFonts w:ascii="Times New Roman" w:hAnsi="Times New Roman" w:cs="Times New Roman"/>
        </w:rPr>
        <w:t xml:space="preserve">V rámci tohto projektu výbor preskúmal príslušné návrhy právne záväzných aktov Európskych spoločenstiev </w:t>
      </w:r>
      <w:r w:rsidR="00A945FA">
        <w:rPr>
          <w:rFonts w:ascii="Times New Roman" w:hAnsi="Times New Roman" w:cs="Times New Roman"/>
        </w:rPr>
        <w:t xml:space="preserve">a Európskej únie </w:t>
      </w:r>
      <w:r>
        <w:rPr>
          <w:rFonts w:ascii="Times New Roman" w:hAnsi="Times New Roman" w:cs="Times New Roman"/>
        </w:rPr>
        <w:t>z pohľadu ich súlad</w:t>
      </w:r>
      <w:r w:rsidR="003B431D">
        <w:rPr>
          <w:rFonts w:ascii="Times New Roman" w:hAnsi="Times New Roman" w:cs="Times New Roman"/>
        </w:rPr>
        <w:t>u</w:t>
      </w:r>
      <w:r>
        <w:rPr>
          <w:rFonts w:ascii="Times New Roman" w:hAnsi="Times New Roman" w:cs="Times New Roman"/>
        </w:rPr>
        <w:t xml:space="preserve"> s princípom subsidiarity a</w:t>
      </w:r>
      <w:r w:rsidR="00B716EB">
        <w:rPr>
          <w:rFonts w:ascii="Times New Roman" w:hAnsi="Times New Roman" w:cs="Times New Roman"/>
        </w:rPr>
        <w:t> </w:t>
      </w:r>
      <w:r w:rsidR="00B716EB">
        <w:rPr>
          <w:rFonts w:ascii="Times New Roman" w:hAnsi="Times New Roman" w:cs="Times New Roman"/>
        </w:rPr>
        <w:t xml:space="preserve">proporcionality a </w:t>
      </w:r>
      <w:r>
        <w:rPr>
          <w:rFonts w:ascii="Times New Roman" w:hAnsi="Times New Roman" w:cs="Times New Roman"/>
        </w:rPr>
        <w:t>správu o výsledku uvedeného projektu v</w:t>
      </w:r>
      <w:r w:rsidR="00A945FA">
        <w:rPr>
          <w:rFonts w:ascii="Times New Roman" w:hAnsi="Times New Roman" w:cs="Times New Roman"/>
        </w:rPr>
        <w:t xml:space="preserve"> národnej rade </w:t>
      </w:r>
      <w:r>
        <w:rPr>
          <w:rFonts w:ascii="Times New Roman" w:hAnsi="Times New Roman" w:cs="Times New Roman"/>
        </w:rPr>
        <w:t>zaslal sekretariátu COSAC-u.</w:t>
      </w:r>
      <w:r w:rsidR="00484345">
        <w:rPr>
          <w:rFonts w:ascii="Times New Roman" w:hAnsi="Times New Roman" w:cs="Times New Roman"/>
        </w:rPr>
        <w:t xml:space="preserve"> V obidvoch prípadoch bolo výborom </w:t>
      </w:r>
      <w:r w:rsidR="004C4D27">
        <w:rPr>
          <w:rFonts w:ascii="Times New Roman" w:hAnsi="Times New Roman" w:cs="Times New Roman"/>
        </w:rPr>
        <w:t xml:space="preserve">– a v konečnom dôsledku aj </w:t>
      </w:r>
      <w:r w:rsidR="00A945FA">
        <w:rPr>
          <w:rFonts w:ascii="Times New Roman" w:hAnsi="Times New Roman" w:cs="Times New Roman"/>
        </w:rPr>
        <w:t>ako výsledok celého projektu v</w:t>
      </w:r>
      <w:r w:rsidR="00D51C29">
        <w:rPr>
          <w:rFonts w:ascii="Times New Roman" w:hAnsi="Times New Roman" w:cs="Times New Roman"/>
        </w:rPr>
        <w:t xml:space="preserve"> záverečnej </w:t>
      </w:r>
      <w:r w:rsidR="00A945FA">
        <w:rPr>
          <w:rFonts w:ascii="Times New Roman" w:hAnsi="Times New Roman" w:cs="Times New Roman"/>
        </w:rPr>
        <w:t xml:space="preserve">správe </w:t>
      </w:r>
      <w:r w:rsidR="004C4D27">
        <w:rPr>
          <w:rFonts w:ascii="Times New Roman" w:hAnsi="Times New Roman" w:cs="Times New Roman"/>
        </w:rPr>
        <w:t>COSAC-</w:t>
      </w:r>
      <w:r w:rsidR="00A945FA">
        <w:rPr>
          <w:rFonts w:ascii="Times New Roman" w:hAnsi="Times New Roman" w:cs="Times New Roman"/>
        </w:rPr>
        <w:t>u</w:t>
      </w:r>
      <w:r w:rsidR="004C4D27">
        <w:rPr>
          <w:rFonts w:ascii="Times New Roman" w:hAnsi="Times New Roman" w:cs="Times New Roman"/>
        </w:rPr>
        <w:t xml:space="preserve"> </w:t>
      </w:r>
      <w:r w:rsidR="00A945FA">
        <w:rPr>
          <w:rFonts w:ascii="Times New Roman" w:hAnsi="Times New Roman" w:cs="Times New Roman"/>
        </w:rPr>
        <w:t xml:space="preserve">– </w:t>
      </w:r>
      <w:r w:rsidR="00484345">
        <w:rPr>
          <w:rFonts w:ascii="Times New Roman" w:hAnsi="Times New Roman" w:cs="Times New Roman"/>
        </w:rPr>
        <w:t xml:space="preserve">konštatované, že </w:t>
      </w:r>
      <w:r w:rsidR="00A945FA">
        <w:rPr>
          <w:rFonts w:ascii="Times New Roman" w:hAnsi="Times New Roman" w:cs="Times New Roman"/>
        </w:rPr>
        <w:t xml:space="preserve">v súlade s názorom väčšiny národných parlamentov </w:t>
      </w:r>
      <w:r w:rsidRPr="00B8551B" w:rsidR="00484345">
        <w:rPr>
          <w:rFonts w:ascii="Times New Roman" w:hAnsi="Times New Roman" w:cs="Times New Roman"/>
          <w:b/>
        </w:rPr>
        <w:t>nedošlo k porušeniu princípov subsidiarity a proporcionality.</w:t>
      </w:r>
      <w:r>
        <w:rPr>
          <w:rStyle w:val="FootnoteReference"/>
          <w:rFonts w:ascii="Times New Roman" w:hAnsi="Times New Roman" w:cs="Times New Roman"/>
          <w:b/>
          <w:rtl w:val="0"/>
        </w:rPr>
        <w:footnoteReference w:id="7"/>
      </w:r>
      <w:r w:rsidR="00484345">
        <w:rPr>
          <w:rFonts w:ascii="Times New Roman" w:hAnsi="Times New Roman" w:cs="Times New Roman"/>
        </w:rPr>
        <w:t xml:space="preserve"> </w:t>
      </w:r>
    </w:p>
    <w:p w:rsidR="002A7AE8" w:rsidP="002A7AE8">
      <w:pPr>
        <w:ind w:firstLine="709"/>
        <w:jc w:val="both"/>
        <w:rPr>
          <w:rFonts w:ascii="Times New Roman" w:hAnsi="Times New Roman" w:cs="Times New Roman"/>
        </w:rPr>
      </w:pPr>
    </w:p>
    <w:p w:rsidR="00120A55" w:rsidRPr="00DE4E68" w:rsidP="002A7AE8">
      <w:pPr>
        <w:ind w:firstLine="709"/>
        <w:jc w:val="both"/>
        <w:rPr>
          <w:rFonts w:ascii="Times New Roman" w:hAnsi="Times New Roman" w:cs="Times New Roman"/>
        </w:rPr>
      </w:pPr>
      <w:r w:rsidR="00DE4E68">
        <w:rPr>
          <w:rFonts w:ascii="Times New Roman" w:hAnsi="Times New Roman" w:cs="Times New Roman"/>
        </w:rPr>
        <w:t xml:space="preserve">V rámci platformy COSAC počas fínskeho predsedníctva v Helsinkách </w:t>
      </w:r>
      <w:r w:rsidR="00D51C29">
        <w:rPr>
          <w:rFonts w:ascii="Times New Roman" w:hAnsi="Times New Roman" w:cs="Times New Roman"/>
        </w:rPr>
        <w:t xml:space="preserve">sa </w:t>
      </w:r>
      <w:r w:rsidR="00DE4E68">
        <w:rPr>
          <w:rFonts w:ascii="Times New Roman" w:hAnsi="Times New Roman" w:cs="Times New Roman"/>
        </w:rPr>
        <w:t xml:space="preserve">predseda výboru p. Urbáni v mene delegácie Slovenskej republiky </w:t>
      </w:r>
      <w:r>
        <w:rPr>
          <w:rFonts w:ascii="Times New Roman" w:hAnsi="Times New Roman" w:cs="Times New Roman"/>
        </w:rPr>
        <w:t>zapoji</w:t>
      </w:r>
      <w:r w:rsidR="00DE4E68">
        <w:rPr>
          <w:rFonts w:ascii="Times New Roman" w:hAnsi="Times New Roman" w:cs="Times New Roman"/>
        </w:rPr>
        <w:t xml:space="preserve">l </w:t>
      </w:r>
      <w:r>
        <w:rPr>
          <w:rFonts w:ascii="Times New Roman" w:hAnsi="Times New Roman" w:cs="Times New Roman"/>
        </w:rPr>
        <w:t>do diskusie</w:t>
      </w:r>
      <w:r w:rsidR="00DE4E68">
        <w:rPr>
          <w:rFonts w:ascii="Times New Roman" w:hAnsi="Times New Roman" w:cs="Times New Roman"/>
        </w:rPr>
        <w:t xml:space="preserve"> na tému </w:t>
      </w:r>
      <w:r w:rsidR="00DE4E68">
        <w:rPr>
          <w:rFonts w:ascii="Times New Roman" w:hAnsi="Times New Roman" w:cs="Times New Roman"/>
        </w:rPr>
        <w:t>energ</w:t>
      </w:r>
      <w:r>
        <w:rPr>
          <w:rFonts w:ascii="Times New Roman" w:hAnsi="Times New Roman" w:cs="Times New Roman"/>
        </w:rPr>
        <w:t>etickej politiky</w:t>
      </w:r>
      <w:r w:rsidR="00DE4E68">
        <w:rPr>
          <w:rFonts w:ascii="Times New Roman" w:hAnsi="Times New Roman" w:cs="Times New Roman"/>
        </w:rPr>
        <w:t xml:space="preserve"> </w:t>
      </w:r>
      <w:r w:rsidRPr="00120A55" w:rsidR="00DE4E68">
        <w:rPr>
          <w:rFonts w:ascii="Times New Roman" w:hAnsi="Times New Roman" w:cs="Times New Roman"/>
        </w:rPr>
        <w:t>(</w:t>
      </w:r>
      <w:r w:rsidRPr="00120A55">
        <w:rPr>
          <w:rFonts w:ascii="Times New Roman" w:hAnsi="Times New Roman" w:cs="Times New Roman"/>
        </w:rPr>
        <w:t>význam jadrovej energie</w:t>
      </w:r>
      <w:r w:rsidR="00D51C29">
        <w:rPr>
          <w:rFonts w:ascii="Times New Roman" w:hAnsi="Times New Roman" w:cs="Times New Roman"/>
        </w:rPr>
        <w:t>,</w:t>
      </w:r>
      <w:r w:rsidRPr="00120A55">
        <w:rPr>
          <w:rFonts w:ascii="Times New Roman" w:hAnsi="Times New Roman" w:cs="Times New Roman"/>
        </w:rPr>
        <w:t xml:space="preserve"> </w:t>
      </w:r>
      <w:r w:rsidRPr="00120A55" w:rsidR="00DE4E68">
        <w:rPr>
          <w:rFonts w:ascii="Times New Roman" w:hAnsi="Times New Roman" w:cs="Times New Roman"/>
        </w:rPr>
        <w:t>energetická budúcnosť EÚ vo väzbe na alte</w:t>
      </w:r>
      <w:r w:rsidR="00564366">
        <w:rPr>
          <w:rFonts w:ascii="Times New Roman" w:hAnsi="Times New Roman" w:cs="Times New Roman"/>
        </w:rPr>
        <w:t>rnatívne zdroje energií), daňovej</w:t>
      </w:r>
      <w:r w:rsidRPr="00120A55" w:rsidR="00DE4E68">
        <w:rPr>
          <w:rFonts w:ascii="Times New Roman" w:hAnsi="Times New Roman" w:cs="Times New Roman"/>
        </w:rPr>
        <w:t xml:space="preserve"> politik</w:t>
      </w:r>
      <w:r w:rsidR="00564366">
        <w:rPr>
          <w:rFonts w:ascii="Times New Roman" w:hAnsi="Times New Roman" w:cs="Times New Roman"/>
        </w:rPr>
        <w:t>y</w:t>
      </w:r>
      <w:r w:rsidRPr="00120A55" w:rsidR="00DE4E68">
        <w:rPr>
          <w:rFonts w:ascii="Times New Roman" w:hAnsi="Times New Roman" w:cs="Times New Roman"/>
        </w:rPr>
        <w:t xml:space="preserve"> EÚ</w:t>
      </w:r>
      <w:r w:rsidR="00D51C29">
        <w:rPr>
          <w:rFonts w:ascii="Times New Roman" w:hAnsi="Times New Roman" w:cs="Times New Roman"/>
        </w:rPr>
        <w:t>,</w:t>
      </w:r>
      <w:r w:rsidRPr="00120A55" w:rsidR="00DE4E68">
        <w:rPr>
          <w:rFonts w:ascii="Times New Roman" w:hAnsi="Times New Roman" w:cs="Times New Roman"/>
        </w:rPr>
        <w:t xml:space="preserve"> </w:t>
      </w:r>
      <w:r w:rsidR="00DE4E68">
        <w:rPr>
          <w:rFonts w:ascii="Times New Roman" w:hAnsi="Times New Roman" w:cs="Times New Roman"/>
        </w:rPr>
        <w:t xml:space="preserve">a upozornil na </w:t>
      </w:r>
      <w:r w:rsidRPr="00D51C29" w:rsidR="0086425D">
        <w:rPr>
          <w:rFonts w:ascii="Times New Roman" w:hAnsi="Times New Roman" w:cs="Times New Roman"/>
          <w:b/>
        </w:rPr>
        <w:t>problematiku neskorej prípravy a zasielania dokumentov na zasadnutia Rady EÚ</w:t>
      </w:r>
      <w:r w:rsidR="0086425D">
        <w:rPr>
          <w:rFonts w:ascii="Times New Roman" w:hAnsi="Times New Roman" w:cs="Times New Roman"/>
        </w:rPr>
        <w:t>, čo komplikuje aj prácu Výboru Národnej rady Slovenskej republiky pre európske záležitosti.</w:t>
      </w:r>
      <w:r>
        <w:rPr>
          <w:rFonts w:ascii="Times New Roman" w:hAnsi="Times New Roman" w:cs="Times New Roman"/>
        </w:rPr>
        <w:t xml:space="preserve"> Predseda výboru sa tiež osobne zúčastnil na rokovaniach slovenskej delegácie s komisárkou pre regionálnu politiku (p. Danuta Hübner) v Bruseli pri schvaľovaní Operačného programu Zdravotníctvo.</w:t>
      </w:r>
    </w:p>
    <w:p w:rsidR="00E66E17" w:rsidRPr="00E66E17" w:rsidP="00E66E17">
      <w:pPr>
        <w:shd w:val="clear" w:color="auto" w:fill="E0E0E0"/>
        <w:rPr>
          <w:rFonts w:ascii="Times New Roman" w:hAnsi="Times New Roman" w:cs="Times New Roman"/>
          <w:b/>
          <w:sz w:val="28"/>
          <w:szCs w:val="28"/>
        </w:rPr>
      </w:pPr>
      <w:r w:rsidRPr="00E66E17">
        <w:rPr>
          <w:rFonts w:ascii="Times New Roman" w:hAnsi="Times New Roman" w:cs="Times New Roman"/>
          <w:b/>
          <w:sz w:val="28"/>
          <w:szCs w:val="28"/>
        </w:rPr>
        <w:t>4. Zahraničné pracovné cesty a prijatia výboru a predsedu výboru</w:t>
      </w:r>
    </w:p>
    <w:p w:rsidR="00E66E17" w:rsidP="00E66E17">
      <w:pPr>
        <w:spacing w:after="120"/>
        <w:jc w:val="both"/>
        <w:rPr>
          <w:rFonts w:ascii="Times New Roman" w:hAnsi="Times New Roman" w:cs="Times New Roman"/>
        </w:rPr>
      </w:pPr>
    </w:p>
    <w:p w:rsidR="00765D0F" w:rsidRPr="00765D0F" w:rsidP="00765D0F">
      <w:pPr>
        <w:rPr>
          <w:rFonts w:ascii="Times New Roman" w:hAnsi="Times New Roman" w:cs="Times New Roman"/>
          <w:b/>
        </w:rPr>
      </w:pPr>
      <w:r w:rsidRPr="00765D0F">
        <w:rPr>
          <w:rFonts w:ascii="Times New Roman" w:hAnsi="Times New Roman" w:cs="Times New Roman"/>
          <w:b/>
        </w:rPr>
        <w:t>Prijatia predsedu výboru:</w:t>
      </w:r>
    </w:p>
    <w:p w:rsidR="00765D0F" w:rsidP="00765D0F">
      <w:pPr>
        <w:rPr>
          <w:rFonts w:ascii="Times New Roman" w:hAnsi="Times New Roman" w:cs="Times New Roman"/>
        </w:rPr>
      </w:pP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veľvyslanci: väčšina veľvyslancov členských štátov EÚ, veľvyslanci USA, Nórskeho kráľovstva, Ukrajiny a niektorí slovenskí veľvyslanci v zahraničí (napríklad v Poľsku, Švédsku, na Stálom zastúpení SR pri EÚ).</w:t>
      </w:r>
    </w:p>
    <w:p w:rsidR="00765D0F" w:rsidP="00765D0F">
      <w:pPr>
        <w:rPr>
          <w:rFonts w:ascii="Times New Roman" w:hAnsi="Times New Roman" w:cs="Times New Roman"/>
        </w:rPr>
      </w:pP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iné prijatia:</w:t>
      </w:r>
    </w:p>
    <w:p w:rsidR="00765D0F" w:rsidP="00743419">
      <w:pPr>
        <w:numPr>
          <w:ilvl w:val="0"/>
          <w:numId w:val="34"/>
        </w:numPr>
        <w:tabs>
          <w:tab w:val="left" w:pos="720"/>
          <w:tab w:val="left" w:pos="1080"/>
        </w:tabs>
        <w:ind w:firstLine="0"/>
        <w:rPr>
          <w:rFonts w:ascii="Times New Roman" w:hAnsi="Times New Roman" w:cs="Times New Roman"/>
        </w:rPr>
      </w:pPr>
      <w:r>
        <w:rPr>
          <w:rFonts w:ascii="Times New Roman" w:hAnsi="Times New Roman" w:cs="Times New Roman"/>
        </w:rPr>
        <w:t>p. Marcellini (</w:t>
      </w:r>
      <w:r w:rsidR="00743419">
        <w:rPr>
          <w:rFonts w:ascii="Times New Roman" w:hAnsi="Times New Roman" w:cs="Times New Roman"/>
        </w:rPr>
        <w:t>generálny riaditeľ,</w:t>
      </w:r>
      <w:r>
        <w:rPr>
          <w:rFonts w:ascii="Times New Roman" w:hAnsi="Times New Roman" w:cs="Times New Roman"/>
        </w:rPr>
        <w:t xml:space="preserve"> Slovenské elektrárne</w:t>
      </w:r>
      <w:r w:rsidR="00743419">
        <w:rPr>
          <w:rFonts w:ascii="Times New Roman" w:hAnsi="Times New Roman" w:cs="Times New Roman"/>
        </w:rPr>
        <w:t>, a.s.</w:t>
      </w:r>
      <w:r>
        <w:rPr>
          <w:rFonts w:ascii="Times New Roman" w:hAnsi="Times New Roman" w:cs="Times New Roman"/>
        </w:rPr>
        <w:t>)</w:t>
      </w:r>
    </w:p>
    <w:p w:rsidR="00765D0F" w:rsidP="00743419">
      <w:pPr>
        <w:numPr>
          <w:ilvl w:val="0"/>
          <w:numId w:val="34"/>
        </w:numPr>
        <w:tabs>
          <w:tab w:val="left" w:pos="720"/>
          <w:tab w:val="left" w:pos="1080"/>
        </w:tabs>
        <w:ind w:firstLine="0"/>
        <w:rPr>
          <w:rFonts w:ascii="Times New Roman" w:hAnsi="Times New Roman" w:cs="Times New Roman"/>
        </w:rPr>
      </w:pPr>
      <w:r w:rsidR="00743419">
        <w:rPr>
          <w:rFonts w:ascii="Times New Roman" w:hAnsi="Times New Roman" w:cs="Times New Roman"/>
        </w:rPr>
        <w:t xml:space="preserve">p. </w:t>
      </w:r>
      <w:r>
        <w:rPr>
          <w:rFonts w:ascii="Times New Roman" w:hAnsi="Times New Roman" w:cs="Times New Roman"/>
        </w:rPr>
        <w:t>Jasovský (</w:t>
      </w:r>
      <w:r w:rsidR="00743419">
        <w:rPr>
          <w:rFonts w:ascii="Times New Roman" w:hAnsi="Times New Roman" w:cs="Times New Roman"/>
        </w:rPr>
        <w:t xml:space="preserve">predseda, </w:t>
      </w:r>
      <w:r>
        <w:rPr>
          <w:rFonts w:ascii="Times New Roman" w:hAnsi="Times New Roman" w:cs="Times New Roman"/>
        </w:rPr>
        <w:t>N</w:t>
      </w:r>
      <w:r w:rsidR="00743419">
        <w:rPr>
          <w:rFonts w:ascii="Times New Roman" w:hAnsi="Times New Roman" w:cs="Times New Roman"/>
        </w:rPr>
        <w:t>ajvyšší kontrolný úrad SR</w:t>
      </w:r>
      <w:r>
        <w:rPr>
          <w:rFonts w:ascii="Times New Roman" w:hAnsi="Times New Roman" w:cs="Times New Roman"/>
        </w:rPr>
        <w:t>)</w:t>
      </w:r>
    </w:p>
    <w:p w:rsidR="00765D0F" w:rsidP="00743419">
      <w:pPr>
        <w:numPr>
          <w:ilvl w:val="0"/>
          <w:numId w:val="34"/>
        </w:numPr>
        <w:tabs>
          <w:tab w:val="left" w:pos="720"/>
          <w:tab w:val="left" w:pos="1080"/>
        </w:tabs>
        <w:ind w:firstLine="0"/>
        <w:rPr>
          <w:rFonts w:ascii="Times New Roman" w:hAnsi="Times New Roman" w:cs="Times New Roman"/>
        </w:rPr>
      </w:pPr>
      <w:r>
        <w:rPr>
          <w:rFonts w:ascii="Times New Roman" w:hAnsi="Times New Roman" w:cs="Times New Roman"/>
        </w:rPr>
        <w:t>p. Demeš (German Marshal</w:t>
      </w:r>
      <w:r w:rsidR="00743419">
        <w:rPr>
          <w:rFonts w:ascii="Times New Roman" w:hAnsi="Times New Roman" w:cs="Times New Roman"/>
        </w:rPr>
        <w:t>l</w:t>
      </w:r>
      <w:r>
        <w:rPr>
          <w:rFonts w:ascii="Times New Roman" w:hAnsi="Times New Roman" w:cs="Times New Roman"/>
        </w:rPr>
        <w:t xml:space="preserve"> Fund)</w:t>
      </w:r>
    </w:p>
    <w:p w:rsidR="00765D0F" w:rsidP="00743419">
      <w:pPr>
        <w:numPr>
          <w:ilvl w:val="0"/>
          <w:numId w:val="34"/>
        </w:numPr>
        <w:tabs>
          <w:tab w:val="clear" w:pos="720"/>
          <w:tab w:val="left" w:pos="1080"/>
        </w:tabs>
        <w:ind w:left="1080"/>
        <w:rPr>
          <w:rFonts w:ascii="Times New Roman" w:hAnsi="Times New Roman" w:cs="Times New Roman"/>
        </w:rPr>
      </w:pPr>
      <w:r>
        <w:rPr>
          <w:rFonts w:ascii="Times New Roman" w:hAnsi="Times New Roman" w:cs="Times New Roman"/>
        </w:rPr>
        <w:t>p. Huber (bavorský štátny minister hospodárstva</w:t>
      </w:r>
      <w:r>
        <w:rPr>
          <w:rFonts w:ascii="Times New Roman" w:hAnsi="Times New Roman" w:cs="Times New Roman"/>
        </w:rPr>
        <w:t>, infraštruktúry, dopravy a technológie)</w:t>
      </w:r>
    </w:p>
    <w:p w:rsidR="00765D0F" w:rsidP="00743419">
      <w:pPr>
        <w:numPr>
          <w:ilvl w:val="0"/>
          <w:numId w:val="34"/>
        </w:numPr>
        <w:tabs>
          <w:tab w:val="left" w:pos="720"/>
          <w:tab w:val="left" w:pos="1080"/>
        </w:tabs>
        <w:ind w:firstLine="0"/>
        <w:rPr>
          <w:rFonts w:ascii="Times New Roman" w:hAnsi="Times New Roman" w:cs="Times New Roman"/>
        </w:rPr>
      </w:pPr>
      <w:r>
        <w:rPr>
          <w:rFonts w:ascii="Times New Roman" w:hAnsi="Times New Roman" w:cs="Times New Roman"/>
        </w:rPr>
        <w:t>p. Drobnjak (chorvátsky vyjednávač pre vstup do EÚ)</w:t>
      </w:r>
    </w:p>
    <w:p w:rsidR="00765D0F" w:rsidRPr="00B350EB" w:rsidP="00743419">
      <w:pPr>
        <w:numPr>
          <w:ilvl w:val="0"/>
          <w:numId w:val="34"/>
        </w:numPr>
        <w:tabs>
          <w:tab w:val="left" w:pos="720"/>
          <w:tab w:val="left" w:pos="1080"/>
        </w:tabs>
        <w:ind w:firstLine="0"/>
        <w:rPr>
          <w:rFonts w:ascii="Times New Roman" w:hAnsi="Times New Roman" w:cs="Times New Roman"/>
        </w:rPr>
      </w:pPr>
      <w:r w:rsidRPr="00B350EB">
        <w:rPr>
          <w:rFonts w:ascii="Times New Roman" w:hAnsi="Times New Roman" w:cs="Times New Roman"/>
        </w:rPr>
        <w:t>p. Trajkovsk</w:t>
      </w:r>
      <w:r>
        <w:rPr>
          <w:rFonts w:ascii="Times New Roman" w:hAnsi="Times New Roman" w:cs="Times New Roman"/>
        </w:rPr>
        <w:t>a</w:t>
      </w:r>
      <w:r w:rsidRPr="00B350EB">
        <w:rPr>
          <w:rFonts w:ascii="Times New Roman" w:hAnsi="Times New Roman" w:cs="Times New Roman"/>
        </w:rPr>
        <w:t xml:space="preserve"> </w:t>
      </w:r>
      <w:r>
        <w:rPr>
          <w:rFonts w:ascii="Times New Roman" w:hAnsi="Times New Roman" w:cs="Times New Roman"/>
        </w:rPr>
        <w:t>(</w:t>
      </w:r>
      <w:r w:rsidRPr="00B350EB">
        <w:rPr>
          <w:rFonts w:ascii="Times New Roman" w:hAnsi="Times New Roman" w:cs="Times New Roman"/>
        </w:rPr>
        <w:t>podpredsedníčk</w:t>
      </w:r>
      <w:r>
        <w:rPr>
          <w:rFonts w:ascii="Times New Roman" w:hAnsi="Times New Roman" w:cs="Times New Roman"/>
        </w:rPr>
        <w:t>a vlády Macedónskej republiky pre európsku integráciu)</w:t>
      </w:r>
    </w:p>
    <w:p w:rsidR="00765D0F" w:rsidP="00765D0F">
      <w:pPr>
        <w:rPr>
          <w:rFonts w:ascii="Times New Roman" w:hAnsi="Times New Roman" w:cs="Times New Roman"/>
        </w:rPr>
      </w:pPr>
    </w:p>
    <w:p w:rsidR="00765D0F" w:rsidRPr="00765D0F" w:rsidP="00765D0F">
      <w:pPr>
        <w:rPr>
          <w:rFonts w:ascii="Times New Roman" w:hAnsi="Times New Roman" w:cs="Times New Roman"/>
          <w:b/>
        </w:rPr>
      </w:pPr>
      <w:r w:rsidRPr="00765D0F">
        <w:rPr>
          <w:rFonts w:ascii="Times New Roman" w:hAnsi="Times New Roman" w:cs="Times New Roman"/>
          <w:b/>
        </w:rPr>
        <w:t>Prijatia výboru:</w:t>
      </w:r>
    </w:p>
    <w:p w:rsidR="00765D0F" w:rsidP="00765D0F">
      <w:pPr>
        <w:rPr>
          <w:rFonts w:ascii="Times New Roman" w:hAnsi="Times New Roman" w:cs="Times New Roman"/>
        </w:rPr>
      </w:pP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p. Stratan (moldavský podpredseda vlády a minister zahraničných vecí a európskej integrácie)</w:t>
      </w: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 xml:space="preserve">členovia Európskeho hospodárskeho </w:t>
      </w:r>
      <w:r w:rsidR="00743419">
        <w:rPr>
          <w:rFonts w:ascii="Times New Roman" w:hAnsi="Times New Roman" w:cs="Times New Roman"/>
        </w:rPr>
        <w:t>výboru</w:t>
      </w: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ústavnoprávny výbor francúzskeho senátu</w:t>
      </w: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zahraničný výbor slovinského parlamentu</w:t>
      </w: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p. Molnár (člen Európskeho dvora audítorov)</w:t>
      </w:r>
    </w:p>
    <w:p w:rsidR="00765D0F" w:rsidRPr="00D70BCF" w:rsidP="00765D0F">
      <w:pPr>
        <w:numPr>
          <w:ilvl w:val="0"/>
          <w:numId w:val="34"/>
        </w:numPr>
        <w:tabs>
          <w:tab w:val="left" w:pos="720"/>
        </w:tabs>
        <w:jc w:val="both"/>
        <w:rPr>
          <w:rFonts w:ascii="Times New Roman" w:hAnsi="Times New Roman" w:cs="Times New Roman"/>
          <w:color w:val="000000"/>
        </w:rPr>
      </w:pPr>
      <w:r>
        <w:rPr>
          <w:rFonts w:ascii="Times New Roman" w:hAnsi="Times New Roman" w:cs="Times New Roman"/>
        </w:rPr>
        <w:t>p. Figeľ (člen Európskej komisie pre vzdelávanie, odbornú prípravu, kultúru a viacjazyčnosť)</w:t>
      </w:r>
    </w:p>
    <w:p w:rsidR="00765D0F" w:rsidP="00765D0F">
      <w:pPr>
        <w:numPr>
          <w:ilvl w:val="0"/>
          <w:numId w:val="34"/>
        </w:numPr>
        <w:tabs>
          <w:tab w:val="left" w:pos="720"/>
        </w:tabs>
        <w:jc w:val="both"/>
        <w:rPr>
          <w:rFonts w:ascii="Times New Roman" w:hAnsi="Times New Roman" w:cs="Times New Roman"/>
          <w:color w:val="000000"/>
        </w:rPr>
      </w:pPr>
      <w:r>
        <w:rPr>
          <w:rFonts w:ascii="Times New Roman" w:hAnsi="Times New Roman" w:cs="Times New Roman"/>
          <w:color w:val="000000"/>
        </w:rPr>
        <w:t>prof. Shlom Breznitz, poslan</w:t>
      </w:r>
      <w:r w:rsidR="00743419">
        <w:rPr>
          <w:rFonts w:ascii="Times New Roman" w:hAnsi="Times New Roman" w:cs="Times New Roman"/>
          <w:color w:val="000000"/>
        </w:rPr>
        <w:t>e</w:t>
      </w:r>
      <w:r>
        <w:rPr>
          <w:rFonts w:ascii="Times New Roman" w:hAnsi="Times New Roman" w:cs="Times New Roman"/>
          <w:color w:val="000000"/>
        </w:rPr>
        <w:t>c Knessetu a predsed</w:t>
      </w:r>
      <w:r w:rsidR="00743419">
        <w:rPr>
          <w:rFonts w:ascii="Times New Roman" w:hAnsi="Times New Roman" w:cs="Times New Roman"/>
          <w:color w:val="000000"/>
        </w:rPr>
        <w:t>a</w:t>
      </w:r>
      <w:r>
        <w:rPr>
          <w:rFonts w:ascii="Times New Roman" w:hAnsi="Times New Roman" w:cs="Times New Roman"/>
          <w:color w:val="000000"/>
        </w:rPr>
        <w:t xml:space="preserve"> skupiny izraelsko-slovenského priateľstva Knessetu, Izraelsk</w:t>
      </w:r>
      <w:r w:rsidR="00743419">
        <w:rPr>
          <w:rFonts w:ascii="Times New Roman" w:hAnsi="Times New Roman" w:cs="Times New Roman"/>
          <w:color w:val="000000"/>
        </w:rPr>
        <w:t>ý</w:t>
      </w:r>
      <w:r>
        <w:rPr>
          <w:rFonts w:ascii="Times New Roman" w:hAnsi="Times New Roman" w:cs="Times New Roman"/>
          <w:color w:val="000000"/>
        </w:rPr>
        <w:t xml:space="preserve"> štát</w:t>
      </w:r>
    </w:p>
    <w:p w:rsidR="00765D0F" w:rsidRPr="00D70BCF" w:rsidP="00765D0F">
      <w:pPr>
        <w:numPr>
          <w:ilvl w:val="0"/>
          <w:numId w:val="34"/>
        </w:numPr>
        <w:tabs>
          <w:tab w:val="left" w:pos="720"/>
        </w:tabs>
        <w:jc w:val="both"/>
        <w:rPr>
          <w:rFonts w:ascii="Times New Roman" w:hAnsi="Times New Roman" w:cs="Times New Roman"/>
        </w:rPr>
      </w:pPr>
      <w:r>
        <w:rPr>
          <w:rFonts w:ascii="Times New Roman" w:hAnsi="Times New Roman" w:cs="Times New Roman"/>
          <w:color w:val="000000"/>
        </w:rPr>
        <w:t>študenti Univer</w:t>
      </w:r>
      <w:r w:rsidR="00743419">
        <w:rPr>
          <w:rFonts w:ascii="Times New Roman" w:hAnsi="Times New Roman" w:cs="Times New Roman"/>
          <w:color w:val="000000"/>
        </w:rPr>
        <w:t>zity Južnej Karolíny</w:t>
      </w:r>
    </w:p>
    <w:p w:rsidR="00765D0F" w:rsidP="00765D0F">
      <w:pPr>
        <w:numPr>
          <w:ilvl w:val="0"/>
          <w:numId w:val="34"/>
        </w:numPr>
        <w:tabs>
          <w:tab w:val="left" w:pos="720"/>
        </w:tabs>
        <w:jc w:val="both"/>
        <w:rPr>
          <w:rFonts w:ascii="Times New Roman" w:hAnsi="Times New Roman" w:cs="Times New Roman"/>
        </w:rPr>
      </w:pPr>
      <w:r>
        <w:rPr>
          <w:rFonts w:ascii="Times New Roman" w:hAnsi="Times New Roman" w:cs="Times New Roman"/>
          <w:color w:val="000000"/>
        </w:rPr>
        <w:t>p. Abdallah Abdallah (predseda zahraničného výboru palestínskej legislatívnej rady)</w:t>
      </w:r>
    </w:p>
    <w:p w:rsidR="00765D0F" w:rsidP="00765D0F">
      <w:pPr>
        <w:ind w:left="360"/>
        <w:rPr>
          <w:rFonts w:ascii="Times New Roman" w:hAnsi="Times New Roman" w:cs="Times New Roman"/>
        </w:rPr>
      </w:pPr>
    </w:p>
    <w:p w:rsidR="00765D0F" w:rsidRPr="00765D0F" w:rsidP="00765D0F">
      <w:pPr>
        <w:rPr>
          <w:rFonts w:ascii="Times New Roman" w:hAnsi="Times New Roman" w:cs="Times New Roman"/>
          <w:b/>
        </w:rPr>
      </w:pPr>
      <w:r w:rsidRPr="00765D0F">
        <w:rPr>
          <w:rFonts w:ascii="Times New Roman" w:hAnsi="Times New Roman" w:cs="Times New Roman"/>
          <w:b/>
        </w:rPr>
        <w:t>Zahraničné pracovné cesty výboru:</w:t>
      </w:r>
    </w:p>
    <w:p w:rsidR="00765D0F" w:rsidRPr="00765D0F" w:rsidP="00765D0F">
      <w:pPr>
        <w:rPr>
          <w:rFonts w:ascii="Times New Roman" w:hAnsi="Times New Roman" w:cs="Times New Roman"/>
          <w:b/>
        </w:rPr>
      </w:pPr>
    </w:p>
    <w:p w:rsidR="00765D0F" w:rsidP="00765D0F">
      <w:pPr>
        <w:numPr>
          <w:ilvl w:val="0"/>
          <w:numId w:val="34"/>
        </w:numPr>
        <w:tabs>
          <w:tab w:val="left" w:pos="720"/>
        </w:tabs>
        <w:jc w:val="both"/>
        <w:rPr>
          <w:rFonts w:ascii="Times New Roman" w:hAnsi="Times New Roman" w:cs="Times New Roman"/>
        </w:rPr>
      </w:pPr>
      <w:r w:rsidRPr="00743419">
        <w:rPr>
          <w:rFonts w:ascii="Times New Roman" w:hAnsi="Times New Roman" w:cs="Times New Roman"/>
          <w:i/>
        </w:rPr>
        <w:t>COSAC</w:t>
      </w:r>
      <w:r>
        <w:rPr>
          <w:rFonts w:ascii="Times New Roman" w:hAnsi="Times New Roman" w:cs="Times New Roman"/>
        </w:rPr>
        <w:t xml:space="preserve"> (Helsinky – september a november 2006</w:t>
      </w:r>
      <w:r w:rsidR="00743419">
        <w:rPr>
          <w:rFonts w:ascii="Times New Roman" w:hAnsi="Times New Roman" w:cs="Times New Roman"/>
        </w:rPr>
        <w:t>,</w:t>
      </w:r>
      <w:r>
        <w:rPr>
          <w:rFonts w:ascii="Times New Roman" w:hAnsi="Times New Roman" w:cs="Times New Roman"/>
        </w:rPr>
        <w:t xml:space="preserve"> Berlín – február a máj 2007)</w:t>
      </w:r>
    </w:p>
    <w:p w:rsidR="00765D0F" w:rsidP="00765D0F">
      <w:pPr>
        <w:numPr>
          <w:ilvl w:val="0"/>
          <w:numId w:val="34"/>
        </w:numPr>
        <w:tabs>
          <w:tab w:val="left" w:pos="720"/>
        </w:tabs>
        <w:jc w:val="both"/>
        <w:rPr>
          <w:rFonts w:ascii="Times New Roman" w:hAnsi="Times New Roman" w:cs="Times New Roman"/>
        </w:rPr>
      </w:pPr>
      <w:r>
        <w:rPr>
          <w:rFonts w:ascii="Times New Roman" w:hAnsi="Times New Roman" w:cs="Times New Roman"/>
        </w:rPr>
        <w:t xml:space="preserve">Spoločné parlamentné stretnutie z iniciatívy Európskeho parlamentu a Fínskeho parlamentu – </w:t>
      </w:r>
      <w:r w:rsidRPr="00743419">
        <w:rPr>
          <w:rFonts w:ascii="Times New Roman" w:hAnsi="Times New Roman" w:cs="Times New Roman"/>
          <w:i/>
        </w:rPr>
        <w:t>„Od Tampere po Haag: aké sú perspektív</w:t>
      </w:r>
      <w:r w:rsidRPr="00743419">
        <w:rPr>
          <w:rFonts w:ascii="Times New Roman" w:hAnsi="Times New Roman" w:cs="Times New Roman"/>
          <w:i/>
        </w:rPr>
        <w:t>y? Priestor slobody, bezpečnosti a spravodlivosti: pokrok a nedostatky“</w:t>
      </w:r>
      <w:r>
        <w:rPr>
          <w:rFonts w:ascii="Times New Roman" w:hAnsi="Times New Roman" w:cs="Times New Roman"/>
        </w:rPr>
        <w:t xml:space="preserve"> (Brusel - október 2006)</w:t>
      </w:r>
    </w:p>
    <w:p w:rsidR="00765D0F" w:rsidP="00765D0F">
      <w:pPr>
        <w:numPr>
          <w:ilvl w:val="0"/>
          <w:numId w:val="34"/>
        </w:numPr>
        <w:tabs>
          <w:tab w:val="left" w:pos="720"/>
        </w:tabs>
        <w:rPr>
          <w:rFonts w:ascii="Times New Roman" w:hAnsi="Times New Roman" w:cs="Times New Roman"/>
        </w:rPr>
      </w:pPr>
      <w:r w:rsidRPr="00743419">
        <w:rPr>
          <w:rFonts w:ascii="Times New Roman" w:hAnsi="Times New Roman" w:cs="Times New Roman"/>
        </w:rPr>
        <w:t>Open Days</w:t>
      </w:r>
      <w:r>
        <w:rPr>
          <w:rFonts w:ascii="Times New Roman" w:hAnsi="Times New Roman" w:cs="Times New Roman"/>
        </w:rPr>
        <w:t xml:space="preserve"> (Brusel – október 2006)</w:t>
      </w:r>
    </w:p>
    <w:p w:rsidR="00765D0F" w:rsidP="00765D0F">
      <w:pPr>
        <w:numPr>
          <w:ilvl w:val="0"/>
          <w:numId w:val="34"/>
        </w:numPr>
        <w:tabs>
          <w:tab w:val="left" w:pos="720"/>
        </w:tabs>
        <w:rPr>
          <w:rFonts w:ascii="Times New Roman" w:hAnsi="Times New Roman" w:cs="Times New Roman"/>
        </w:rPr>
      </w:pPr>
      <w:r w:rsidRPr="00743419">
        <w:rPr>
          <w:rFonts w:ascii="Times New Roman" w:hAnsi="Times New Roman" w:cs="Times New Roman"/>
        </w:rPr>
        <w:t xml:space="preserve">Stretnutie výborov per európske záležitosti krajín V4 </w:t>
      </w:r>
      <w:r>
        <w:rPr>
          <w:rFonts w:ascii="Times New Roman" w:hAnsi="Times New Roman" w:cs="Times New Roman"/>
        </w:rPr>
        <w:t>(Krakov - január 2007)</w:t>
      </w:r>
    </w:p>
    <w:p w:rsidR="00765D0F" w:rsidP="00765D0F">
      <w:pPr>
        <w:numPr>
          <w:ilvl w:val="0"/>
          <w:numId w:val="34"/>
        </w:numPr>
        <w:tabs>
          <w:tab w:val="left" w:pos="720"/>
        </w:tabs>
        <w:rPr>
          <w:rFonts w:ascii="Times New Roman" w:hAnsi="Times New Roman" w:cs="Times New Roman"/>
        </w:rPr>
      </w:pPr>
      <w:r w:rsidRPr="00743419">
        <w:rPr>
          <w:rFonts w:ascii="Times New Roman" w:hAnsi="Times New Roman" w:cs="Times New Roman"/>
        </w:rPr>
        <w:t>3. medziparlamentné stretnutie k </w:t>
      </w:r>
      <w:r w:rsidRPr="00F01857">
        <w:rPr>
          <w:rFonts w:ascii="Times New Roman" w:hAnsi="Times New Roman" w:cs="Times New Roman"/>
          <w:i/>
        </w:rPr>
        <w:t>Lisabonskej stra</w:t>
      </w:r>
      <w:r w:rsidRPr="00F01857">
        <w:rPr>
          <w:rFonts w:ascii="Times New Roman" w:hAnsi="Times New Roman" w:cs="Times New Roman"/>
          <w:i/>
        </w:rPr>
        <w:t>tégii</w:t>
      </w:r>
      <w:r>
        <w:rPr>
          <w:rFonts w:ascii="Times New Roman" w:hAnsi="Times New Roman" w:cs="Times New Roman"/>
        </w:rPr>
        <w:t xml:space="preserve"> (Brusel - február 2007)</w:t>
      </w:r>
    </w:p>
    <w:p w:rsidR="00765D0F" w:rsidP="00765D0F">
      <w:pPr>
        <w:numPr>
          <w:ilvl w:val="0"/>
          <w:numId w:val="34"/>
        </w:numPr>
        <w:tabs>
          <w:tab w:val="left" w:pos="720"/>
        </w:tabs>
        <w:rPr>
          <w:rFonts w:ascii="Times New Roman" w:hAnsi="Times New Roman" w:cs="Times New Roman"/>
        </w:rPr>
      </w:pPr>
      <w:r>
        <w:rPr>
          <w:rFonts w:ascii="Times New Roman" w:hAnsi="Times New Roman" w:cs="Times New Roman"/>
        </w:rPr>
        <w:t xml:space="preserve">Študijno-pracovná návšteva </w:t>
      </w:r>
      <w:r w:rsidRPr="00743419">
        <w:rPr>
          <w:rFonts w:ascii="Times New Roman" w:hAnsi="Times New Roman" w:cs="Times New Roman"/>
        </w:rPr>
        <w:t>Európskeho dvora audítorov</w:t>
      </w:r>
      <w:r>
        <w:rPr>
          <w:rFonts w:ascii="Times New Roman" w:hAnsi="Times New Roman" w:cs="Times New Roman"/>
        </w:rPr>
        <w:t xml:space="preserve"> (Luxemburg - apríl 2007)</w:t>
      </w:r>
    </w:p>
    <w:p w:rsidR="00765D0F" w:rsidP="00765D0F">
      <w:pPr>
        <w:numPr>
          <w:ilvl w:val="0"/>
          <w:numId w:val="34"/>
        </w:numPr>
        <w:tabs>
          <w:tab w:val="left" w:pos="720"/>
        </w:tabs>
        <w:jc w:val="both"/>
        <w:rPr>
          <w:rFonts w:ascii="Times New Roman" w:hAnsi="Times New Roman" w:cs="Times New Roman"/>
        </w:rPr>
      </w:pPr>
      <w:r w:rsidRPr="00743419">
        <w:rPr>
          <w:rFonts w:ascii="Times New Roman" w:hAnsi="Times New Roman" w:cs="Times New Roman"/>
          <w:i/>
        </w:rPr>
        <w:t>Eurozóna - vzájomné zbližovanie alebo vzďaľovanie?</w:t>
      </w:r>
      <w:r w:rsidR="00743419">
        <w:rPr>
          <w:rFonts w:ascii="Times New Roman" w:hAnsi="Times New Roman" w:cs="Times New Roman"/>
          <w:i/>
        </w:rPr>
        <w:t xml:space="preserve"> -</w:t>
      </w:r>
      <w:r>
        <w:rPr>
          <w:rFonts w:ascii="Times New Roman" w:hAnsi="Times New Roman" w:cs="Times New Roman"/>
        </w:rPr>
        <w:t xml:space="preserve"> </w:t>
      </w:r>
      <w:r w:rsidR="00743419">
        <w:rPr>
          <w:rFonts w:ascii="Times New Roman" w:hAnsi="Times New Roman" w:cs="Times New Roman"/>
        </w:rPr>
        <w:t>m</w:t>
      </w:r>
      <w:r>
        <w:rPr>
          <w:rFonts w:ascii="Times New Roman" w:hAnsi="Times New Roman" w:cs="Times New Roman"/>
        </w:rPr>
        <w:t>edziparlamentné stretnutie (Brusel - február 2007)</w:t>
      </w:r>
    </w:p>
    <w:p w:rsidR="00765D0F" w:rsidP="00765D0F">
      <w:pPr>
        <w:numPr>
          <w:ilvl w:val="0"/>
          <w:numId w:val="34"/>
        </w:numPr>
        <w:tabs>
          <w:tab w:val="left" w:pos="720"/>
        </w:tabs>
        <w:jc w:val="both"/>
        <w:rPr>
          <w:rFonts w:ascii="Times New Roman" w:hAnsi="Times New Roman" w:cs="Times New Roman"/>
        </w:rPr>
      </w:pPr>
      <w:r>
        <w:rPr>
          <w:rFonts w:ascii="Times New Roman" w:hAnsi="Times New Roman" w:cs="Times New Roman"/>
        </w:rPr>
        <w:t xml:space="preserve">Tretie spoločné medziparlamentné stretnutie </w:t>
      </w:r>
      <w:r w:rsidRPr="00F01857">
        <w:rPr>
          <w:rFonts w:ascii="Times New Roman" w:hAnsi="Times New Roman" w:cs="Times New Roman"/>
          <w:i/>
        </w:rPr>
        <w:t>o budúcnosti Európy</w:t>
      </w:r>
      <w:r>
        <w:rPr>
          <w:rFonts w:ascii="Times New Roman" w:hAnsi="Times New Roman" w:cs="Times New Roman"/>
        </w:rPr>
        <w:t xml:space="preserve"> (Brusel - jún 2007)</w:t>
      </w:r>
    </w:p>
    <w:p w:rsidR="00765D0F" w:rsidP="00765D0F">
      <w:pPr>
        <w:numPr>
          <w:ilvl w:val="0"/>
          <w:numId w:val="34"/>
        </w:numPr>
        <w:tabs>
          <w:tab w:val="left" w:pos="720"/>
        </w:tabs>
        <w:rPr>
          <w:rFonts w:ascii="Times New Roman" w:hAnsi="Times New Roman" w:cs="Times New Roman"/>
        </w:rPr>
      </w:pPr>
      <w:r w:rsidRPr="00743419">
        <w:rPr>
          <w:rFonts w:ascii="Times New Roman" w:hAnsi="Times New Roman" w:cs="Times New Roman"/>
        </w:rPr>
        <w:t>Oslava Rímskych zmlúv</w:t>
      </w:r>
      <w:r>
        <w:rPr>
          <w:rFonts w:ascii="Times New Roman" w:hAnsi="Times New Roman" w:cs="Times New Roman"/>
        </w:rPr>
        <w:t xml:space="preserve"> (50´) (Florencia a Rím - marec 2007)</w:t>
      </w:r>
    </w:p>
    <w:p w:rsidR="00A5062D" w:rsidP="00986AA9">
      <w:pPr>
        <w:spacing w:after="120"/>
        <w:jc w:val="both"/>
        <w:rPr>
          <w:rFonts w:ascii="Times New Roman" w:hAnsi="Times New Roman" w:cs="Times New Roman"/>
        </w:rPr>
      </w:pPr>
    </w:p>
    <w:p w:rsidR="00F01857" w:rsidP="00986AA9">
      <w:pPr>
        <w:spacing w:after="120"/>
        <w:jc w:val="both"/>
        <w:rPr>
          <w:rFonts w:ascii="Times New Roman" w:hAnsi="Times New Roman" w:cs="Times New Roman"/>
        </w:rPr>
      </w:pPr>
    </w:p>
    <w:p w:rsidR="005F301A" w:rsidP="00986AA9">
      <w:pPr>
        <w:spacing w:after="120"/>
        <w:jc w:val="both"/>
        <w:rPr>
          <w:rFonts w:ascii="Times New Roman" w:hAnsi="Times New Roman" w:cs="Times New Roman"/>
        </w:rPr>
      </w:pPr>
    </w:p>
    <w:p w:rsidR="00E66E17" w:rsidP="00C360AE">
      <w:pPr>
        <w:pBdr>
          <w:bottom w:val="single" w:sz="12" w:space="1" w:color="auto"/>
        </w:pBdr>
        <w:spacing w:after="120"/>
        <w:jc w:val="center"/>
        <w:rPr>
          <w:rFonts w:ascii="Times New Roman" w:hAnsi="Times New Roman" w:cs="Times New Roman"/>
          <w:b/>
          <w:sz w:val="28"/>
          <w:szCs w:val="28"/>
        </w:rPr>
      </w:pPr>
      <w:r w:rsidR="00C360AE">
        <w:rPr>
          <w:rFonts w:ascii="Times New Roman" w:hAnsi="Times New Roman" w:cs="Times New Roman"/>
          <w:b/>
          <w:sz w:val="28"/>
          <w:szCs w:val="28"/>
        </w:rPr>
        <w:t>Prílohy</w:t>
      </w:r>
    </w:p>
    <w:p w:rsidR="00C360AE" w:rsidP="00C360AE">
      <w:pPr>
        <w:spacing w:after="120"/>
        <w:jc w:val="center"/>
        <w:rPr>
          <w:rFonts w:ascii="Times New Roman" w:hAnsi="Times New Roman" w:cs="Times New Roman"/>
          <w:b/>
          <w:sz w:val="28"/>
          <w:szCs w:val="28"/>
        </w:rPr>
      </w:pPr>
    </w:p>
    <w:p w:rsidR="006B3DB8" w:rsidP="00C360AE">
      <w:pPr>
        <w:spacing w:after="120"/>
        <w:jc w:val="center"/>
        <w:rPr>
          <w:rFonts w:ascii="Times New Roman" w:hAnsi="Times New Roman" w:cs="Times New Roman"/>
          <w:b/>
          <w:sz w:val="28"/>
          <w:szCs w:val="28"/>
        </w:rPr>
      </w:pPr>
    </w:p>
    <w:p w:rsidR="00C360AE" w:rsidRPr="00E66E17" w:rsidP="00C360AE">
      <w:pPr>
        <w:spacing w:after="120"/>
        <w:jc w:val="center"/>
        <w:rPr>
          <w:rFonts w:ascii="Times New Roman" w:hAnsi="Times New Roman" w:cs="Times New Roman"/>
          <w:b/>
          <w:sz w:val="28"/>
          <w:szCs w:val="28"/>
        </w:rPr>
      </w:pPr>
      <w:r>
        <w:rPr>
          <w:rFonts w:ascii="Times New Roman" w:hAnsi="Times New Roman" w:cs="Times New Roman"/>
          <w:b/>
          <w:sz w:val="28"/>
          <w:szCs w:val="28"/>
        </w:rPr>
        <w:t>Príloha č. 1</w:t>
      </w:r>
    </w:p>
    <w:p w:rsidR="00E66E17" w:rsidP="00A5062D">
      <w:pPr>
        <w:jc w:val="center"/>
        <w:rPr>
          <w:rFonts w:ascii="Times New Roman" w:hAnsi="Times New Roman" w:cs="Times New Roman"/>
          <w:b/>
          <w:sz w:val="28"/>
          <w:szCs w:val="28"/>
        </w:rPr>
      </w:pPr>
    </w:p>
    <w:p w:rsidR="00A5062D" w:rsidP="00A5062D">
      <w:pPr>
        <w:jc w:val="center"/>
        <w:rPr>
          <w:rFonts w:ascii="Times New Roman" w:hAnsi="Times New Roman" w:cs="Times New Roman"/>
          <w:b/>
          <w:sz w:val="28"/>
          <w:szCs w:val="28"/>
        </w:rPr>
      </w:pPr>
      <w:r w:rsidRPr="00456C52">
        <w:rPr>
          <w:rFonts w:ascii="Times New Roman" w:hAnsi="Times New Roman" w:cs="Times New Roman"/>
          <w:b/>
          <w:sz w:val="28"/>
          <w:szCs w:val="28"/>
        </w:rPr>
        <w:t>Politická stratégia na rok 2008</w:t>
      </w:r>
    </w:p>
    <w:p w:rsidR="00A5062D" w:rsidP="00A5062D">
      <w:pPr>
        <w:jc w:val="center"/>
        <w:rPr>
          <w:rFonts w:ascii="Times New Roman" w:hAnsi="Times New Roman" w:cs="Times New Roman"/>
          <w:b/>
          <w:sz w:val="28"/>
          <w:szCs w:val="28"/>
        </w:rPr>
      </w:pPr>
    </w:p>
    <w:p w:rsidR="00A5062D" w:rsidP="00A5062D">
      <w:pPr>
        <w:autoSpaceDE/>
        <w:autoSpaceDN/>
        <w:ind w:firstLine="708"/>
        <w:jc w:val="both"/>
        <w:rPr>
          <w:rFonts w:ascii="TimesNewRoman" w:hAnsi="TimesNewRoman" w:cs="TimesNewRoman"/>
          <w:sz w:val="20"/>
          <w:szCs w:val="20"/>
        </w:rPr>
      </w:pPr>
      <w:r>
        <w:rPr>
          <w:rFonts w:ascii="TimesNewRoman" w:hAnsi="TimesNewRoman" w:cs="TimesNewRoman"/>
        </w:rPr>
        <w:t>Európska únia uskutočňuje zdvojenú stratégiu, ktorú stanovila Európska komisia v máji minulého roku a ktorú podporuje Európska rada a Európsky parlament. EÚ sa presadzuje širokou škálou ambicióznych politík upozorňujúc našich občanov na to, aká podstatná pre uskutočňovanie ich túžob je v súčasnom svete európska dimenzia. Schopnosť Únie účinne konať zároveň podporuje paralelný proces v oblasti činností smerujúcich k ústavnej a inštitucionálnej dohode – k dohode, ktorá by spätne v budúcnosti priniesla efektívnejšiu a demokratickejšiu Európu.</w:t>
      </w:r>
    </w:p>
    <w:p w:rsidR="00A5062D" w:rsidP="00A5062D">
      <w:pPr>
        <w:jc w:val="both"/>
        <w:rPr>
          <w:rFonts w:ascii="Times New Roman" w:hAnsi="Times New Roman" w:cs="Times New Roman"/>
        </w:rPr>
      </w:pPr>
    </w:p>
    <w:p w:rsidR="00A5062D" w:rsidP="00A5062D">
      <w:pPr>
        <w:ind w:firstLine="708"/>
        <w:jc w:val="both"/>
        <w:rPr>
          <w:rFonts w:ascii="Times New Roman" w:hAnsi="Times New Roman" w:cs="Times New Roman"/>
        </w:rPr>
      </w:pPr>
      <w:r>
        <w:rPr>
          <w:rFonts w:ascii="Times New Roman" w:hAnsi="Times New Roman" w:cs="Times New Roman"/>
        </w:rPr>
        <w:t xml:space="preserve">Ročná politická stratégia Komisie zahŕňa kľúčové iniciatívy, ktoré sa majú uskutočniť v roku 2008. Z tohto dôvodu je tiež potrebné posilniť ľudské zdroje v rámci Komisie. V roku 2008 budú určite pokračovať diskusie o budúcnosti Európy – pozitívnym signálom pred budúcimi európskymi voľbami by určite bola konštruktívna inštitucionálna dohoda. </w:t>
      </w:r>
    </w:p>
    <w:p w:rsidR="00A5062D" w:rsidP="00A5062D">
      <w:pPr>
        <w:ind w:firstLine="708"/>
        <w:jc w:val="both"/>
        <w:rPr>
          <w:rFonts w:ascii="Times New Roman" w:hAnsi="Times New Roman" w:cs="Times New Roman"/>
        </w:rPr>
      </w:pPr>
    </w:p>
    <w:p w:rsidR="00A5062D" w:rsidP="00A5062D">
      <w:pPr>
        <w:ind w:firstLine="708"/>
        <w:jc w:val="both"/>
        <w:rPr>
          <w:rFonts w:ascii="Times New Roman" w:hAnsi="Times New Roman" w:cs="Times New Roman"/>
        </w:rPr>
      </w:pPr>
      <w:r>
        <w:rPr>
          <w:rFonts w:ascii="Times New Roman" w:hAnsi="Times New Roman" w:cs="Times New Roman"/>
        </w:rPr>
        <w:t>Nasledujúci rok bude tiež rokom konsolidácie a implementácie súčasných právnych predpisov a Komisia bude pokračovať v programe reforiem, aby sa zabezpečila moderná, efektívna, zodpovedná a transparentná administratíva, ktorá bude schopná komunikovať s európskymi občanmi a budovať medzi nimi dôveru.</w:t>
      </w:r>
    </w:p>
    <w:p w:rsidR="00A5062D" w:rsidP="00A5062D">
      <w:pPr>
        <w:ind w:firstLine="708"/>
        <w:jc w:val="both"/>
        <w:rPr>
          <w:rFonts w:ascii="Times New Roman" w:hAnsi="Times New Roman" w:cs="Times New Roman"/>
        </w:rPr>
      </w:pPr>
    </w:p>
    <w:p w:rsidR="00A5062D" w:rsidP="00A5062D">
      <w:pPr>
        <w:autoSpaceDE/>
        <w:autoSpaceDN/>
        <w:ind w:firstLine="708"/>
        <w:jc w:val="both"/>
        <w:rPr>
          <w:rFonts w:ascii="TimesNewRoman" w:hAnsi="TimesNewRoman" w:cs="TimesNewRoman"/>
          <w:sz w:val="20"/>
          <w:szCs w:val="20"/>
        </w:rPr>
      </w:pPr>
      <w:r>
        <w:rPr>
          <w:rFonts w:ascii="TimesNewRoman" w:hAnsi="TimesNewRoman" w:cs="TimesNewRoman"/>
        </w:rPr>
        <w:t>Hospodársky rast a pracovné miesta zostávajú pre Úniu hlavnou politickou prioritou, ktorú podporuje ďalšie úsilie pri riešení klimatických zmien a uspokojovaní energetických potrieb Únie dnes aj v budúcnosti. Rozvíjanie spoločnosti založenej na vedomostiach zostane základným kameňom tejto stratégie. Najnovšie rozšírenie EÚ zaznamená ďalšiu konsolidáciu, keď nové členské štáty postupne vstúpia do schengenského priestoru a prijmú euro. Komisia by mala plniť svoj záväzok zapájať sa do dialógu a konzultácií, uskutočňovať program v oblasti lepšej právnej úpravy a naďalej venovať pozornosť správnemu uplatňovaniu právnych predpisov EÚ.</w:t>
      </w:r>
    </w:p>
    <w:p w:rsidR="00A5062D" w:rsidP="00A5062D">
      <w:pPr>
        <w:autoSpaceDE/>
        <w:autoSpaceDN/>
        <w:ind w:firstLine="708"/>
        <w:jc w:val="both"/>
        <w:rPr>
          <w:rFonts w:ascii="TimesNewRoman" w:hAnsi="TimesNewRoman" w:cs="TimesNewRoman"/>
          <w:sz w:val="20"/>
          <w:szCs w:val="20"/>
        </w:rPr>
      </w:pPr>
    </w:p>
    <w:p w:rsidR="00A5062D" w:rsidP="00A5062D">
      <w:pPr>
        <w:autoSpaceDE/>
        <w:autoSpaceDN/>
        <w:ind w:firstLine="708"/>
        <w:jc w:val="both"/>
        <w:rPr>
          <w:rFonts w:ascii="TimesNewRoman" w:hAnsi="TimesNewRoman" w:cs="TimesNewRoman"/>
        </w:rPr>
      </w:pPr>
      <w:r>
        <w:rPr>
          <w:rFonts w:ascii="TimesNewRoman" w:hAnsi="TimesNewRoman" w:cs="TimesNewRoman"/>
        </w:rPr>
        <w:t>V niektorých oblastiach politiky budú potrebné nové inic</w:t>
      </w:r>
      <w:r>
        <w:rPr>
          <w:rFonts w:ascii="TimesNewRoman" w:hAnsi="TimesNewRoman" w:cs="TimesNewRoman"/>
        </w:rPr>
        <w:t>iatívy.  Komisia od svojho nástupu do funkcie otvorila široký okruh konzultácií a politický dialóg, vrátane preskúmania jednotného trhu a zhodnotenia sociálnej situácie. Týmto preskúmaním sa zabezpečí, aby bol jednotný trh naďalej hospodársky úspešný a aby z neho mali občania skutočný prospech. Zhodnotenie zase preskúmaním sociodemografických trendov poskytne prehľad o sociálnej situácii v EÚ a o prístupe občanov k právam a príležitostiam a bude prínosom pre priebežné hodnotenie sociálneho programu.</w:t>
      </w:r>
    </w:p>
    <w:p w:rsidR="00A5062D" w:rsidP="00A5062D">
      <w:pPr>
        <w:autoSpaceDE/>
        <w:autoSpaceDN/>
        <w:ind w:firstLine="708"/>
        <w:jc w:val="both"/>
        <w:rPr>
          <w:rFonts w:ascii="TimesNewRoman" w:hAnsi="TimesNewRoman" w:cs="TimesNewRoman"/>
        </w:rPr>
      </w:pPr>
    </w:p>
    <w:p w:rsidR="00A5062D" w:rsidP="00A5062D">
      <w:pPr>
        <w:autoSpaceDE/>
        <w:autoSpaceDN/>
        <w:ind w:firstLine="708"/>
        <w:jc w:val="both"/>
        <w:rPr>
          <w:rFonts w:ascii="TimesNewRoman" w:hAnsi="TimesNewRoman" w:cs="TimesNewRoman"/>
          <w:sz w:val="20"/>
          <w:szCs w:val="20"/>
        </w:rPr>
      </w:pPr>
      <w:r>
        <w:rPr>
          <w:rFonts w:ascii="TimesNewRoman" w:hAnsi="TimesNewRoman" w:cs="TimesNewRoman"/>
        </w:rPr>
        <w:t>Európs</w:t>
      </w:r>
      <w:r>
        <w:rPr>
          <w:rFonts w:ascii="TimesNewRoman" w:hAnsi="TimesNewRoman" w:cs="TimesNewRoman"/>
        </w:rPr>
        <w:t>ka komisia prehĺbi aj prípravne práce na komplexnom preskúmaní rozpočtu a analýze výsledkov konzultácií, ktoré sa začali v roku 2007, s cieľom vydať dokument z tohto preskúmania v rokoch 2008 – 2009.</w:t>
      </w:r>
    </w:p>
    <w:p w:rsidR="00A5062D" w:rsidP="00A5062D">
      <w:pPr>
        <w:autoSpaceDE/>
        <w:autoSpaceDN/>
        <w:ind w:firstLine="708"/>
        <w:jc w:val="both"/>
        <w:rPr>
          <w:rFonts w:ascii="TimesNewRoman" w:hAnsi="TimesNewRoman" w:cs="TimesNewRoman"/>
          <w:sz w:val="20"/>
          <w:szCs w:val="20"/>
        </w:rPr>
      </w:pPr>
    </w:p>
    <w:p w:rsidR="006B3DB8" w:rsidP="00A5062D">
      <w:pPr>
        <w:autoSpaceDE/>
        <w:autoSpaceDN/>
        <w:ind w:firstLine="708"/>
        <w:jc w:val="both"/>
        <w:rPr>
          <w:rFonts w:ascii="TimesNewRoman" w:hAnsi="TimesNewRoman" w:cs="TimesNewRoman"/>
          <w:sz w:val="20"/>
          <w:szCs w:val="20"/>
        </w:rPr>
      </w:pPr>
    </w:p>
    <w:p w:rsidR="006B3DB8" w:rsidP="00A5062D">
      <w:pPr>
        <w:autoSpaceDE/>
        <w:autoSpaceDN/>
        <w:ind w:firstLine="708"/>
        <w:jc w:val="both"/>
        <w:rPr>
          <w:rFonts w:ascii="TimesNewRoman" w:hAnsi="TimesNewRoman" w:cs="TimesNewRoman"/>
          <w:sz w:val="20"/>
          <w:szCs w:val="20"/>
        </w:rPr>
      </w:pPr>
    </w:p>
    <w:p w:rsidR="006B3DB8" w:rsidP="00A5062D">
      <w:pPr>
        <w:autoSpaceDE/>
        <w:autoSpaceDN/>
        <w:ind w:firstLine="708"/>
        <w:jc w:val="both"/>
        <w:rPr>
          <w:rFonts w:ascii="TimesNewRoman" w:hAnsi="TimesNewRoman" w:cs="TimesNewRoman"/>
          <w:sz w:val="20"/>
          <w:szCs w:val="20"/>
        </w:rPr>
      </w:pPr>
    </w:p>
    <w:p w:rsidR="00A5062D" w:rsidP="00A5062D">
      <w:pPr>
        <w:ind w:firstLine="708"/>
        <w:jc w:val="center"/>
        <w:rPr>
          <w:rFonts w:ascii="Times New Roman" w:hAnsi="Times New Roman" w:cs="Times New Roman"/>
          <w:b/>
        </w:rPr>
      </w:pPr>
      <w:r w:rsidRPr="00A6703F">
        <w:rPr>
          <w:rFonts w:ascii="Times New Roman" w:hAnsi="Times New Roman" w:cs="Times New Roman"/>
          <w:b/>
        </w:rPr>
        <w:t>Prioritné činnosti v roku 2008</w:t>
      </w:r>
    </w:p>
    <w:p w:rsidR="00A5062D" w:rsidP="00A5062D">
      <w:pPr>
        <w:ind w:firstLine="708"/>
        <w:jc w:val="center"/>
        <w:rPr>
          <w:rFonts w:ascii="Times New Roman" w:hAnsi="Times New Roman" w:cs="Times New Roman"/>
          <w:b/>
        </w:rPr>
      </w:pPr>
    </w:p>
    <w:p w:rsidR="00A5062D" w:rsidP="00A5062D">
      <w:pPr>
        <w:autoSpaceDE/>
        <w:autoSpaceDN/>
        <w:ind w:firstLine="708"/>
        <w:jc w:val="both"/>
        <w:rPr>
          <w:rFonts w:ascii="TimesNewRoman" w:hAnsi="TimesNewRoman" w:cs="TimesNewRoman"/>
        </w:rPr>
      </w:pPr>
      <w:r>
        <w:rPr>
          <w:rFonts w:ascii="TimesNewRoman" w:hAnsi="TimesNewRoman" w:cs="TimesNewRoman"/>
        </w:rPr>
        <w:t xml:space="preserve">Hoci sa Komisia naďalej prísne zameriava na implementáciu strategických cieľov, musí byť ostražitá a pripravená dynamicky reagovať na nové výzvy. Niektoré otázky sa dotýkajú všetkých štyroch strategických cieľov a prispievajú k dosiahnutiu niekoľkých alebo všetkých týchto cieľov - hlavnými príkladmi sú energetika a klimatické zmeny, Lisabonská agenda pre rast a zamestnanosť a migrácia. Pri plnení týchto výziev sa Komisia snaží reagovať koherentným a flexibilným spôsobom tak, že spolupracuje so všetkými svojimi útvarmi, navrhuje koherentné politiky, ktoré prechádzajú cez tradičné hranice, a v plnej miere využíva širokú škálu nástrojov finančnej a regulačnej politiky. </w:t>
      </w:r>
    </w:p>
    <w:p w:rsidR="00A5062D" w:rsidP="00A5062D">
      <w:pPr>
        <w:autoSpaceDE/>
        <w:autoSpaceDN/>
        <w:rPr>
          <w:rFonts w:ascii="TimesNewRoman" w:hAnsi="TimesNewRoman" w:cs="TimesNewRoman"/>
        </w:rPr>
      </w:pPr>
    </w:p>
    <w:p w:rsidR="00A5062D" w:rsidP="00A5062D">
      <w:pPr>
        <w:autoSpaceDE/>
        <w:autoSpaceDN/>
        <w:ind w:firstLine="708"/>
        <w:jc w:val="both"/>
        <w:rPr>
          <w:rFonts w:ascii="TimesNewRoman" w:hAnsi="TimesNewRoman" w:cs="TimesNewRoman"/>
        </w:rPr>
      </w:pPr>
      <w:r>
        <w:rPr>
          <w:rFonts w:ascii="TimesNewRoman,Bold" w:hAnsi="TimesNewRoman,Bold" w:cs="TimesNewRoman,Bold"/>
          <w:b/>
          <w:bCs/>
        </w:rPr>
        <w:t xml:space="preserve">Riešenie klimatických zmien </w:t>
      </w:r>
      <w:r>
        <w:rPr>
          <w:rFonts w:ascii="TimesNewRoman" w:hAnsi="TimesNewRoman" w:cs="TimesNewRoman"/>
        </w:rPr>
        <w:t xml:space="preserve">sa dostalo do popredia a bude neoddeliteľnou súčasťou priorít  Komisie v roku 2008 s cieľom zabezpečiť trvalú prosperitu pre Európu. Kľúčovým faktorom pri zabezpečovaní trvalo udržateľného hospodárskeho rastu je </w:t>
      </w:r>
      <w:r>
        <w:rPr>
          <w:rFonts w:ascii="TimesNewRoman,Bold" w:hAnsi="TimesNewRoman,Bold" w:cs="TimesNewRoman,Bold"/>
          <w:b/>
          <w:bCs/>
        </w:rPr>
        <w:t xml:space="preserve">trvalo udržateľná, bezpečná a konkurencieschopná energetika </w:t>
      </w:r>
      <w:r>
        <w:rPr>
          <w:rFonts w:ascii="TimesNewRoman" w:hAnsi="TimesNewRoman" w:cs="TimesNewRoman"/>
        </w:rPr>
        <w:t>v celej Únii založená na vhodnej kombinácii trvalo udržateľných energetických zdrojov. Rok 2008 bude rozhodujúcim rokom pre dosiahnutie pokroku, pokiaľ ide o balík opatrení v oblasti energetiky a klimatických zmien, ktorý prijala Komisia začiatkom roku 2007. Hlavné činnosti by mali zahŕňať prácu na vytvorení európskej siete plynovodov a európskej rozvodnej siete elektrickej energie, ďalšie kroky pri zvyšovaní energetickej efektívnosti a trvalo udržateľnej energetiky, revíziu systému ropných zásob EÚ s cieľom podnietiť energetickú solidaritu medzi iniciatívami členských štátov vyplývajúcimi z európskeho strategického plánu pre energetické technológie a presadzovanie pravidiel hospodárskej súťaže a vnútorného trhu v odvetví energetiky. EÚ by mala naďalej zohrávať vedúcu úlohu pri prispôsobovaní sa klimatickým zmenám a pri ich obmedzovaní. Komisia bude presadzovať, aby Únia a kľúčové zainteresované strany na celom svete prevzali nové záväzky pri znižovaní emisií CO</w:t>
      </w:r>
      <w:r>
        <w:rPr>
          <w:rFonts w:ascii="TimesNewRoman" w:hAnsi="TimesNewRoman" w:cs="TimesNewRoman"/>
          <w:sz w:val="16"/>
          <w:szCs w:val="16"/>
        </w:rPr>
        <w:t xml:space="preserve">2 </w:t>
      </w:r>
      <w:r>
        <w:rPr>
          <w:rFonts w:ascii="TimesNewRoman" w:hAnsi="TimesNewRoman" w:cs="TimesNewRoman"/>
        </w:rPr>
        <w:t xml:space="preserve">po roku 2012, keď sa skončí platnosť Kjótskeho protokolu. EÚ by mala taktiež využiť svoju vedúcu úlohu na vystupňovanie medzinárodného tlaku na globálne zmeny. </w:t>
      </w:r>
    </w:p>
    <w:p w:rsidR="00A5062D" w:rsidP="00A5062D">
      <w:pPr>
        <w:autoSpaceDE/>
        <w:autoSpaceDN/>
        <w:rPr>
          <w:rFonts w:ascii="TimesNewRoman" w:hAnsi="TimesNewRoman" w:cs="TimesNewRoman"/>
        </w:rPr>
      </w:pPr>
    </w:p>
    <w:p w:rsidR="00A5062D" w:rsidP="00A5062D">
      <w:pPr>
        <w:autoSpaceDE/>
        <w:autoSpaceDN/>
        <w:ind w:firstLine="708"/>
        <w:jc w:val="both"/>
        <w:rPr>
          <w:rFonts w:ascii="TimesNewRoman" w:hAnsi="TimesNewRoman" w:cs="TimesNewRoman"/>
        </w:rPr>
      </w:pPr>
      <w:r>
        <w:rPr>
          <w:rFonts w:ascii="TimesNewRoman" w:hAnsi="TimesNewRoman" w:cs="TimesNewRoman"/>
        </w:rPr>
        <w:t xml:space="preserve">Obnovená </w:t>
      </w:r>
      <w:r>
        <w:rPr>
          <w:rFonts w:ascii="TimesNewRoman,Bold" w:hAnsi="TimesNewRoman,Bold" w:cs="TimesNewRoman,Bold"/>
          <w:b/>
          <w:bCs/>
        </w:rPr>
        <w:t xml:space="preserve">Lisabonská stratégia pre rast a zamestnanosť </w:t>
      </w:r>
      <w:r>
        <w:rPr>
          <w:rFonts w:ascii="TimesNewRoman" w:hAnsi="TimesNewRoman" w:cs="TimesNewRoman"/>
        </w:rPr>
        <w:t>zostáva hlavným prostriedkom na podporu prosperujúcej, sociálne inkluzívnej a z hľadiska životného prostredia zodpovednej Európskej únie založenej na partnerstve s členskými štátmi. Komisia predloží koncom roka 2007 strategickú správu o prvom cykle tejto stratégie a v roku 2008 budú známe prvé výsledky ďalšieho úsilia o implementáciu Lisabonskej stratégie na regionálnej úrovni prostredníctvom nových programov európskej kohéznej politiky a nových programov politiky rozvoja vidieka pre všetky členské štáty EÚ, ktoré sa majú prijať v roku 2007.</w:t>
      </w:r>
    </w:p>
    <w:p w:rsidR="00A5062D" w:rsidP="00A5062D">
      <w:pPr>
        <w:autoSpaceDE/>
        <w:autoSpaceDN/>
        <w:ind w:firstLine="708"/>
        <w:jc w:val="both"/>
        <w:rPr>
          <w:rFonts w:ascii="TimesNewRoman" w:hAnsi="TimesNewRoman" w:cs="TimesNewRoman"/>
        </w:rPr>
      </w:pPr>
      <w:r>
        <w:rPr>
          <w:rFonts w:ascii="TimesNewRoman,Bold" w:hAnsi="TimesNewRoman,Bold" w:cs="TimesNewRoman,Bold"/>
          <w:b/>
          <w:bCs/>
        </w:rPr>
        <w:t xml:space="preserve">Riadenie migračných tokov do EÚ </w:t>
      </w:r>
      <w:r>
        <w:rPr>
          <w:rFonts w:ascii="TimesNewRoman" w:hAnsi="TimesNewRoman" w:cs="TimesNewRoman"/>
        </w:rPr>
        <w:t>si vyžaduje viacrozmerný prístup. Migrácia za prácou, ak je dobre riadená, je pozitívnym príspevkom k prosperite a kultúrnej rozmanitosti Európy. Právo požiadať o azyl v EÚ je výrazom európskych hodnôt solidarity. Spoločný európsky azylový systém by mal byť vytvorený do roku 2010. Komisia bude ďalej pracovať na vonkajšej dimenzii prostredníctvom kombinovaného migračného a rozvojového programu, najmä s Afrikou.</w:t>
      </w:r>
    </w:p>
    <w:p w:rsidR="00A5062D" w:rsidP="00A5062D">
      <w:pPr>
        <w:jc w:val="both"/>
        <w:rPr>
          <w:rFonts w:ascii="Times New Roman" w:hAnsi="Times New Roman" w:cs="Times New Roman"/>
        </w:rPr>
      </w:pPr>
    </w:p>
    <w:p w:rsidR="00A5062D" w:rsidRPr="006B3DB8" w:rsidP="00A5062D">
      <w:pPr>
        <w:jc w:val="both"/>
        <w:rPr>
          <w:rFonts w:ascii="Times New Roman" w:hAnsi="Times New Roman" w:cs="Times New Roman"/>
          <w:sz w:val="23"/>
          <w:szCs w:val="23"/>
        </w:rPr>
      </w:pPr>
      <w:r>
        <w:rPr>
          <w:rFonts w:ascii="Times New Roman" w:hAnsi="Times New Roman" w:cs="Times New Roman"/>
        </w:rPr>
        <w:tab/>
      </w:r>
      <w:r w:rsidRPr="006B3DB8">
        <w:rPr>
          <w:rFonts w:ascii="Times New Roman" w:hAnsi="Times New Roman" w:cs="Times New Roman"/>
          <w:sz w:val="23"/>
          <w:szCs w:val="23"/>
        </w:rPr>
        <w:t>6 oblastí prioritných činností na rok 2008:</w:t>
      </w:r>
    </w:p>
    <w:p w:rsidR="005F301A" w:rsidRPr="006B3DB8" w:rsidP="00A5062D">
      <w:pPr>
        <w:jc w:val="both"/>
        <w:rPr>
          <w:rFonts w:ascii="Times New Roman" w:hAnsi="Times New Roman" w:cs="Times New Roman"/>
          <w:sz w:val="23"/>
          <w:szCs w:val="23"/>
        </w:rPr>
      </w:pP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1.</w:t>
        <w:tab/>
        <w:t>Prosperita</w:t>
      </w: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2.</w:t>
        <w:tab/>
        <w:t>Solidarita</w:t>
      </w: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3.</w:t>
        <w:tab/>
        <w:t>Bezpečnosť a sloboda</w:t>
      </w: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4.</w:t>
        <w:tab/>
        <w:t>Európa ako svetový partner</w:t>
      </w: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 xml:space="preserve">5. </w:t>
        <w:tab/>
        <w:t>Lepšia regulácia</w:t>
      </w:r>
    </w:p>
    <w:p w:rsidR="00A5062D" w:rsidRPr="006B3DB8" w:rsidP="00A5062D">
      <w:pPr>
        <w:jc w:val="both"/>
        <w:rPr>
          <w:rFonts w:ascii="Times New Roman" w:hAnsi="Times New Roman" w:cs="Times New Roman"/>
          <w:sz w:val="23"/>
          <w:szCs w:val="23"/>
        </w:rPr>
      </w:pPr>
      <w:r w:rsidRPr="006B3DB8">
        <w:rPr>
          <w:rFonts w:ascii="Times New Roman" w:hAnsi="Times New Roman" w:cs="Times New Roman"/>
          <w:sz w:val="23"/>
          <w:szCs w:val="23"/>
        </w:rPr>
        <w:t>6.</w:t>
        <w:tab/>
        <w:t>Zlepšovanie komunikácie a komunikačné priority na rok 2008</w:t>
      </w:r>
    </w:p>
    <w:p w:rsidR="00A5062D" w:rsidP="00A5062D">
      <w:pPr>
        <w:autoSpaceDE/>
        <w:autoSpaceDN/>
        <w:rPr>
          <w:rFonts w:ascii="TimesNewRoman,Bold" w:hAnsi="TimesNewRoman,Bold" w:cs="TimesNewRoman,Bold"/>
          <w:b/>
          <w:bCs/>
        </w:rPr>
      </w:pPr>
      <w:r>
        <w:rPr>
          <w:rFonts w:ascii="TimesNewRoman,Bold" w:hAnsi="TimesNewRoman,Bold" w:cs="TimesNewRoman,Bold"/>
          <w:b/>
          <w:bCs/>
        </w:rPr>
        <w:t>1.</w:t>
        <w:tab/>
        <w:t>Prosperita: kľúčové činnosti plánované na rok 2008</w:t>
      </w:r>
    </w:p>
    <w:p w:rsidR="00A5062D" w:rsidP="00A5062D">
      <w:pPr>
        <w:autoSpaceDE/>
        <w:autoSpaceDN/>
        <w:rPr>
          <w:rFonts w:ascii="TimesNewRoman,BoldItalic" w:hAnsi="TimesNewRoman,BoldItalic" w:cs="TimesNewRoman,BoldItalic"/>
          <w:b/>
          <w:bCs/>
          <w:i/>
          <w:iCs/>
        </w:rPr>
      </w:pP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Lisabonská stratégia pre rast a zamestnanosť</w:t>
      </w:r>
    </w:p>
    <w:p w:rsidR="00A5062D" w:rsidP="00A5062D">
      <w:pPr>
        <w:autoSpaceDE/>
        <w:autoSpaceDN/>
        <w:rPr>
          <w:rFonts w:ascii="TimesNewRoman" w:hAnsi="TimesNewRoman" w:cs="TimesNewRoman"/>
        </w:rPr>
      </w:pPr>
      <w:r>
        <w:rPr>
          <w:rFonts w:ascii="TimesNewRoman" w:hAnsi="TimesNewRoman" w:cs="TimesNewRoman"/>
        </w:rPr>
        <w:t>• Strategická správa o prvom cykle obnovenej Lisabonskej stratégie a následné opatrenia</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Energetika a doprava:</w:t>
      </w:r>
    </w:p>
    <w:p w:rsidR="00A5062D" w:rsidP="00A5062D">
      <w:pPr>
        <w:autoSpaceDE/>
        <w:autoSpaceDN/>
        <w:jc w:val="both"/>
        <w:rPr>
          <w:rFonts w:ascii="TimesNewRoman" w:hAnsi="TimesNewRoman" w:cs="TimesNewRoman"/>
        </w:rPr>
      </w:pPr>
      <w:r>
        <w:rPr>
          <w:rFonts w:ascii="TimesNewRoman" w:hAnsi="TimesNewRoman" w:cs="TimesNewRoman"/>
        </w:rPr>
        <w:t>• Implementác</w:t>
      </w:r>
      <w:r>
        <w:rPr>
          <w:rFonts w:ascii="TimesNewRoman" w:hAnsi="TimesNewRoman" w:cs="TimesNewRoman"/>
        </w:rPr>
        <w:t>ia balíka opatrení v oblasti energetiky a klimatických zmien a následné opatrenia</w:t>
      </w:r>
    </w:p>
    <w:p w:rsidR="00A5062D" w:rsidP="00A5062D">
      <w:pPr>
        <w:autoSpaceDE/>
        <w:autoSpaceDN/>
        <w:jc w:val="both"/>
        <w:rPr>
          <w:rFonts w:ascii="TimesNewRoman" w:hAnsi="TimesNewRoman" w:cs="TimesNewRoman"/>
        </w:rPr>
      </w:pPr>
      <w:r>
        <w:rPr>
          <w:rFonts w:ascii="TimesNewRoman" w:hAnsi="TimesNewRoman" w:cs="TimesNewRoman"/>
        </w:rPr>
        <w:t>• Začiatok implementácie opatrení potrebných na vytvorenie európskej siete plynovodov a európskej rozvodnej siete elektrickej energie</w:t>
      </w:r>
    </w:p>
    <w:p w:rsidR="00A5062D" w:rsidP="00A5062D">
      <w:pPr>
        <w:autoSpaceDE/>
        <w:autoSpaceDN/>
        <w:jc w:val="both"/>
        <w:rPr>
          <w:rFonts w:ascii="TimesNewRoman" w:hAnsi="TimesNewRoman" w:cs="TimesNewRoman"/>
        </w:rPr>
      </w:pPr>
      <w:r>
        <w:rPr>
          <w:rFonts w:ascii="TimesNewRoman" w:hAnsi="TimesNewRoman" w:cs="TimesNewRoman"/>
        </w:rPr>
        <w:t>• Iniciatívy vyplývajúce z európskeho strategického plánu pre energetické technológie, najmä pokiaľ ide o obnoviteľné zdroje energií, trvalo udržateľné technológie v oblasti uhlia a riadenie jadrového odpadu.</w:t>
      </w:r>
    </w:p>
    <w:p w:rsidR="00A5062D" w:rsidP="00A5062D">
      <w:pPr>
        <w:autoSpaceDE/>
        <w:autoSpaceDN/>
        <w:rPr>
          <w:rFonts w:ascii="TimesNewRoman" w:hAnsi="TimesNewRoman" w:cs="TimesNewRoman"/>
        </w:rPr>
      </w:pPr>
      <w:r>
        <w:rPr>
          <w:rFonts w:ascii="TimesNewRoman" w:hAnsi="TimesNewRoman" w:cs="TimesNewRoman"/>
        </w:rPr>
        <w:t>• Revízia systému ropných zásob EÚ</w:t>
      </w:r>
    </w:p>
    <w:p w:rsidR="00A5062D" w:rsidP="00A5062D">
      <w:pPr>
        <w:autoSpaceDE/>
        <w:autoSpaceDN/>
        <w:rPr>
          <w:rFonts w:ascii="TimesNewRoman" w:hAnsi="TimesNewRoman" w:cs="TimesNewRoman"/>
        </w:rPr>
      </w:pPr>
      <w:r>
        <w:rPr>
          <w:rFonts w:ascii="TimesNewRoman" w:hAnsi="TimesNewRoman" w:cs="TimesNewRoman"/>
        </w:rPr>
        <w:t>• Akčný plán mestskej dopravy EÚ s cieľom „zozeleniť“ odvetvie dopravy</w:t>
      </w:r>
    </w:p>
    <w:p w:rsidR="00A5062D" w:rsidP="00A5062D">
      <w:pPr>
        <w:autoSpaceDE/>
        <w:autoSpaceDN/>
        <w:rPr>
          <w:rFonts w:ascii="TimesNewRoman" w:hAnsi="TimesNewRoman" w:cs="TimesNewRoman"/>
        </w:rPr>
      </w:pPr>
      <w:r>
        <w:rPr>
          <w:rFonts w:ascii="TimesNewRoman" w:hAnsi="TimesNewRoman" w:cs="TimesNewRoman"/>
        </w:rPr>
        <w:t>• Legislatívny návrh na obmedzenie emisií oxidu dusíka (NOx) v letectve</w:t>
      </w:r>
    </w:p>
    <w:p w:rsidR="00A5062D" w:rsidP="00A5062D">
      <w:pPr>
        <w:autoSpaceDE/>
        <w:autoSpaceDN/>
        <w:rPr>
          <w:rFonts w:ascii="TimesNewRoman" w:hAnsi="TimesNewRoman" w:cs="TimesNewRoman"/>
        </w:rPr>
      </w:pPr>
      <w:r>
        <w:rPr>
          <w:rFonts w:ascii="TimesNewRoman" w:hAnsi="TimesNewRoman" w:cs="TimesNewRoman"/>
        </w:rPr>
        <w:t>• Legislatívny návrh na zníženie emisií z lodí</w:t>
      </w:r>
    </w:p>
    <w:p w:rsidR="00A5062D" w:rsidP="00A5062D">
      <w:pPr>
        <w:autoSpaceDE/>
        <w:autoSpaceDN/>
        <w:rPr>
          <w:rFonts w:ascii="TimesNewRoman" w:hAnsi="TimesNewRoman" w:cs="TimesNewRoman"/>
        </w:rPr>
      </w:pPr>
      <w:r>
        <w:rPr>
          <w:rFonts w:ascii="TimesNewRoman" w:hAnsi="TimesNewRoman" w:cs="TimesNewRoman"/>
        </w:rPr>
        <w:t>• Biela kniha o spoločnom európskom námornom priestore na podporu námornej dopravy</w:t>
      </w:r>
    </w:p>
    <w:p w:rsidR="00A5062D" w:rsidP="00A5062D">
      <w:pPr>
        <w:autoSpaceDE/>
        <w:autoSpaceDN/>
        <w:jc w:val="both"/>
        <w:rPr>
          <w:rFonts w:ascii="TimesNewRoman" w:hAnsi="TimesNewRoman" w:cs="TimesNewRoman"/>
        </w:rPr>
      </w:pPr>
      <w:r>
        <w:rPr>
          <w:rFonts w:ascii="TimesNewRoman" w:hAnsi="TimesNewRoman" w:cs="TimesNewRoman"/>
        </w:rPr>
        <w:t>• Posilnenie agentúr pre bezpečnosť dopravy s cieľom dopracovať pravidlá dopravnej bezpečnosti</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Globálny prístup k migrácii</w:t>
      </w:r>
    </w:p>
    <w:p w:rsidR="00A5062D" w:rsidP="00A5062D">
      <w:pPr>
        <w:autoSpaceDE/>
        <w:autoSpaceDN/>
        <w:jc w:val="both"/>
        <w:rPr>
          <w:rFonts w:ascii="TimesNewRoman" w:hAnsi="TimesNewRoman" w:cs="TimesNewRoman"/>
        </w:rPr>
      </w:pPr>
      <w:r>
        <w:rPr>
          <w:rFonts w:ascii="TimesNewRoman" w:hAnsi="TimesNewRoman" w:cs="TimesNewRoman"/>
        </w:rPr>
        <w:t>• Smernice týkajúce sa migrácie za prácou, podmienok vstupu a pobytu sezónnych pracovníkov a odmeňovaných stážistov</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Vzdelávanie, výskum a inovácie</w:t>
      </w:r>
    </w:p>
    <w:p w:rsidR="00A5062D" w:rsidP="00A5062D">
      <w:pPr>
        <w:autoSpaceDE/>
        <w:autoSpaceDN/>
        <w:jc w:val="both"/>
        <w:rPr>
          <w:rFonts w:ascii="TimesNewRoman" w:hAnsi="TimesNewRoman" w:cs="TimesNewRoman"/>
        </w:rPr>
      </w:pPr>
      <w:r>
        <w:rPr>
          <w:rFonts w:ascii="TimesNewRoman" w:hAnsi="TimesNewRoman" w:cs="TimesNewRoman"/>
        </w:rPr>
        <w:t>• Zriadenie výkonných agentúr s cieľom plne uviesť to činnosti Európsku radu pre výskum (ERV) a optimalizovať implementáciu činností RP7</w:t>
      </w:r>
    </w:p>
    <w:p w:rsidR="00A5062D" w:rsidP="00A5062D">
      <w:pPr>
        <w:autoSpaceDE/>
        <w:autoSpaceDN/>
        <w:jc w:val="both"/>
        <w:rPr>
          <w:rFonts w:ascii="TimesNewRoman" w:hAnsi="TimesNewRoman" w:cs="TimesNewRoman"/>
        </w:rPr>
      </w:pPr>
      <w:r>
        <w:rPr>
          <w:rFonts w:ascii="TimesNewRoman" w:hAnsi="TimesNewRoman" w:cs="TimesNewRoman"/>
        </w:rPr>
        <w:t>• Prípravné činnosti – menovanie riadiacej rady a výber prvých znalostných a inovačných spoločenstiev (ZIC) – s cieľom uviesť do činnosti Európsky technologický inštitút (EIT)</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Jednotný trh</w:t>
      </w:r>
    </w:p>
    <w:p w:rsidR="00A5062D" w:rsidP="00A5062D">
      <w:pPr>
        <w:autoSpaceDE/>
        <w:autoSpaceDN/>
        <w:rPr>
          <w:rFonts w:ascii="TimesNewRoman" w:hAnsi="TimesNewRoman" w:cs="TimesNewRoman"/>
        </w:rPr>
      </w:pPr>
      <w:r>
        <w:rPr>
          <w:rFonts w:ascii="TimesNewRoman" w:hAnsi="TimesNewRoman" w:cs="TimesNewRoman"/>
        </w:rPr>
        <w:t>• Legislatívne a iné návrhy vyplývajúce zo záverov preskúmania jednotného trhu</w:t>
      </w:r>
    </w:p>
    <w:p w:rsidR="00A5062D" w:rsidP="00A5062D">
      <w:pPr>
        <w:autoSpaceDE/>
        <w:autoSpaceDN/>
        <w:rPr>
          <w:rFonts w:ascii="TimesNewRoman" w:hAnsi="TimesNewRoman" w:cs="TimesNewRoman"/>
        </w:rPr>
      </w:pPr>
      <w:r>
        <w:rPr>
          <w:rFonts w:ascii="TimesNewRoman" w:hAnsi="TimesNewRoman" w:cs="TimesNewRoman"/>
        </w:rPr>
        <w:t>• Opatrenia vyplývajúce z novej stratégie EÚ v oblasti patentov</w:t>
      </w:r>
    </w:p>
    <w:p w:rsidR="00A5062D" w:rsidP="00A5062D">
      <w:pPr>
        <w:autoSpaceDE/>
        <w:autoSpaceDN/>
        <w:jc w:val="both"/>
        <w:rPr>
          <w:rFonts w:ascii="TimesNewRoman" w:hAnsi="TimesNewRoman" w:cs="TimesNewRoman"/>
        </w:rPr>
      </w:pPr>
      <w:r>
        <w:rPr>
          <w:rFonts w:ascii="TimesNewRoman" w:hAnsi="TimesNewRoman" w:cs="TimesNewRoman"/>
        </w:rPr>
        <w:t>• Návrh umožňujúci podnikom využívať spoločný konsolidovaný základ dane z príjmu právnických osôb (CCCTB) pri činnostiach v celej EÚ</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Hospodárska a menová únia</w:t>
      </w:r>
    </w:p>
    <w:p w:rsidR="00A5062D" w:rsidP="00A5062D">
      <w:pPr>
        <w:autoSpaceDE/>
        <w:autoSpaceDN/>
        <w:rPr>
          <w:rFonts w:ascii="TimesNewRoman" w:hAnsi="TimesNewRoman" w:cs="TimesNewRoman"/>
        </w:rPr>
      </w:pPr>
      <w:r>
        <w:rPr>
          <w:rFonts w:ascii="TimesNewRoman" w:hAnsi="TimesNewRoman" w:cs="TimesNewRoman"/>
        </w:rPr>
        <w:t>• Strategické preskúmanie EMU po 10 rokoch a návrhy na zlepšenie jej fungovania</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Posilnenie dôvery spotrebiteľa a ochrany spotrebiteľa</w:t>
      </w:r>
    </w:p>
    <w:p w:rsidR="00A5062D" w:rsidP="00A5062D">
      <w:pPr>
        <w:autoSpaceDE/>
        <w:autoSpaceDN/>
        <w:rPr>
          <w:rFonts w:ascii="TimesNewRoman" w:hAnsi="TimesNewRoman" w:cs="TimesNewRoman"/>
        </w:rPr>
      </w:pPr>
      <w:r>
        <w:rPr>
          <w:rFonts w:ascii="TimesNewRoman" w:hAnsi="TimesNewRoman" w:cs="TimesNewRoman"/>
        </w:rPr>
        <w:t>• Legislatívne iniciatívy na posilnenie ochrany spotrebiteľa, napr. pokiaľ ide o zmluvné práva a odškodňovanie spotrebiteľov</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Námorná politika a monitorovanie</w:t>
      </w:r>
    </w:p>
    <w:p w:rsidR="00A5062D" w:rsidP="00A5062D">
      <w:pPr>
        <w:autoSpaceDE/>
        <w:autoSpaceDN/>
        <w:rPr>
          <w:rFonts w:ascii="TimesNewRoman" w:hAnsi="TimesNewRoman" w:cs="TimesNewRoman"/>
        </w:rPr>
      </w:pPr>
      <w:r>
        <w:rPr>
          <w:rFonts w:ascii="TimesNewRoman" w:hAnsi="TimesNewRoman" w:cs="TimesNewRoman"/>
        </w:rPr>
        <w:t>• Uskutočňovanie iniciatív na implementáciu námornej politiky EÚ</w:t>
      </w:r>
    </w:p>
    <w:p w:rsidR="00A5062D" w:rsidP="00A5062D">
      <w:pPr>
        <w:autoSpaceDE/>
        <w:autoSpaceDN/>
        <w:rPr>
          <w:rFonts w:ascii="TimesNewRoman" w:hAnsi="TimesNewRoman" w:cs="TimesNewRoman"/>
        </w:rPr>
      </w:pPr>
    </w:p>
    <w:p w:rsidR="00A5062D" w:rsidP="00A5062D">
      <w:pPr>
        <w:autoSpaceDE/>
        <w:autoSpaceDN/>
        <w:rPr>
          <w:rFonts w:ascii="TimesNewRoman" w:hAnsi="TimesNewRoman" w:cs="TimesNewRoman"/>
        </w:rPr>
      </w:pPr>
    </w:p>
    <w:p w:rsidR="00A5062D" w:rsidP="00A5062D">
      <w:pPr>
        <w:autoSpaceDE/>
        <w:autoSpaceDN/>
        <w:rPr>
          <w:rFonts w:ascii="TimesNewRoman,Bold" w:hAnsi="TimesNewRoman,Bold" w:cs="TimesNewRoman,Bold"/>
          <w:b/>
          <w:bCs/>
        </w:rPr>
      </w:pPr>
      <w:r>
        <w:rPr>
          <w:rFonts w:ascii="TimesNewRoman,Bold" w:hAnsi="TimesNewRoman,Bold" w:cs="TimesNewRoman,Bold"/>
          <w:b/>
          <w:bCs/>
        </w:rPr>
        <w:t>2.</w:t>
        <w:tab/>
        <w:t>Solidarita: kľúčové činnosti plánované na rok 2008</w:t>
      </w:r>
    </w:p>
    <w:p w:rsidR="00A5062D" w:rsidP="00A5062D">
      <w:pPr>
        <w:autoSpaceDE/>
        <w:autoSpaceDN/>
        <w:rPr>
          <w:rFonts w:ascii="TimesNewRoman,BoldItalic" w:hAnsi="TimesNewRoman,BoldItalic" w:cs="TimesNewRoman,BoldItalic"/>
          <w:b/>
          <w:bCs/>
          <w:i/>
          <w:iCs/>
        </w:rPr>
      </w:pP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Klimatické zmeny a životné prostredie</w:t>
      </w:r>
    </w:p>
    <w:p w:rsidR="00A5062D" w:rsidP="00A5062D">
      <w:pPr>
        <w:autoSpaceDE/>
        <w:autoSpaceDN/>
        <w:jc w:val="both"/>
        <w:rPr>
          <w:rFonts w:ascii="TimesNewRoman" w:hAnsi="TimesNewRoman" w:cs="TimesNewRoman"/>
        </w:rPr>
      </w:pPr>
      <w:r>
        <w:rPr>
          <w:rFonts w:ascii="TimesNewRoman" w:hAnsi="TimesNewRoman" w:cs="TimesNewRoman"/>
        </w:rPr>
        <w:t>• Záväzky po roku 2012 týkajúce sa zníženia emisií CO</w:t>
      </w:r>
      <w:r>
        <w:rPr>
          <w:rFonts w:ascii="TimesNewRoman" w:hAnsi="TimesNewRoman" w:cs="TimesNewRoman"/>
          <w:sz w:val="16"/>
          <w:szCs w:val="16"/>
        </w:rPr>
        <w:t xml:space="preserve">2 </w:t>
      </w:r>
      <w:r>
        <w:rPr>
          <w:rFonts w:ascii="TimesNewRoman" w:hAnsi="TimesNewRoman" w:cs="TimesNewRoman"/>
        </w:rPr>
        <w:t>v EÚ na znesiteľnú úroveň pred konferenciou zmluvných strán dohovoru OSN o klimatických zmenách, ktorá sa uskutoční v roku 2009</w:t>
      </w:r>
    </w:p>
    <w:p w:rsidR="00A5062D" w:rsidP="00A5062D">
      <w:pPr>
        <w:autoSpaceDE/>
        <w:autoSpaceDN/>
        <w:jc w:val="both"/>
        <w:rPr>
          <w:rFonts w:ascii="TimesNewRoman" w:hAnsi="TimesNewRoman" w:cs="TimesNewRoman"/>
        </w:rPr>
      </w:pPr>
      <w:r>
        <w:rPr>
          <w:rFonts w:ascii="TimesNewRoman" w:hAnsi="TimesNewRoman" w:cs="TimesNewRoman"/>
        </w:rPr>
        <w:t>• Iniciatívy na podporu prispôsobenia sa environmentálnym problémom, trvalo udržateľnej výroby a spotreby</w:t>
      </w:r>
    </w:p>
    <w:p w:rsidR="00A5062D" w:rsidP="00A5062D">
      <w:pPr>
        <w:autoSpaceDE/>
        <w:autoSpaceDN/>
        <w:jc w:val="both"/>
        <w:rPr>
          <w:rFonts w:ascii="TimesNewRoman" w:hAnsi="TimesNewRoman" w:cs="TimesNewRoman"/>
        </w:rPr>
      </w:pPr>
      <w:r>
        <w:rPr>
          <w:rFonts w:ascii="TimesNewRoman" w:hAnsi="TimesNewRoman" w:cs="TimesNewRoman"/>
        </w:rPr>
        <w:t>• Implementácia právnych predpisov REACH a naštartovanie Európskej agentúry pre chemické látky v Helsinkách</w:t>
      </w:r>
    </w:p>
    <w:p w:rsidR="00A5062D" w:rsidP="00A5062D">
      <w:pPr>
        <w:autoSpaceDE/>
        <w:autoSpaceDN/>
        <w:rPr>
          <w:rFonts w:ascii="TimesNewRoman" w:hAnsi="TimesNewRoman" w:cs="TimesNewRoman"/>
        </w:rPr>
      </w:pPr>
      <w:r>
        <w:rPr>
          <w:rFonts w:ascii="TimesNewRoman" w:hAnsi="TimesNewRoman" w:cs="TimesNewRoman"/>
        </w:rPr>
        <w:t>• Oznámenie o Globálnom monitoringu životného prostredia a bezpečnosti (GMES)</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Poľnohospodárska politika a politika rybného hospodárstva</w:t>
      </w:r>
    </w:p>
    <w:p w:rsidR="00A5062D" w:rsidP="00A5062D">
      <w:pPr>
        <w:autoSpaceDE/>
        <w:autoSpaceDN/>
        <w:jc w:val="both"/>
        <w:rPr>
          <w:rFonts w:ascii="TimesNewRoman" w:hAnsi="TimesNewRoman" w:cs="TimesNewRoman"/>
        </w:rPr>
      </w:pPr>
      <w:r>
        <w:rPr>
          <w:rFonts w:ascii="TimesNewRoman" w:hAnsi="TimesNewRoman" w:cs="TimesNewRoman"/>
        </w:rPr>
        <w:t>• Predstavenie „zdravotnej prehliadky“ reforiem spoločnej poľnohospodárskej politiky (SPP) z rokov 2003 - 2004</w:t>
      </w:r>
    </w:p>
    <w:p w:rsidR="00A5062D" w:rsidP="00A5062D">
      <w:pPr>
        <w:autoSpaceDE/>
        <w:autoSpaceDN/>
        <w:jc w:val="both"/>
        <w:rPr>
          <w:rFonts w:ascii="TimesNewRoman" w:hAnsi="TimesNewRoman" w:cs="TimesNewRoman"/>
        </w:rPr>
      </w:pPr>
      <w:r>
        <w:rPr>
          <w:rFonts w:ascii="TimesNewRoman" w:hAnsi="TimesNewRoman" w:cs="TimesNewRoman"/>
        </w:rPr>
        <w:t>• Implementácia jednotnej organizácie spoločného trhu v poľnohospodárstve</w:t>
      </w:r>
    </w:p>
    <w:p w:rsidR="00A5062D" w:rsidP="00A5062D">
      <w:pPr>
        <w:autoSpaceDE/>
        <w:autoSpaceDN/>
        <w:jc w:val="both"/>
        <w:rPr>
          <w:rFonts w:ascii="TimesNewRoman" w:hAnsi="TimesNewRoman" w:cs="TimesNewRoman"/>
        </w:rPr>
      </w:pPr>
      <w:r>
        <w:rPr>
          <w:rFonts w:ascii="TimesNewRoman" w:hAnsi="TimesNewRoman" w:cs="TimesNewRoman"/>
        </w:rPr>
        <w:t>• Významne preformulovaný regulačný rámec kontroly a presadzovania spoločnej politiky rybného hospodárstva (SPRH)</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Sociálna solidarita</w:t>
      </w:r>
    </w:p>
    <w:p w:rsidR="00A5062D" w:rsidP="00A5062D">
      <w:pPr>
        <w:autoSpaceDE/>
        <w:autoSpaceDN/>
        <w:jc w:val="both"/>
        <w:rPr>
          <w:rFonts w:ascii="TimesNewRoman" w:hAnsi="TimesNewRoman" w:cs="TimesNewRoman"/>
        </w:rPr>
      </w:pPr>
      <w:r>
        <w:rPr>
          <w:rFonts w:ascii="TimesNewRoman" w:hAnsi="TimesNewRoman" w:cs="TimesNewRoman"/>
        </w:rPr>
        <w:t>• Implementácia Európskeho sociálneho fondu a Európskeho fondu na prispôsobenie sa globalizácii (EGF)</w:t>
      </w:r>
    </w:p>
    <w:p w:rsidR="00A5062D" w:rsidP="00A5062D">
      <w:pPr>
        <w:autoSpaceDE/>
        <w:autoSpaceDN/>
        <w:jc w:val="both"/>
        <w:rPr>
          <w:rFonts w:ascii="Arial,Bold" w:hAnsi="Arial,Bold" w:cs="Arial,Bold"/>
          <w:b/>
          <w:bCs/>
          <w:sz w:val="48"/>
          <w:szCs w:val="48"/>
        </w:rPr>
      </w:pPr>
      <w:r>
        <w:rPr>
          <w:rFonts w:ascii="TimesNewRoman" w:hAnsi="TimesNewRoman" w:cs="TimesNewRoman"/>
        </w:rPr>
        <w:t>• Návrhy objasňujúce uplatňovanie komunitárneho práva v sociálnych službách, podľa možnosti spoločne s rovnakými kritériami kvality sociálnych služieb všeobecného záujmu pre celú EÚ vyplývajúce z bielej knihy Komisie</w:t>
      </w:r>
    </w:p>
    <w:p w:rsidR="00A5062D" w:rsidP="00A5062D">
      <w:pPr>
        <w:autoSpaceDE/>
        <w:autoSpaceDN/>
        <w:jc w:val="both"/>
        <w:rPr>
          <w:rFonts w:ascii="TimesNewRoman" w:hAnsi="TimesNewRoman" w:cs="TimesNewRoman"/>
        </w:rPr>
      </w:pPr>
      <w:r>
        <w:rPr>
          <w:rFonts w:ascii="TimesNewRoman" w:hAnsi="TimesNewRoman" w:cs="TimesNewRoman"/>
        </w:rPr>
        <w:t>• Iniciatívy navrhnuté na modernizáciu európskeho pracovného práva, najmä pokiaľ ide o flexibilnú istotu</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Rovnosť príležitostí</w:t>
      </w:r>
    </w:p>
    <w:p w:rsidR="00A5062D" w:rsidP="00A5062D">
      <w:pPr>
        <w:autoSpaceDE/>
        <w:autoSpaceDN/>
        <w:jc w:val="both"/>
        <w:rPr>
          <w:rFonts w:ascii="TimesNewRoman" w:hAnsi="TimesNewRoman" w:cs="TimesNewRoman"/>
        </w:rPr>
      </w:pPr>
      <w:r>
        <w:rPr>
          <w:rFonts w:ascii="TimesNewRoman" w:hAnsi="TimesNewRoman" w:cs="TimesNewRoman"/>
        </w:rPr>
        <w:t>• Iniciatívy na boj proti diskriminácii mimo pracovného trhu</w:t>
      </w:r>
    </w:p>
    <w:p w:rsidR="00A5062D" w:rsidP="00A5062D">
      <w:pPr>
        <w:autoSpaceDE/>
        <w:autoSpaceDN/>
        <w:jc w:val="both"/>
        <w:rPr>
          <w:rFonts w:ascii="TimesNewRoman" w:hAnsi="TimesNewRoman" w:cs="TimesNewRoman"/>
        </w:rPr>
      </w:pPr>
      <w:r>
        <w:rPr>
          <w:rFonts w:ascii="TimesNewRoman" w:hAnsi="TimesNewRoman" w:cs="TimesNewRoman"/>
        </w:rPr>
        <w:t>• Iniciatíva zameraná na zosúladenie rodinného a pracovného života</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Kohézna politika</w:t>
      </w:r>
    </w:p>
    <w:p w:rsidR="00A5062D" w:rsidP="00A5062D">
      <w:pPr>
        <w:autoSpaceDE/>
        <w:autoSpaceDN/>
        <w:jc w:val="both"/>
        <w:rPr>
          <w:rFonts w:ascii="TimesNewRoman" w:hAnsi="TimesNewRoman" w:cs="TimesNewRoman"/>
        </w:rPr>
      </w:pPr>
      <w:r>
        <w:rPr>
          <w:rFonts w:ascii="TimesNewRoman" w:hAnsi="TimesNewRoman" w:cs="TimesNewRoman"/>
        </w:rPr>
        <w:t>• Strategické zhodnotenie výsledkov programov kohéznej politiky v rokoch 2000 - 2006</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Posilnenie európskeho občianstva a ochrana základných práv</w:t>
      </w:r>
    </w:p>
    <w:p w:rsidR="00A5062D" w:rsidP="00A5062D">
      <w:pPr>
        <w:autoSpaceDE/>
        <w:autoSpaceDN/>
        <w:jc w:val="both"/>
        <w:rPr>
          <w:rFonts w:ascii="TimesNewRoman" w:hAnsi="TimesNewRoman" w:cs="TimesNewRoman"/>
        </w:rPr>
      </w:pPr>
      <w:r>
        <w:rPr>
          <w:rFonts w:ascii="TimesNewRoman" w:hAnsi="TimesNewRoman" w:cs="TimesNewRoman"/>
        </w:rPr>
        <w:t>• Návrhy na konzulárnu ochranu občanov EÚ</w:t>
      </w:r>
    </w:p>
    <w:p w:rsidR="00A5062D" w:rsidP="00A5062D">
      <w:pPr>
        <w:autoSpaceDE/>
        <w:autoSpaceDN/>
        <w:jc w:val="both"/>
        <w:rPr>
          <w:rFonts w:ascii="TimesNewRoman" w:hAnsi="TimesNewRoman" w:cs="TimesNewRoman"/>
        </w:rPr>
      </w:pPr>
      <w:r>
        <w:rPr>
          <w:rFonts w:ascii="TimesNewRoman" w:hAnsi="TimesNewRoman" w:cs="TimesNewRoman"/>
        </w:rPr>
        <w:t>• Podpora práv dieťaťa prostredníctvom fóra o právach dieťaťa</w:t>
      </w:r>
    </w:p>
    <w:p w:rsidR="00A5062D" w:rsidP="00A5062D">
      <w:pPr>
        <w:autoSpaceDE/>
        <w:autoSpaceDN/>
        <w:jc w:val="both"/>
        <w:rPr>
          <w:rFonts w:ascii="TimesNewRoman" w:hAnsi="TimesNewRoman" w:cs="TimesNewRoman"/>
        </w:rPr>
      </w:pPr>
      <w:r>
        <w:rPr>
          <w:rFonts w:ascii="TimesNewRoman" w:hAnsi="TimesNewRoman" w:cs="TimesNewRoman"/>
        </w:rPr>
        <w:t>• Začatie programu ochrany detí používajúcich internet a nové médiá (2009 – 2013)</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Spravodlivosť a vnútorné záležitosti</w:t>
      </w:r>
    </w:p>
    <w:p w:rsidR="00A5062D" w:rsidP="00A5062D">
      <w:pPr>
        <w:autoSpaceDE/>
        <w:autoSpaceDN/>
        <w:jc w:val="both"/>
        <w:rPr>
          <w:rFonts w:ascii="TimesNewRoman" w:hAnsi="TimesNewRoman" w:cs="TimesNewRoman"/>
        </w:rPr>
      </w:pPr>
      <w:r>
        <w:rPr>
          <w:rFonts w:ascii="TimesNewRoman" w:hAnsi="TimesNewRoman" w:cs="TimesNewRoman"/>
        </w:rPr>
        <w:t>• Akčný plán EÚ boja proti drogám (2009 – 2012)</w:t>
      </w:r>
    </w:p>
    <w:p w:rsidR="00A5062D" w:rsidP="00A5062D">
      <w:pPr>
        <w:autoSpaceDE/>
        <w:autoSpaceDN/>
        <w:jc w:val="both"/>
        <w:rPr>
          <w:rFonts w:ascii="TimesNewRoman" w:hAnsi="TimesNewRoman" w:cs="TimesNewRoman"/>
        </w:rPr>
      </w:pPr>
      <w:r>
        <w:rPr>
          <w:rFonts w:ascii="TimesNewRoman" w:hAnsi="TimesNewRoman" w:cs="TimesNewRoman"/>
        </w:rPr>
        <w:t>• Plán azylovej politiky, ktorý je prípravou na druhú fázu spoločného európskeho azylového systému</w:t>
      </w:r>
    </w:p>
    <w:p w:rsidR="00A5062D" w:rsidP="00A5062D">
      <w:pPr>
        <w:autoSpaceDE/>
        <w:autoSpaceDN/>
        <w:jc w:val="both"/>
        <w:rPr>
          <w:rFonts w:ascii="TimesNewRoman" w:hAnsi="TimesNewRoman" w:cs="TimesNewRoman"/>
        </w:rPr>
      </w:pPr>
      <w:r>
        <w:rPr>
          <w:rFonts w:ascii="TimesNewRoman" w:hAnsi="TimesNewRoman" w:cs="TimesNewRoman"/>
        </w:rPr>
        <w:t>• Legislatívny návrh v oblasti dedičského práva a závetov</w:t>
      </w:r>
    </w:p>
    <w:p w:rsidR="00A5062D" w:rsidP="00A5062D">
      <w:pPr>
        <w:autoSpaceDE/>
        <w:autoSpaceDN/>
        <w:jc w:val="both"/>
        <w:rPr>
          <w:rFonts w:ascii="TimesNewRoman" w:hAnsi="TimesNewRoman" w:cs="TimesNewRoman"/>
        </w:rPr>
      </w:pPr>
      <w:r>
        <w:rPr>
          <w:rFonts w:ascii="TimesNewRoman" w:hAnsi="TimesNewRoman" w:cs="TimesNewRoman"/>
        </w:rPr>
        <w:t>• Oznámenie o blokovaní bankových účtov</w:t>
      </w:r>
    </w:p>
    <w:p w:rsidR="00A5062D" w:rsidP="00A5062D">
      <w:pPr>
        <w:autoSpaceDE/>
        <w:autoSpaceDN/>
        <w:jc w:val="both"/>
        <w:rPr>
          <w:rFonts w:ascii="TimesNewRoman,BoldItalic" w:hAnsi="TimesNewRoman,BoldItalic" w:cs="TimesNewRoman,BoldItalic"/>
          <w:b/>
          <w:bCs/>
          <w:i/>
          <w:iCs/>
        </w:rPr>
      </w:pPr>
      <w:r>
        <w:rPr>
          <w:rFonts w:ascii="TimesNewRoman,BoldItalic" w:hAnsi="TimesNewRoman,BoldItalic" w:cs="TimesNewRoman,BoldItalic"/>
          <w:b/>
          <w:bCs/>
          <w:i/>
          <w:iCs/>
        </w:rPr>
        <w:t>- Dialóg medzi kultúrami a viacjazyčnosť</w:t>
      </w:r>
    </w:p>
    <w:p w:rsidR="00A5062D" w:rsidP="00A5062D">
      <w:pPr>
        <w:autoSpaceDE/>
        <w:autoSpaceDN/>
        <w:jc w:val="both"/>
        <w:rPr>
          <w:rFonts w:ascii="TimesNewRoman" w:hAnsi="TimesNewRoman" w:cs="TimesNewRoman"/>
        </w:rPr>
      </w:pPr>
      <w:r>
        <w:rPr>
          <w:rFonts w:ascii="TimesNewRoman" w:hAnsi="TimesNewRoman" w:cs="TimesNewRoman"/>
        </w:rPr>
        <w:t>• Stratégia na podporu viacjazyčnosti v spolupráci s členskými štátmi</w:t>
      </w:r>
    </w:p>
    <w:p w:rsidR="00A5062D" w:rsidP="00A5062D">
      <w:pPr>
        <w:autoSpaceDE/>
        <w:autoSpaceDN/>
        <w:jc w:val="both"/>
        <w:rPr>
          <w:rFonts w:ascii="TimesNewRoman" w:hAnsi="TimesNewRoman" w:cs="TimesNewRoman"/>
        </w:rPr>
      </w:pPr>
      <w:r>
        <w:rPr>
          <w:rFonts w:ascii="TimesNewRoman" w:hAnsi="TimesNewRoman" w:cs="TimesNewRoman"/>
        </w:rPr>
        <w:t>• Činnosti v rámci Európskeho roka dialógu medzi kultúrami</w:t>
      </w:r>
    </w:p>
    <w:p w:rsidR="00A5062D" w:rsidP="00A5062D">
      <w:pPr>
        <w:autoSpaceDE/>
        <w:autoSpaceDN/>
        <w:jc w:val="both"/>
        <w:rPr>
          <w:rFonts w:ascii="TimesNewRoman" w:hAnsi="TimesNewRoman" w:cs="TimesNewRoman"/>
        </w:rPr>
      </w:pPr>
    </w:p>
    <w:p w:rsidR="00A5062D" w:rsidP="00A5062D">
      <w:pPr>
        <w:autoSpaceDE/>
        <w:autoSpaceDN/>
        <w:jc w:val="both"/>
        <w:rPr>
          <w:rFonts w:ascii="TimesNewRoman" w:hAnsi="TimesNewRoman" w:cs="TimesNewRoman"/>
        </w:rPr>
      </w:pPr>
    </w:p>
    <w:p w:rsidR="00A5062D" w:rsidP="00A5062D">
      <w:pPr>
        <w:autoSpaceDE/>
        <w:autoSpaceDN/>
        <w:rPr>
          <w:rFonts w:ascii="TimesNewRoman,Bold" w:hAnsi="TimesNewRoman,Bold" w:cs="TimesNewRoman,Bold"/>
          <w:b/>
          <w:bCs/>
        </w:rPr>
      </w:pPr>
      <w:r>
        <w:rPr>
          <w:rFonts w:ascii="TimesNewRoman,Bold" w:hAnsi="TimesNewRoman,Bold" w:cs="TimesNewRoman,Bold"/>
          <w:b/>
          <w:bCs/>
        </w:rPr>
        <w:t>3.</w:t>
        <w:tab/>
        <w:t>Bezpečnosť a sloboda: kľúčové činnosti plánované na rok 2008</w:t>
      </w:r>
    </w:p>
    <w:p w:rsidR="00A5062D" w:rsidP="00A5062D">
      <w:pPr>
        <w:autoSpaceDE/>
        <w:autoSpaceDN/>
        <w:rPr>
          <w:rFonts w:ascii="TimesNewRoman,BoldItalic" w:hAnsi="TimesNewRoman,BoldItalic" w:cs="TimesNewRoman,BoldItalic"/>
          <w:b/>
          <w:bCs/>
          <w:i/>
          <w:iCs/>
        </w:rPr>
      </w:pP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Sloboda pohybu a riadenie vonkajších hraníc EÚ</w:t>
      </w:r>
    </w:p>
    <w:p w:rsidR="00A5062D" w:rsidP="00A5062D">
      <w:pPr>
        <w:autoSpaceDE/>
        <w:autoSpaceDN/>
        <w:jc w:val="both"/>
        <w:rPr>
          <w:rFonts w:ascii="TimesNewRoman" w:hAnsi="TimesNewRoman" w:cs="TimesNewRoman"/>
        </w:rPr>
      </w:pPr>
      <w:r>
        <w:rPr>
          <w:rFonts w:ascii="TimesNewRoman" w:hAnsi="TimesNewRoman" w:cs="TimesNewRoman"/>
        </w:rPr>
        <w:t>• Implementácia druhej generácie schengenského informačného systému (SIS II) umožňujúca vstup ďalších členských štátov EÚ do schengenského priestoru</w:t>
      </w:r>
    </w:p>
    <w:p w:rsidR="00A5062D" w:rsidP="00A5062D">
      <w:pPr>
        <w:autoSpaceDE/>
        <w:autoSpaceDN/>
        <w:jc w:val="both"/>
        <w:rPr>
          <w:rFonts w:ascii="TimesNewRoman" w:hAnsi="TimesNewRoman" w:cs="TimesNewRoman"/>
        </w:rPr>
      </w:pPr>
      <w:r>
        <w:rPr>
          <w:rFonts w:ascii="TimesNewRoman" w:hAnsi="TimesNewRoman" w:cs="TimesNewRoman"/>
        </w:rPr>
        <w:t>• Nové opatrenia na riadenie vonkajších hraníc EÚ, vrátane ďalšieho rozvoja Agentúry pre vonkajšie hranice (FRONTEX), zdokonalené prepojenie kontroly morských hraníc sieťami a európskeho systému sledovania hraníc, ktorý pomáha členským štátom zvládať zvyšujúci sa prílev nelegálnych prisťahovalcov</w:t>
      </w:r>
    </w:p>
    <w:p w:rsidR="00A5062D" w:rsidP="00A5062D">
      <w:pPr>
        <w:autoSpaceDE/>
        <w:autoSpaceDN/>
        <w:jc w:val="both"/>
        <w:rPr>
          <w:rFonts w:ascii="TimesNewRoman" w:hAnsi="TimesNewRoman" w:cs="TimesNewRoman"/>
        </w:rPr>
      </w:pPr>
      <w:r>
        <w:rPr>
          <w:rFonts w:ascii="TimesNewRoman" w:hAnsi="TimesNewRoman" w:cs="TimesNewRoman"/>
        </w:rPr>
        <w:t>• Spustenie vízového informačného systému (VIS) v rámci príprav na spoločnú vízovú politiku</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Boj proti organizovanému zločinu a terorizmu</w:t>
      </w:r>
    </w:p>
    <w:p w:rsidR="00A5062D" w:rsidP="00A5062D">
      <w:pPr>
        <w:autoSpaceDE/>
        <w:autoSpaceDN/>
        <w:rPr>
          <w:rFonts w:ascii="TimesNewRoman" w:hAnsi="TimesNewRoman" w:cs="TimesNewRoman"/>
        </w:rPr>
      </w:pPr>
      <w:r>
        <w:rPr>
          <w:rFonts w:ascii="TimesNewRoman" w:hAnsi="TimesNewRoman" w:cs="TimesNewRoman"/>
        </w:rPr>
        <w:t>• Implementácia centrálnej databázy odtlačkov prstov</w:t>
      </w:r>
    </w:p>
    <w:p w:rsidR="00A5062D" w:rsidP="00A5062D">
      <w:pPr>
        <w:autoSpaceDE/>
        <w:autoSpaceDN/>
        <w:rPr>
          <w:rFonts w:ascii="TimesNewRoman" w:hAnsi="TimesNewRoman" w:cs="TimesNewRoman"/>
        </w:rPr>
      </w:pPr>
      <w:r>
        <w:rPr>
          <w:rFonts w:ascii="TimesNewRoman" w:hAnsi="TimesNewRoman" w:cs="TimesNewRoman"/>
        </w:rPr>
        <w:t>• Začatie politiky riešiacej násilnú radikalizáciu</w:t>
      </w:r>
    </w:p>
    <w:p w:rsidR="00A5062D" w:rsidP="00A5062D">
      <w:pPr>
        <w:autoSpaceDE/>
        <w:autoSpaceDN/>
        <w:jc w:val="both"/>
        <w:rPr>
          <w:rFonts w:ascii="TimesNewRoman" w:hAnsi="TimesNewRoman" w:cs="TimesNewRoman"/>
        </w:rPr>
      </w:pPr>
      <w:r>
        <w:rPr>
          <w:rFonts w:ascii="TimesNewRoman" w:hAnsi="TimesNewRoman" w:cs="TimesNewRoman"/>
        </w:rPr>
        <w:t>• Posilňovanie spolupráce medzi členskými štátmi prostredníctvom EUROJUSTu pri vyšetrovaní a stíhaní závažnej cezhraničnej a organizovanej kriminality</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Civilná ochrana</w:t>
      </w:r>
    </w:p>
    <w:p w:rsidR="00A5062D" w:rsidP="00A5062D">
      <w:pPr>
        <w:autoSpaceDE/>
        <w:autoSpaceDN/>
        <w:jc w:val="both"/>
        <w:rPr>
          <w:rFonts w:ascii="TimesNewRoman" w:hAnsi="TimesNewRoman" w:cs="TimesNewRoman"/>
        </w:rPr>
      </w:pPr>
      <w:r>
        <w:rPr>
          <w:rFonts w:ascii="TimesNewRoman" w:hAnsi="TimesNewRoman" w:cs="TimesNewRoman"/>
        </w:rPr>
        <w:t>• Posilňovanie mechanizmu civilnej ochrany EÚ a rozvíjanie integrovanej stratégie predchádzania katastrofám pri katastrofách vyskytujúcich sa v rámci EÚ alebo v krajinách zapojených do tohto mechanizmu</w:t>
      </w:r>
    </w:p>
    <w:p w:rsidR="00A5062D" w:rsidP="00A5062D">
      <w:pPr>
        <w:autoSpaceDE/>
        <w:autoSpaceDN/>
        <w:jc w:val="both"/>
        <w:rPr>
          <w:rFonts w:ascii="TimesNewRoman,BoldItalic" w:hAnsi="TimesNewRoman,BoldItalic" w:cs="TimesNewRoman,BoldItalic"/>
          <w:b/>
          <w:bCs/>
          <w:i/>
          <w:iCs/>
        </w:rPr>
      </w:pPr>
      <w:r>
        <w:rPr>
          <w:rFonts w:ascii="TimesNewRoman" w:hAnsi="TimesNewRoman" w:cs="TimesNewRoman"/>
        </w:rPr>
        <w:t xml:space="preserve">- </w:t>
      </w:r>
      <w:r>
        <w:rPr>
          <w:rFonts w:ascii="TimesNewRoman,BoldItalic" w:hAnsi="TimesNewRoman,BoldItalic" w:cs="TimesNewRoman,BoldItalic"/>
          <w:b/>
          <w:bCs/>
          <w:i/>
          <w:iCs/>
        </w:rPr>
        <w:t>Zdravie a bezpečnosť</w:t>
      </w:r>
    </w:p>
    <w:p w:rsidR="00A5062D" w:rsidP="00A5062D">
      <w:pPr>
        <w:autoSpaceDE/>
        <w:autoSpaceDN/>
        <w:rPr>
          <w:rFonts w:ascii="TimesNewRoman" w:hAnsi="TimesNewRoman" w:cs="TimesNewRoman"/>
        </w:rPr>
      </w:pPr>
      <w:r>
        <w:rPr>
          <w:rFonts w:ascii="TimesNewRoman" w:hAnsi="TimesNewRoman" w:cs="TimesNewRoman"/>
        </w:rPr>
        <w:t>• Odporúčania pre bezpečnosť pacienta a kvalitu zdravotníckych služieb</w:t>
      </w:r>
    </w:p>
    <w:p w:rsidR="00A5062D" w:rsidP="00A5062D">
      <w:pPr>
        <w:autoSpaceDE/>
        <w:autoSpaceDN/>
        <w:jc w:val="both"/>
        <w:rPr>
          <w:rFonts w:ascii="TimesNewRoman" w:hAnsi="TimesNewRoman" w:cs="TimesNewRoman"/>
        </w:rPr>
      </w:pPr>
      <w:r>
        <w:rPr>
          <w:rFonts w:ascii="TimesNewRoman" w:hAnsi="TimesNewRoman" w:cs="TimesNewRoman"/>
        </w:rPr>
        <w:t>• Zabezpečenie súladu s normami EÚ pre potravinovú bezpečnosť, zdravie zvierat, starostlivosť o zvieratá a zdravie rastlín</w:t>
      </w:r>
    </w:p>
    <w:p w:rsidR="00A5062D" w:rsidP="00A5062D">
      <w:pPr>
        <w:autoSpaceDE/>
        <w:autoSpaceDN/>
        <w:rPr>
          <w:rFonts w:ascii="TimesNewRoman" w:hAnsi="TimesNewRoman" w:cs="TimesNewRoman"/>
        </w:rPr>
      </w:pPr>
      <w:r>
        <w:rPr>
          <w:rFonts w:ascii="TimesNewRoman" w:hAnsi="TimesNewRoman" w:cs="TimesNewRoman"/>
        </w:rPr>
        <w:t>• Rozvíjanie právneho rámca pre hodnotenie rizík geneticky modifikovaných potravín a krmív zo strany Európskeho úradu pre bezpečnosť potravín (EÚBP)</w:t>
      </w:r>
    </w:p>
    <w:p w:rsidR="00A5062D" w:rsidP="00A5062D">
      <w:pPr>
        <w:autoSpaceDE/>
        <w:autoSpaceDN/>
        <w:rPr>
          <w:rFonts w:ascii="TimesNewRoman" w:hAnsi="TimesNewRoman" w:cs="TimesNewRoman"/>
        </w:rPr>
      </w:pPr>
      <w:r>
        <w:rPr>
          <w:rFonts w:ascii="TimesNewRoman" w:hAnsi="TimesNewRoman" w:cs="TimesNewRoman"/>
        </w:rPr>
        <w:t>• Preskúmanie právneho rámca pre lieky</w:t>
      </w:r>
    </w:p>
    <w:p w:rsidR="00A5062D" w:rsidP="00A5062D">
      <w:pPr>
        <w:autoSpaceDE/>
        <w:autoSpaceDN/>
        <w:jc w:val="both"/>
        <w:rPr>
          <w:rFonts w:ascii="TimesNewRoman" w:hAnsi="TimesNewRoman" w:cs="TimesNewRoman"/>
        </w:rPr>
      </w:pPr>
      <w:r>
        <w:rPr>
          <w:rFonts w:ascii="TimesNewRoman" w:hAnsi="TimesNewRoman" w:cs="TimesNewRoman"/>
        </w:rPr>
        <w:t>• Modernizácia právnych predpisov pre zdravotnícke pomôcky s cieľom zvýšiť bezpečnosť pacientov a používateľov a zároveň zabezpečiť jasné regulačné prostredie</w:t>
      </w:r>
    </w:p>
    <w:p w:rsidR="00A5062D" w:rsidP="00A5062D">
      <w:pPr>
        <w:autoSpaceDE/>
        <w:autoSpaceDN/>
        <w:jc w:val="both"/>
        <w:rPr>
          <w:rFonts w:ascii="TimesNewRoman" w:hAnsi="TimesNewRoman" w:cs="TimesNewRoman"/>
        </w:rPr>
      </w:pPr>
      <w:r>
        <w:rPr>
          <w:rFonts w:ascii="TimesNewRoman" w:hAnsi="TimesNewRoman" w:cs="TimesNewRoman"/>
        </w:rPr>
        <w:t>• Iniciatíva v oblasti telemedicíny pri zvládaní chronických chorôb (sledovanie zdravia v domácnosti – „home health monitoring“)</w:t>
      </w:r>
    </w:p>
    <w:p w:rsidR="00A5062D" w:rsidP="00A5062D">
      <w:pPr>
        <w:autoSpaceDE/>
        <w:autoSpaceDN/>
        <w:rPr>
          <w:rFonts w:ascii="TimesNewRoman" w:hAnsi="TimesNewRoman" w:cs="TimesNewRoman"/>
        </w:rPr>
      </w:pPr>
      <w:r>
        <w:rPr>
          <w:rFonts w:ascii="TimesNewRoman" w:hAnsi="TimesNewRoman" w:cs="TimesNewRoman"/>
        </w:rPr>
        <w:t>• Rozvíjanie infraštruktúry pre pripravenosť na krízy v oblasti zdravia a bezpečnosti</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Ochrana kritických informačných infraštruktúr a posilňovanie dôvery občanov</w:t>
      </w:r>
    </w:p>
    <w:p w:rsidR="00A5062D" w:rsidP="00A5062D">
      <w:pPr>
        <w:autoSpaceDE/>
        <w:autoSpaceDN/>
        <w:rPr>
          <w:rFonts w:ascii="TimesNewRoman" w:hAnsi="TimesNewRoman" w:cs="TimesNewRoman"/>
        </w:rPr>
      </w:pPr>
      <w:r>
        <w:rPr>
          <w:rFonts w:ascii="TimesNewRoman" w:hAnsi="TimesNewRoman" w:cs="TimesNewRoman"/>
        </w:rPr>
        <w:t>• Iniciatíva v oblasti ochrany kritických komunikačných a informačných infraštruktúr</w:t>
      </w:r>
    </w:p>
    <w:p w:rsidR="00A5062D" w:rsidP="00A5062D">
      <w:pPr>
        <w:autoSpaceDE/>
        <w:autoSpaceDN/>
        <w:rPr>
          <w:rFonts w:ascii="TimesNewRoman" w:hAnsi="TimesNewRoman" w:cs="TimesNewRoman"/>
        </w:rPr>
      </w:pPr>
      <w:r>
        <w:rPr>
          <w:rFonts w:ascii="TimesNewRoman" w:hAnsi="TimesNewRoman" w:cs="TimesNewRoman"/>
        </w:rPr>
        <w:t>• Iniciatíva v oblasti rešpektovania súkromia a dôvery v informačnej spoločnosti</w:t>
      </w:r>
    </w:p>
    <w:p w:rsidR="00A5062D" w:rsidP="00A5062D">
      <w:pPr>
        <w:autoSpaceDE/>
        <w:autoSpaceDN/>
        <w:rPr>
          <w:rFonts w:ascii="TimesNewRoman" w:hAnsi="TimesNewRoman" w:cs="TimesNewRoman"/>
        </w:rPr>
      </w:pPr>
    </w:p>
    <w:p w:rsidR="00A5062D" w:rsidP="00A5062D">
      <w:pPr>
        <w:autoSpaceDE/>
        <w:autoSpaceDN/>
        <w:rPr>
          <w:rFonts w:ascii="TimesNewRoman" w:hAnsi="TimesNewRoman" w:cs="TimesNewRoman"/>
        </w:rPr>
      </w:pPr>
    </w:p>
    <w:p w:rsidR="00A5062D" w:rsidP="00A5062D">
      <w:pPr>
        <w:autoSpaceDE/>
        <w:autoSpaceDN/>
        <w:rPr>
          <w:rFonts w:ascii="TimesNewRoman,Bold" w:hAnsi="TimesNewRoman,Bold" w:cs="TimesNewRoman,Bold"/>
          <w:b/>
          <w:bCs/>
        </w:rPr>
      </w:pPr>
      <w:r>
        <w:rPr>
          <w:rFonts w:ascii="TimesNewRoman,Bold" w:hAnsi="TimesNewRoman,Bold" w:cs="TimesNewRoman,Bold"/>
          <w:b/>
          <w:bCs/>
        </w:rPr>
        <w:t>4.</w:t>
        <w:tab/>
        <w:t>Európa ako svetový partner: kľúčové činnosti plánované na rok 2008</w:t>
      </w:r>
    </w:p>
    <w:p w:rsidR="00A5062D" w:rsidP="00A5062D">
      <w:pPr>
        <w:autoSpaceDE/>
        <w:autoSpaceDN/>
        <w:rPr>
          <w:rFonts w:ascii="TimesNewRoman,Bold" w:hAnsi="TimesNewRoman,Bold" w:cs="TimesNewRoman,Bold"/>
          <w:b/>
          <w:bCs/>
        </w:rPr>
      </w:pP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Rozširovanie</w:t>
      </w:r>
    </w:p>
    <w:p w:rsidR="00A5062D" w:rsidP="00A5062D">
      <w:pPr>
        <w:autoSpaceDE/>
        <w:autoSpaceDN/>
        <w:jc w:val="both"/>
        <w:rPr>
          <w:rFonts w:ascii="TimesNewRoman" w:hAnsi="TimesNewRoman" w:cs="TimesNewRoman"/>
        </w:rPr>
      </w:pPr>
      <w:r>
        <w:rPr>
          <w:rFonts w:ascii="TimesNewRoman" w:hAnsi="TimesNewRoman" w:cs="TimesNewRoman"/>
        </w:rPr>
        <w:t>• Pokračovať v rokovaniach o pristúpení s Chorvátskom a Tureckom na základe obnoveného konsenzu Únie o rozširovaní</w:t>
      </w:r>
    </w:p>
    <w:p w:rsidR="00A5062D" w:rsidP="00A5062D">
      <w:pPr>
        <w:autoSpaceDE/>
        <w:autoSpaceDN/>
        <w:jc w:val="both"/>
        <w:rPr>
          <w:rFonts w:ascii="TimesNewRoman" w:hAnsi="TimesNewRoman" w:cs="TimesNewRoman"/>
        </w:rPr>
      </w:pPr>
      <w:r>
        <w:rPr>
          <w:rFonts w:ascii="TimesNewRoman" w:hAnsi="TimesNewRoman" w:cs="TimesNewRoman"/>
        </w:rPr>
        <w:t>• Riadenie dôsledkov vyriešenia budúceho postavenia Kosova a jeho vplyv na vzťahy s krajinami v regióne</w:t>
      </w:r>
    </w:p>
    <w:p w:rsidR="00A5062D" w:rsidP="00A5062D">
      <w:pPr>
        <w:autoSpaceDE/>
        <w:autoSpaceDN/>
        <w:jc w:val="both"/>
        <w:rPr>
          <w:rFonts w:ascii="TimesNewRoman" w:hAnsi="TimesNewRoman" w:cs="TimesNewRoman"/>
        </w:rPr>
      </w:pPr>
      <w:r>
        <w:rPr>
          <w:rFonts w:ascii="TimesNewRoman" w:hAnsi="TimesNewRoman" w:cs="TimesNewRoman"/>
        </w:rPr>
        <w:t>• Implementácia súčasnej siete stabilizačných a asociačných dohôd a napredovanie stabilizačného a asociačného procesu so Srbskom</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Európske susedstvo a Rusko</w:t>
      </w:r>
    </w:p>
    <w:p w:rsidR="00A5062D" w:rsidP="00A5062D">
      <w:pPr>
        <w:autoSpaceDE/>
        <w:autoSpaceDN/>
        <w:rPr>
          <w:rFonts w:ascii="TimesNewRoman" w:hAnsi="TimesNewRoman" w:cs="TimesNewRoman"/>
        </w:rPr>
      </w:pPr>
      <w:r>
        <w:rPr>
          <w:rFonts w:ascii="TimesNewRoman" w:hAnsi="TimesNewRoman" w:cs="TimesNewRoman"/>
        </w:rPr>
        <w:t>• Významný pokrok smerom k novej dohode s Ruskom alebo jej implementácia</w:t>
      </w:r>
    </w:p>
    <w:p w:rsidR="00A5062D" w:rsidP="00A5062D">
      <w:pPr>
        <w:autoSpaceDE/>
        <w:autoSpaceDN/>
        <w:rPr>
          <w:rFonts w:ascii="TimesNewRoman" w:hAnsi="TimesNewRoman" w:cs="TimesNewRoman"/>
        </w:rPr>
      </w:pPr>
      <w:r>
        <w:rPr>
          <w:rFonts w:ascii="TimesNewRoman" w:hAnsi="TimesNewRoman" w:cs="TimesNewRoman"/>
        </w:rPr>
        <w:t>• Významný pokrok smerom k uzatvoreniu rozšírenej dohody s Ukrajinou</w:t>
      </w:r>
    </w:p>
    <w:p w:rsidR="00A5062D" w:rsidP="00A5062D">
      <w:pPr>
        <w:autoSpaceDE/>
        <w:autoSpaceDN/>
        <w:jc w:val="both"/>
        <w:rPr>
          <w:rFonts w:ascii="TimesNewRoman" w:hAnsi="TimesNewRoman" w:cs="TimesNewRoman"/>
        </w:rPr>
      </w:pPr>
      <w:r>
        <w:rPr>
          <w:rFonts w:ascii="TimesNewRoman" w:hAnsi="TimesNewRoman" w:cs="TimesNewRoman"/>
        </w:rPr>
        <w:t>• Začatie rokovaní o nástupníckych dohodách o partnerstve a spolupráci s Arménskom, Azerbajdžanom, Gruzínskom a Moldavskom</w:t>
      </w:r>
    </w:p>
    <w:p w:rsidR="00A5062D" w:rsidP="00A5062D">
      <w:pPr>
        <w:autoSpaceDE/>
        <w:autoSpaceDN/>
        <w:jc w:val="both"/>
        <w:rPr>
          <w:rFonts w:ascii="TimesNewRoman" w:hAnsi="TimesNewRoman" w:cs="TimesNewRoman"/>
        </w:rPr>
      </w:pPr>
      <w:r>
        <w:rPr>
          <w:rFonts w:ascii="TimesNewRoman" w:hAnsi="TimesNewRoman" w:cs="TimesNewRoman"/>
        </w:rPr>
        <w:t>• Prehĺbenie vzťahov s Alžírskom, Bieloruskom, Líbyou a Sýriou na základe politického vývoja</w:t>
      </w:r>
    </w:p>
    <w:p w:rsidR="00A5062D" w:rsidP="00A5062D">
      <w:pPr>
        <w:autoSpaceDE/>
        <w:autoSpaceDN/>
        <w:jc w:val="both"/>
        <w:rPr>
          <w:rFonts w:ascii="TimesNewRoman" w:hAnsi="TimesNewRoman" w:cs="TimesNewRoman"/>
        </w:rPr>
      </w:pPr>
      <w:r>
        <w:rPr>
          <w:rFonts w:ascii="TimesNewRoman" w:hAnsi="TimesNewRoman" w:cs="TimesNewRoman"/>
        </w:rPr>
        <w:t>• Ďalšie prispievanie Európskej únie k mierovému procesu na Blízkom východe a podpora Palestínskeho samosprávneho orgánu</w:t>
      </w:r>
    </w:p>
    <w:p w:rsidR="00A5062D" w:rsidP="00A5062D">
      <w:pPr>
        <w:autoSpaceDE/>
        <w:autoSpaceDN/>
        <w:rPr>
          <w:rFonts w:ascii="TimesNewRoman,BoldItalic" w:hAnsi="TimesNewRoman,BoldItalic" w:cs="TimesNewRoman,BoldItalic"/>
          <w:b/>
          <w:bCs/>
          <w:i/>
          <w:iCs/>
        </w:rPr>
      </w:pPr>
      <w:r>
        <w:rPr>
          <w:rFonts w:ascii="TimesNewRoman,BoldItalic" w:hAnsi="TimesNewRoman,BoldItalic" w:cs="TimesNewRoman,BoldItalic"/>
          <w:b/>
          <w:bCs/>
          <w:i/>
          <w:iCs/>
        </w:rPr>
        <w:t>- Zvyšok sveta</w:t>
      </w:r>
    </w:p>
    <w:p w:rsidR="00A5062D" w:rsidP="00A5062D">
      <w:pPr>
        <w:autoSpaceDE/>
        <w:autoSpaceDN/>
        <w:rPr>
          <w:rFonts w:ascii="TimesNewRoman" w:hAnsi="TimesNewRoman" w:cs="TimesNewRoman"/>
        </w:rPr>
      </w:pPr>
      <w:r>
        <w:rPr>
          <w:rFonts w:ascii="TimesNewRoman" w:hAnsi="TimesNewRoman" w:cs="TimesNewRoman"/>
        </w:rPr>
        <w:t>• Ukončenie rozvojového kola v Doha a implementácia jeho záverov</w:t>
      </w:r>
    </w:p>
    <w:p w:rsidR="00A5062D" w:rsidP="00A5062D">
      <w:pPr>
        <w:autoSpaceDE/>
        <w:autoSpaceDN/>
        <w:rPr>
          <w:rFonts w:ascii="TimesNewRoman" w:hAnsi="TimesNewRoman" w:cs="TimesNewRoman"/>
        </w:rPr>
      </w:pPr>
      <w:r>
        <w:rPr>
          <w:rFonts w:ascii="TimesNewRoman" w:hAnsi="TimesNewRoman" w:cs="TimesNewRoman"/>
        </w:rPr>
        <w:t>• Rozvíjanie výsledkov samitu EÚ – AÚ z roku 2007</w:t>
      </w:r>
    </w:p>
    <w:p w:rsidR="00A5062D" w:rsidP="00A5062D">
      <w:pPr>
        <w:autoSpaceDE/>
        <w:autoSpaceDN/>
        <w:jc w:val="both"/>
        <w:rPr>
          <w:rFonts w:ascii="TimesNewRoman" w:hAnsi="TimesNewRoman" w:cs="TimesNewRoman"/>
        </w:rPr>
      </w:pPr>
      <w:r>
        <w:rPr>
          <w:rFonts w:ascii="TimesNewRoman" w:hAnsi="TimesNewRoman" w:cs="TimesNewRoman"/>
        </w:rPr>
        <w:t>• Začatie implementácie dohôd o hospodárskom partnerstve a 10. Európskeho rozvojového fondu (ERF)</w:t>
      </w:r>
    </w:p>
    <w:p w:rsidR="00A5062D" w:rsidP="00A5062D">
      <w:pPr>
        <w:autoSpaceDE/>
        <w:autoSpaceDN/>
        <w:jc w:val="both"/>
        <w:rPr>
          <w:rFonts w:ascii="TimesNewRoman" w:hAnsi="TimesNewRoman" w:cs="TimesNewRoman"/>
        </w:rPr>
      </w:pPr>
      <w:r>
        <w:rPr>
          <w:rFonts w:ascii="TimesNewRoman" w:hAnsi="TimesNewRoman" w:cs="TimesNewRoman"/>
        </w:rPr>
        <w:t>• Prehĺbenie spolupráce s krajinami AKT a inými rozvojovými krajinami, najmä v oblastiach ako je energetika a migrácia, v súlade s akčným plánom v oblasti klimatických zmien v súvislosti s rozvojovou spoluprácou a globálnym prístupom k migrácii</w:t>
      </w:r>
    </w:p>
    <w:p w:rsidR="00A5062D" w:rsidP="00A5062D">
      <w:pPr>
        <w:autoSpaceDE/>
        <w:autoSpaceDN/>
        <w:jc w:val="both"/>
        <w:rPr>
          <w:rFonts w:ascii="TimesNewRoman" w:hAnsi="TimesNewRoman" w:cs="TimesNewRoman"/>
        </w:rPr>
      </w:pPr>
      <w:r>
        <w:rPr>
          <w:rFonts w:ascii="TimesNewRoman" w:hAnsi="TimesNewRoman" w:cs="TimesNewRoman"/>
        </w:rPr>
        <w:t>• Rozvíjanie výsledkov samitu EÚ – USA z roku 2007 a posilňovanie politických, hospodárskych a obchodných vzťahov so Spojenými štátmi</w:t>
      </w:r>
    </w:p>
    <w:p w:rsidR="00A5062D" w:rsidP="00A5062D">
      <w:pPr>
        <w:autoSpaceDE/>
        <w:autoSpaceDN/>
        <w:jc w:val="both"/>
        <w:rPr>
          <w:rFonts w:ascii="TimesNewRoman" w:hAnsi="TimesNewRoman" w:cs="TimesNewRoman"/>
        </w:rPr>
      </w:pPr>
      <w:r>
        <w:rPr>
          <w:rFonts w:ascii="TimesNewRoman" w:hAnsi="TimesNewRoman" w:cs="TimesNewRoman"/>
        </w:rPr>
        <w:t>• Pokrok v rokovaniach alebo ukončenie rokovaní o dohodách so strategickými partnermi EÚ Čínou a Indiou, ako aj s inými partnermi v Ázii (ASEAN, Južná Kórea) a Latinskej Amerike (Andské spoločenstvo, Stredná Amerika)</w:t>
      </w:r>
    </w:p>
    <w:p w:rsidR="00A5062D" w:rsidP="00A5062D">
      <w:pPr>
        <w:autoSpaceDE/>
        <w:autoSpaceDN/>
        <w:jc w:val="both"/>
        <w:rPr>
          <w:rFonts w:ascii="TimesNewRoman" w:hAnsi="TimesNewRoman" w:cs="TimesNewRoman"/>
        </w:rPr>
      </w:pPr>
      <w:r>
        <w:rPr>
          <w:rFonts w:ascii="TimesNewRoman" w:hAnsi="TimesNewRoman" w:cs="TimesNewRoman"/>
        </w:rPr>
        <w:t>• Preskúmanie vzťahov s Brazíliou so zreteľom na prepojenie medzi rokovaním o asociačnej dohode, vrátane dohody o voľnom obchode, s MERCOSUR a na uzatvorenie/implementáciu asociačných dohôd s Andským spoločenstvom a Stredoamerickým spoločenstvom</w:t>
      </w:r>
    </w:p>
    <w:p w:rsidR="00A5062D" w:rsidP="00A5062D">
      <w:pPr>
        <w:autoSpaceDE/>
        <w:autoSpaceDN/>
        <w:jc w:val="both"/>
        <w:rPr>
          <w:rFonts w:ascii="TimesNewRoman" w:hAnsi="TimesNewRoman" w:cs="TimesNewRoman"/>
        </w:rPr>
      </w:pPr>
      <w:r>
        <w:rPr>
          <w:rFonts w:ascii="TimesNewRoman" w:hAnsi="TimesNewRoman" w:cs="TimesNewRoman"/>
        </w:rPr>
        <w:t>• Prehĺbenie spolupráce s hlavnými producentskými, tranzitnými a spotrebiteľskými krajinami, vrátane podpory trvalo udržateľnej energetiky a energetickej efektívnosti</w:t>
      </w:r>
    </w:p>
    <w:p w:rsidR="00A5062D" w:rsidP="00A5062D">
      <w:pPr>
        <w:autoSpaceDE/>
        <w:autoSpaceDN/>
        <w:jc w:val="both"/>
        <w:rPr>
          <w:rFonts w:ascii="TimesNewRoman" w:hAnsi="TimesNewRoman" w:cs="TimesNewRoman"/>
        </w:rPr>
      </w:pPr>
      <w:r>
        <w:rPr>
          <w:rFonts w:ascii="TimesNewRoman" w:hAnsi="TimesNewRoman" w:cs="TimesNewRoman"/>
        </w:rPr>
        <w:t>• Pokračovanie v angažovaní sa EÚ v Afganistane a naďalej prispievať k stabilite v perzskom zálive s dôrazom na Irán a Irak</w:t>
      </w:r>
    </w:p>
    <w:p w:rsidR="00A5062D" w:rsidP="00A5062D">
      <w:pPr>
        <w:autoSpaceDE/>
        <w:autoSpaceDN/>
        <w:jc w:val="both"/>
        <w:rPr>
          <w:rFonts w:ascii="TimesNewRoman" w:hAnsi="TimesNewRoman" w:cs="TimesNewRoman"/>
        </w:rPr>
      </w:pPr>
    </w:p>
    <w:p w:rsidR="00A5062D" w:rsidP="00A5062D">
      <w:pPr>
        <w:autoSpaceDE/>
        <w:autoSpaceDN/>
        <w:jc w:val="both"/>
        <w:rPr>
          <w:rFonts w:ascii="TimesNewRoman" w:hAnsi="TimesNewRoman" w:cs="TimesNewRoman"/>
        </w:rPr>
      </w:pPr>
    </w:p>
    <w:p w:rsidR="00A5062D" w:rsidP="00A5062D">
      <w:pPr>
        <w:autoSpaceDE/>
        <w:autoSpaceDN/>
        <w:rPr>
          <w:rFonts w:ascii="TimesNewRoman,Bold" w:hAnsi="TimesNewRoman,Bold" w:cs="TimesNewRoman,Bold"/>
          <w:b/>
          <w:bCs/>
        </w:rPr>
      </w:pPr>
      <w:r>
        <w:rPr>
          <w:rFonts w:ascii="TimesNewRoman,Bold" w:hAnsi="TimesNewRoman,Bold" w:cs="TimesNewRoman,Bold"/>
          <w:b/>
          <w:bCs/>
        </w:rPr>
        <w:t>5.</w:t>
        <w:tab/>
        <w:t>Lepšia regulácia</w:t>
      </w:r>
    </w:p>
    <w:p w:rsidR="00A5062D" w:rsidP="00A5062D">
      <w:pPr>
        <w:autoSpaceDE/>
        <w:autoSpaceDN/>
        <w:rPr>
          <w:rFonts w:ascii="TimesNewRoman,Bold" w:hAnsi="TimesNewRoman,Bold" w:cs="TimesNewRoman,Bold"/>
          <w:b/>
          <w:bCs/>
        </w:rPr>
      </w:pPr>
    </w:p>
    <w:p w:rsidR="00A5062D" w:rsidRPr="001B0964" w:rsidP="00A5062D">
      <w:pPr>
        <w:autoSpaceDE/>
        <w:autoSpaceDN/>
        <w:jc w:val="both"/>
        <w:rPr>
          <w:rFonts w:ascii="TimesNewRoman,Bold" w:hAnsi="TimesNewRoman,Bold" w:cs="TimesNewRoman,Bold"/>
          <w:bCs/>
        </w:rPr>
      </w:pPr>
      <w:r w:rsidRPr="001B0964">
        <w:rPr>
          <w:rFonts w:ascii="TimesNewRoman" w:hAnsi="TimesNewRoman" w:cs="TimesNewRoman"/>
        </w:rPr>
        <w:t xml:space="preserve">• </w:t>
      </w:r>
      <w:r w:rsidRPr="001B0964">
        <w:rPr>
          <w:rFonts w:ascii="TimesNewRoman,Bold" w:hAnsi="TimesNewRoman,Bold" w:cs="TimesNewRoman,Bold"/>
          <w:bCs/>
        </w:rPr>
        <w:t>významné a preukázateľné zníženie administratívneho zaťaženia, ktorému sú vystavené podniky EÚ</w:t>
      </w:r>
    </w:p>
    <w:p w:rsidR="00A5062D" w:rsidRPr="001B0964" w:rsidP="00A5062D">
      <w:pPr>
        <w:autoSpaceDE/>
        <w:autoSpaceDN/>
        <w:jc w:val="both"/>
        <w:rPr>
          <w:rFonts w:ascii="TimesNewRoman,Bold" w:hAnsi="TimesNewRoman,Bold" w:cs="TimesNewRoman,Bold"/>
          <w:sz w:val="20"/>
          <w:szCs w:val="20"/>
        </w:rPr>
      </w:pPr>
      <w:r w:rsidRPr="001B0964">
        <w:rPr>
          <w:rFonts w:ascii="TimesNewRoman" w:hAnsi="TimesNewRoman" w:cs="TimesNewRoman"/>
        </w:rPr>
        <w:t xml:space="preserve">• </w:t>
      </w:r>
      <w:r w:rsidRPr="001B0964">
        <w:rPr>
          <w:rFonts w:ascii="TimesNewRoman,Bold" w:hAnsi="TimesNewRoman,Bold" w:cs="TimesNewRoman,Bold"/>
          <w:bCs/>
        </w:rPr>
        <w:t xml:space="preserve">dokončenie programu Komisie v oblasti kodifikácie súčasných právnych predpisov </w:t>
      </w:r>
      <w:r w:rsidRPr="001B0964">
        <w:rPr>
          <w:rFonts w:ascii="TimesNewRoman" w:hAnsi="TimesNewRoman" w:cs="TimesNewRoman"/>
        </w:rPr>
        <w:t xml:space="preserve">vo </w:t>
      </w:r>
      <w:r>
        <w:rPr>
          <w:rFonts w:ascii="TimesNewRoman" w:hAnsi="TimesNewRoman" w:cs="TimesNewRoman"/>
        </w:rPr>
        <w:t>v</w:t>
      </w:r>
      <w:r w:rsidRPr="001B0964">
        <w:rPr>
          <w:rFonts w:ascii="TimesNewRoman" w:hAnsi="TimesNewRoman" w:cs="TimesNewRoman"/>
        </w:rPr>
        <w:t xml:space="preserve">šetkých úradných jazykoch </w:t>
      </w:r>
      <w:r w:rsidRPr="001B0964">
        <w:rPr>
          <w:rFonts w:ascii="TimesNewRoman,Bold" w:hAnsi="TimesNewRoman,Bold" w:cs="TimesNewRoman,Bold"/>
          <w:bCs/>
        </w:rPr>
        <w:t>ako celku</w:t>
      </w:r>
    </w:p>
    <w:p w:rsidR="00A5062D" w:rsidP="00A5062D">
      <w:pPr>
        <w:autoSpaceDE/>
        <w:autoSpaceDN/>
        <w:jc w:val="both"/>
        <w:rPr>
          <w:rFonts w:ascii="TimesNewRoman,Bold" w:hAnsi="TimesNewRoman,Bold" w:cs="TimesNewRoman,Bold"/>
          <w:sz w:val="20"/>
          <w:szCs w:val="20"/>
        </w:rPr>
      </w:pPr>
    </w:p>
    <w:p w:rsidR="00A5062D" w:rsidP="00A5062D">
      <w:pPr>
        <w:autoSpaceDE/>
        <w:autoSpaceDN/>
        <w:rPr>
          <w:rFonts w:ascii="TimesNewRoman,Bold" w:hAnsi="TimesNewRoman,Bold" w:cs="TimesNewRoman,Bold"/>
          <w:b/>
          <w:bCs/>
        </w:rPr>
      </w:pPr>
    </w:p>
    <w:p w:rsidR="00A5062D" w:rsidP="00A5062D">
      <w:pPr>
        <w:autoSpaceDE/>
        <w:autoSpaceDN/>
        <w:rPr>
          <w:rFonts w:ascii="TimesNewRoman,Bold" w:hAnsi="TimesNewRoman,Bold" w:cs="TimesNewRoman,Bold"/>
          <w:b/>
          <w:bCs/>
        </w:rPr>
      </w:pPr>
      <w:r>
        <w:rPr>
          <w:rFonts w:ascii="TimesNewRoman,Bold" w:hAnsi="TimesNewRoman,Bold" w:cs="TimesNewRoman,Bold"/>
          <w:b/>
          <w:bCs/>
        </w:rPr>
        <w:t>6.</w:t>
        <w:tab/>
        <w:t>Komunikačné priority navrhnuté na rok 2008</w:t>
      </w:r>
    </w:p>
    <w:p w:rsidR="00A5062D" w:rsidP="00A5062D">
      <w:pPr>
        <w:autoSpaceDE/>
        <w:autoSpaceDN/>
        <w:rPr>
          <w:rFonts w:ascii="TimesNewRoman" w:hAnsi="TimesNewRoman" w:cs="TimesNewRoman"/>
        </w:rPr>
      </w:pPr>
    </w:p>
    <w:p w:rsidR="00A5062D" w:rsidP="00A5062D">
      <w:pPr>
        <w:autoSpaceDE/>
        <w:autoSpaceDN/>
        <w:rPr>
          <w:rFonts w:ascii="TimesNewRoman" w:hAnsi="TimesNewRoman" w:cs="TimesNewRoman"/>
        </w:rPr>
      </w:pPr>
      <w:r>
        <w:rPr>
          <w:rFonts w:ascii="TimesNewRoman" w:hAnsi="TimesNewRoman" w:cs="TimesNewRoman"/>
        </w:rPr>
        <w:t>• Preskúmanie rozpočtu</w:t>
      </w:r>
    </w:p>
    <w:p w:rsidR="00A5062D" w:rsidP="00A5062D">
      <w:pPr>
        <w:autoSpaceDE/>
        <w:autoSpaceDN/>
        <w:rPr>
          <w:rFonts w:ascii="TimesNewRoman" w:hAnsi="TimesNewRoman" w:cs="TimesNewRoman"/>
        </w:rPr>
      </w:pPr>
      <w:r>
        <w:rPr>
          <w:rFonts w:ascii="TimesNewRoman" w:hAnsi="TimesNewRoman" w:cs="TimesNewRoman"/>
        </w:rPr>
        <w:t>• Preskúmanie jednotného trhu</w:t>
      </w:r>
    </w:p>
    <w:p w:rsidR="00A5062D" w:rsidP="00A5062D">
      <w:pPr>
        <w:autoSpaceDE/>
        <w:autoSpaceDN/>
        <w:rPr>
          <w:rFonts w:ascii="TimesNewRoman" w:hAnsi="TimesNewRoman" w:cs="TimesNewRoman"/>
        </w:rPr>
      </w:pPr>
      <w:r>
        <w:rPr>
          <w:rFonts w:ascii="TimesNewRoman" w:hAnsi="TimesNewRoman" w:cs="TimesNewRoman"/>
        </w:rPr>
        <w:t>• Zhodnotenie sociálnej situácie</w:t>
      </w:r>
    </w:p>
    <w:p w:rsidR="00A5062D" w:rsidP="00A5062D">
      <w:pPr>
        <w:autoSpaceDE/>
        <w:autoSpaceDN/>
        <w:rPr>
          <w:rFonts w:ascii="TimesNewRoman" w:hAnsi="TimesNewRoman" w:cs="TimesNewRoman"/>
        </w:rPr>
      </w:pPr>
      <w:r>
        <w:rPr>
          <w:rFonts w:ascii="TimesNewRoman" w:hAnsi="TimesNewRoman" w:cs="TimesNewRoman"/>
        </w:rPr>
        <w:t>• Migrácia</w:t>
      </w:r>
    </w:p>
    <w:p w:rsidR="00A5062D" w:rsidP="00A5062D">
      <w:pPr>
        <w:autoSpaceDE/>
        <w:autoSpaceDN/>
        <w:rPr>
          <w:rFonts w:ascii="TimesNewRoman" w:hAnsi="TimesNewRoman" w:cs="TimesNewRoman"/>
        </w:rPr>
      </w:pPr>
      <w:r>
        <w:rPr>
          <w:rFonts w:ascii="TimesNewRoman" w:hAnsi="TimesNewRoman" w:cs="TimesNewRoman"/>
        </w:rPr>
        <w:t>• Inštitucionálne usporiadanie</w:t>
      </w:r>
    </w:p>
    <w:p w:rsidR="00A5062D" w:rsidP="00A5062D">
      <w:pPr>
        <w:autoSpaceDE/>
        <w:autoSpaceDN/>
        <w:rPr>
          <w:rFonts w:ascii="TimesNewRoman" w:hAnsi="TimesNewRoman" w:cs="TimesNewRoman"/>
        </w:rPr>
      </w:pPr>
      <w:r>
        <w:rPr>
          <w:rFonts w:ascii="TimesNewRoman" w:hAnsi="TimesNewRoman" w:cs="TimesNewRoman"/>
        </w:rPr>
        <w:t>• Energetika a klimatické zmeny</w:t>
      </w:r>
    </w:p>
    <w:p w:rsidR="00A5062D" w:rsidP="00A5062D">
      <w:pPr>
        <w:autoSpaceDE/>
        <w:autoSpaceDN/>
        <w:rPr>
          <w:rFonts w:ascii="TimesNewRoman" w:hAnsi="TimesNewRoman" w:cs="TimesNewRoman"/>
        </w:rPr>
      </w:pPr>
      <w:r>
        <w:rPr>
          <w:rFonts w:ascii="TimesNewRoman" w:hAnsi="TimesNewRoman" w:cs="TimesNewRoman"/>
        </w:rPr>
        <w:t>• Úloha EÚ vo svete</w:t>
      </w:r>
    </w:p>
    <w:p w:rsidR="00A5062D" w:rsidRPr="00A904E2" w:rsidP="00A5062D">
      <w:pPr>
        <w:autoSpaceDE/>
        <w:autoSpaceDN/>
        <w:jc w:val="both"/>
        <w:rPr>
          <w:rFonts w:ascii="TimesNewRoman" w:hAnsi="TimesNewRoman" w:cs="TimesNewRoman"/>
        </w:rPr>
      </w:pPr>
    </w:p>
    <w:p w:rsidR="00A5062D" w:rsidP="00A5062D">
      <w:pPr>
        <w:autoSpaceDE/>
        <w:autoSpaceDN/>
        <w:rPr>
          <w:rFonts w:ascii="TimesNewRoman,Bold" w:hAnsi="TimesNewRoman,Bold" w:cs="TimesNewRoman,Bold"/>
          <w:sz w:val="20"/>
          <w:szCs w:val="20"/>
        </w:rPr>
      </w:pPr>
    </w:p>
    <w:p w:rsidR="00A5062D" w:rsidRPr="009F46BA" w:rsidP="00A5062D">
      <w:pPr>
        <w:autoSpaceDE/>
        <w:autoSpaceDN/>
        <w:ind w:firstLine="708"/>
        <w:jc w:val="both"/>
        <w:rPr>
          <w:rFonts w:ascii="Times New Roman" w:hAnsi="Times New Roman" w:cs="Times New Roman"/>
        </w:rPr>
      </w:pPr>
      <w:r w:rsidRPr="009F46BA">
        <w:rPr>
          <w:rFonts w:ascii="Times New Roman" w:hAnsi="Times New Roman" w:cs="Times New Roman"/>
        </w:rPr>
        <w:t>Princípom EÚ je</w:t>
      </w:r>
      <w:r w:rsidR="008A2975">
        <w:rPr>
          <w:rFonts w:ascii="Times New Roman" w:hAnsi="Times New Roman" w:cs="Times New Roman"/>
        </w:rPr>
        <w:t>,</w:t>
      </w:r>
      <w:r w:rsidRPr="009F46BA">
        <w:rPr>
          <w:rFonts w:ascii="Times New Roman" w:hAnsi="Times New Roman" w:cs="Times New Roman"/>
        </w:rPr>
        <w:t xml:space="preserve"> že peniaze sledujú politické rozhodnutia. Pri realizácii politík jednotlivých štátov</w:t>
      </w:r>
      <w:r>
        <w:rPr>
          <w:rFonts w:ascii="Times New Roman" w:hAnsi="Times New Roman" w:cs="Times New Roman"/>
        </w:rPr>
        <w:t xml:space="preserve"> bude hrať veľkú úlohu diplomacia. Občianske združenia by mali vyvíjať úsilie, aby sa politika EÚ dostala k občanovi. V otázke daní je potrebné vytvoriť expertné komisie v členských štátoch ako i v EÚ a spoločne rozpracovať návrhy na realizáciu. Prijímanie deklarácií neprinesie žiadnu pridanú hodnotu pre EÚ ako i jednotlivé členské štáty. Preto aj navrhovanie deklarácie k daňovým otázkam považujem</w:t>
      </w:r>
      <w:r w:rsidR="008A2975">
        <w:rPr>
          <w:rFonts w:ascii="Times New Roman" w:hAnsi="Times New Roman" w:cs="Times New Roman"/>
        </w:rPr>
        <w:t>e</w:t>
      </w:r>
      <w:r>
        <w:rPr>
          <w:rFonts w:ascii="Times New Roman" w:hAnsi="Times New Roman" w:cs="Times New Roman"/>
        </w:rPr>
        <w:t xml:space="preserve"> za predčasné, netaktické a zbytočné, veci treba prediskutovať v EÚ.</w:t>
      </w:r>
    </w:p>
    <w:p w:rsidR="00A5062D"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986AA9">
      <w:pPr>
        <w:spacing w:after="120"/>
        <w:jc w:val="both"/>
        <w:rPr>
          <w:rFonts w:ascii="Times New Roman" w:hAnsi="Times New Roman" w:cs="Times New Roman"/>
        </w:rPr>
      </w:pPr>
    </w:p>
    <w:p w:rsidR="006B3DB8" w:rsidP="006B3DB8">
      <w:pPr>
        <w:spacing w:after="120"/>
        <w:jc w:val="center"/>
        <w:rPr>
          <w:rFonts w:ascii="Times New Roman" w:hAnsi="Times New Roman" w:cs="Times New Roman"/>
          <w:b/>
          <w:sz w:val="28"/>
          <w:szCs w:val="28"/>
        </w:rPr>
      </w:pPr>
      <w:r>
        <w:rPr>
          <w:rFonts w:ascii="Times New Roman" w:hAnsi="Times New Roman" w:cs="Times New Roman"/>
          <w:b/>
          <w:sz w:val="28"/>
          <w:szCs w:val="28"/>
        </w:rPr>
        <w:t>Príloha č. 2</w:t>
      </w:r>
    </w:p>
    <w:p w:rsidR="006B3DB8" w:rsidP="006B3DB8">
      <w:pPr>
        <w:spacing w:after="120"/>
        <w:jc w:val="center"/>
        <w:rPr>
          <w:rFonts w:ascii="Times New Roman" w:hAnsi="Times New Roman" w:cs="Times New Roman"/>
          <w:b/>
          <w:sz w:val="28"/>
          <w:szCs w:val="28"/>
        </w:rPr>
      </w:pPr>
    </w:p>
    <w:p w:rsidR="006B3DB8" w:rsidP="006B3DB8">
      <w:pPr>
        <w:spacing w:after="120"/>
        <w:jc w:val="center"/>
        <w:rPr>
          <w:rFonts w:ascii="Times New Roman" w:hAnsi="Times New Roman" w:cs="Times New Roman"/>
          <w:b/>
          <w:sz w:val="28"/>
          <w:szCs w:val="28"/>
        </w:rPr>
      </w:pPr>
      <w:r w:rsidRPr="006B3DB8">
        <w:rPr>
          <w:rFonts w:ascii="Times New Roman" w:hAnsi="Times New Roman" w:cs="Times New Roman"/>
          <w:b/>
          <w:sz w:val="28"/>
          <w:szCs w:val="28"/>
        </w:rPr>
        <w:t xml:space="preserve">Stav čerpania finančných prostriedkov Európskej únie </w:t>
      </w:r>
    </w:p>
    <w:p w:rsidR="006B3DB8" w:rsidP="006B3DB8">
      <w:pPr>
        <w:spacing w:after="120"/>
        <w:jc w:val="center"/>
        <w:rPr>
          <w:rFonts w:ascii="Times New Roman" w:hAnsi="Times New Roman" w:cs="Times New Roman"/>
          <w:b/>
          <w:sz w:val="28"/>
          <w:szCs w:val="28"/>
        </w:rPr>
      </w:pPr>
      <w:r w:rsidRPr="006B3DB8">
        <w:rPr>
          <w:rFonts w:ascii="Times New Roman" w:hAnsi="Times New Roman" w:cs="Times New Roman"/>
          <w:b/>
          <w:sz w:val="28"/>
          <w:szCs w:val="28"/>
        </w:rPr>
        <w:t>od 1.1.2004 do 19.09.2007</w:t>
      </w:r>
    </w:p>
    <w:p w:rsidR="006B3DB8" w:rsidP="00C02351">
      <w:pPr>
        <w:spacing w:after="120"/>
        <w:rPr>
          <w:rFonts w:ascii="Times New Roman" w:hAnsi="Times New Roman" w:cs="Times New Roman"/>
          <w:b/>
          <w:sz w:val="28"/>
          <w:szCs w:val="28"/>
        </w:rPr>
      </w:pPr>
    </w:p>
    <w:p w:rsidR="00BD5D70" w:rsidRPr="003D4E03" w:rsidP="00C02351">
      <w:pPr>
        <w:jc w:val="both"/>
        <w:rPr>
          <w:rFonts w:ascii="Times New Roman" w:hAnsi="Times New Roman" w:cs="Times New Roman"/>
          <w:b/>
          <w:iCs/>
        </w:rPr>
      </w:pPr>
      <w:r w:rsidRPr="003D4E03">
        <w:rPr>
          <w:rFonts w:ascii="Times New Roman" w:hAnsi="Times New Roman" w:cs="Times New Roman"/>
          <w:b/>
          <w:iCs/>
        </w:rPr>
        <w:t>1. Štrukturálne fondy</w:t>
      </w:r>
    </w:p>
    <w:p w:rsidR="00BD5D70" w:rsidRPr="003D4E03" w:rsidP="00C02351">
      <w:pPr>
        <w:jc w:val="both"/>
        <w:rPr>
          <w:rFonts w:ascii="Times New Roman" w:hAnsi="Times New Roman" w:cs="Times New Roman"/>
          <w:b/>
          <w:iCs/>
        </w:rPr>
      </w:pPr>
    </w:p>
    <w:p w:rsidR="00C02351" w:rsidRPr="003D4E03" w:rsidP="00C02351">
      <w:pPr>
        <w:jc w:val="both"/>
        <w:rPr>
          <w:rFonts w:ascii="Times New Roman" w:hAnsi="Times New Roman" w:cs="Times New Roman"/>
          <w:b/>
          <w:iCs/>
        </w:rPr>
      </w:pPr>
      <w:r w:rsidRPr="003D4E03" w:rsidR="005C26B3">
        <w:rPr>
          <w:rFonts w:ascii="Times New Roman" w:hAnsi="Times New Roman" w:cs="Times New Roman"/>
          <w:b/>
          <w:iCs/>
        </w:rPr>
        <w:t xml:space="preserve">Celkové čerpanie </w:t>
      </w:r>
      <w:r w:rsidR="003D4E03">
        <w:rPr>
          <w:rFonts w:ascii="Times New Roman" w:hAnsi="Times New Roman" w:cs="Times New Roman"/>
          <w:b/>
          <w:iCs/>
        </w:rPr>
        <w:t>štrukturálnych fondov (</w:t>
      </w:r>
      <w:r w:rsidRPr="003D4E03" w:rsidR="005C26B3">
        <w:rPr>
          <w:rFonts w:ascii="Times New Roman" w:hAnsi="Times New Roman" w:cs="Times New Roman"/>
          <w:b/>
          <w:iCs/>
        </w:rPr>
        <w:t>ŠF</w:t>
      </w:r>
      <w:r w:rsidR="003D4E03">
        <w:rPr>
          <w:rFonts w:ascii="Times New Roman" w:hAnsi="Times New Roman" w:cs="Times New Roman"/>
          <w:b/>
          <w:iCs/>
        </w:rPr>
        <w:t>)</w:t>
      </w:r>
      <w:r w:rsidRPr="003D4E03" w:rsidR="005C26B3">
        <w:rPr>
          <w:rFonts w:ascii="Times New Roman" w:hAnsi="Times New Roman" w:cs="Times New Roman"/>
          <w:b/>
          <w:iCs/>
        </w:rPr>
        <w:t xml:space="preserve"> k 19.09.2007</w:t>
      </w:r>
    </w:p>
    <w:p w:rsidR="005C26B3" w:rsidRPr="003D4E03" w:rsidP="00C02351">
      <w:pPr>
        <w:jc w:val="both"/>
        <w:rPr>
          <w:rFonts w:ascii="Times New Roman" w:hAnsi="Times New Roman" w:cs="Times New Roman"/>
        </w:rPr>
      </w:pPr>
    </w:p>
    <w:p w:rsidR="005C26B3" w:rsidRPr="003D4E03" w:rsidP="005C26B3">
      <w:pPr>
        <w:ind w:firstLine="540"/>
        <w:jc w:val="both"/>
        <w:rPr>
          <w:rFonts w:ascii="Times New Roman" w:hAnsi="Times New Roman" w:cs="Times New Roman"/>
        </w:rPr>
      </w:pPr>
      <w:r w:rsidRPr="003D4E03" w:rsidR="00C02351">
        <w:rPr>
          <w:rFonts w:ascii="Times New Roman" w:hAnsi="Times New Roman" w:cs="Times New Roman"/>
        </w:rPr>
        <w:t>C</w:t>
      </w:r>
      <w:r w:rsidRPr="003D4E03" w:rsidR="00C02351">
        <w:rPr>
          <w:rFonts w:ascii="Times New Roman" w:hAnsi="Times New Roman" w:cs="Times New Roman"/>
          <w:bCs/>
        </w:rPr>
        <w:t>elkový záväzok finančných prostriedkov</w:t>
      </w:r>
      <w:r w:rsidRPr="003D4E03" w:rsidR="00C02351">
        <w:rPr>
          <w:rFonts w:ascii="Times New Roman" w:hAnsi="Times New Roman" w:cs="Times New Roman"/>
        </w:rPr>
        <w:t xml:space="preserve"> všetkých programových dokumentov ŠF na programové obdobie </w:t>
      </w:r>
      <w:r w:rsidRPr="003D4E03" w:rsidR="00C02351">
        <w:rPr>
          <w:rFonts w:ascii="Times New Roman" w:hAnsi="Times New Roman" w:cs="Times New Roman"/>
          <w:bCs/>
        </w:rPr>
        <w:t>2004 - 2006</w:t>
      </w:r>
      <w:r w:rsidRPr="003D4E03" w:rsidR="00C02351">
        <w:rPr>
          <w:rFonts w:ascii="Times New Roman" w:hAnsi="Times New Roman" w:cs="Times New Roman"/>
        </w:rPr>
        <w:t xml:space="preserve"> predstavuje sumu </w:t>
      </w:r>
      <w:r w:rsidRPr="003D4E03" w:rsidR="00C02351">
        <w:rPr>
          <w:rFonts w:ascii="Times New Roman" w:hAnsi="Times New Roman" w:cs="Times New Roman"/>
          <w:b/>
        </w:rPr>
        <w:t>44 677 800 442 Sk.</w:t>
      </w:r>
      <w:r w:rsidRPr="003D4E03" w:rsidR="00C02351">
        <w:rPr>
          <w:rFonts w:ascii="Times New Roman" w:hAnsi="Times New Roman" w:cs="Times New Roman"/>
        </w:rPr>
        <w:t xml:space="preserve"> Celkové čerpanie zo zdrojov EÚ a ŠR v období od 01.01.2004 do 19.09.2007 predstavuje sumu </w:t>
      </w:r>
      <w:r w:rsidRPr="003D4E03" w:rsidR="00C02351">
        <w:rPr>
          <w:rFonts w:ascii="Times New Roman" w:hAnsi="Times New Roman" w:cs="Times New Roman"/>
          <w:b/>
        </w:rPr>
        <w:t>31 391 326 235 Sk</w:t>
      </w:r>
      <w:r w:rsidRPr="003D4E03" w:rsidR="00C02351">
        <w:rPr>
          <w:rFonts w:ascii="Times New Roman" w:hAnsi="Times New Roman" w:cs="Times New Roman"/>
        </w:rPr>
        <w:t xml:space="preserve"> (z toho 22 510 339 992 Sk tvoria zdroje EÚ a 8 880 986 243 Sk zdroje ŠR), ktorú tvorí objem schválených súhrnných žiadostí o platbu (SŽP) na právnickú osobu po odčítaní nezrovnalostí a vratiek. </w:t>
      </w:r>
      <w:r w:rsidRPr="003D4E03">
        <w:rPr>
          <w:rFonts w:ascii="Times New Roman" w:hAnsi="Times New Roman" w:cs="Times New Roman"/>
          <w:b/>
        </w:rPr>
        <w:t>Tento pomer v percentuálnom vyjadrení predstavuje 70,09%.</w:t>
      </w:r>
      <w:r w:rsidRPr="003D4E03">
        <w:rPr>
          <w:rFonts w:ascii="Times New Roman" w:hAnsi="Times New Roman" w:cs="Times New Roman"/>
        </w:rPr>
        <w:t xml:space="preserve"> </w:t>
      </w:r>
    </w:p>
    <w:p w:rsidR="005C26B3" w:rsidRPr="003D4E03" w:rsidP="005C26B3">
      <w:pPr>
        <w:ind w:firstLine="540"/>
        <w:jc w:val="both"/>
        <w:rPr>
          <w:rFonts w:ascii="Times New Roman" w:hAnsi="Times New Roman" w:cs="Times New Roman"/>
          <w:i/>
        </w:rPr>
      </w:pPr>
    </w:p>
    <w:p w:rsidR="005C26B3" w:rsidRPr="003D4E03" w:rsidP="005C26B3">
      <w:pPr>
        <w:ind w:firstLine="540"/>
        <w:jc w:val="both"/>
        <w:rPr>
          <w:rFonts w:ascii="Times New Roman" w:hAnsi="Times New Roman" w:cs="Times New Roman"/>
          <w:b/>
        </w:rPr>
      </w:pPr>
      <w:r w:rsidRPr="003D4E03" w:rsidR="00C02351">
        <w:rPr>
          <w:rFonts w:ascii="Times New Roman" w:hAnsi="Times New Roman" w:cs="Times New Roman"/>
        </w:rPr>
        <w:t xml:space="preserve">Najväčší objem prostriedkov za zdroje EÚ a ŠR bol schválený v rámci </w:t>
      </w:r>
      <w:r w:rsidR="003D4E03">
        <w:rPr>
          <w:rFonts w:ascii="Times New Roman" w:hAnsi="Times New Roman" w:cs="Times New Roman"/>
        </w:rPr>
        <w:t>sektorového operačného programu (S</w:t>
      </w:r>
      <w:r w:rsidRPr="003D4E03" w:rsidR="00C02351">
        <w:rPr>
          <w:rFonts w:ascii="Times New Roman" w:hAnsi="Times New Roman" w:cs="Times New Roman"/>
        </w:rPr>
        <w:t>OP</w:t>
      </w:r>
      <w:r w:rsidR="003D4E03">
        <w:rPr>
          <w:rFonts w:ascii="Times New Roman" w:hAnsi="Times New Roman" w:cs="Times New Roman"/>
        </w:rPr>
        <w:t>)</w:t>
      </w:r>
      <w:r w:rsidRPr="003D4E03" w:rsidR="00C02351">
        <w:rPr>
          <w:rFonts w:ascii="Times New Roman" w:hAnsi="Times New Roman" w:cs="Times New Roman"/>
        </w:rPr>
        <w:t xml:space="preserve"> Základná </w:t>
      </w:r>
      <w:r w:rsidRPr="003D4E03" w:rsidR="003D4E03">
        <w:rPr>
          <w:rFonts w:ascii="Times New Roman" w:hAnsi="Times New Roman" w:cs="Times New Roman"/>
        </w:rPr>
        <w:t>infraštruktúra</w:t>
      </w:r>
      <w:r w:rsidRPr="003D4E03" w:rsidR="00C02351">
        <w:rPr>
          <w:rFonts w:ascii="Times New Roman" w:hAnsi="Times New Roman" w:cs="Times New Roman"/>
        </w:rPr>
        <w:t xml:space="preserve"> vo výške 10 441 134 498 Sk, ďalej v rámci </w:t>
      </w:r>
      <w:r w:rsidR="003D4E03">
        <w:rPr>
          <w:rFonts w:ascii="Times New Roman" w:hAnsi="Times New Roman" w:cs="Times New Roman"/>
        </w:rPr>
        <w:t>S</w:t>
      </w:r>
      <w:r w:rsidRPr="003D4E03" w:rsidR="00C02351">
        <w:rPr>
          <w:rFonts w:ascii="Times New Roman" w:hAnsi="Times New Roman" w:cs="Times New Roman"/>
        </w:rPr>
        <w:t xml:space="preserve">OP Ľudské zdroje vo výške 7 158 569 811 Sk a v rámci SOP Poľnohospodárstvo a rozvoj vidieka vo výške 6 725 846 861 Sk. </w:t>
      </w:r>
      <w:r w:rsidRPr="00564366">
        <w:rPr>
          <w:rFonts w:ascii="Times New Roman" w:hAnsi="Times New Roman" w:cs="Times New Roman"/>
        </w:rPr>
        <w:t>Podľa štruktúry čerpania pracuje v tomto období</w:t>
      </w:r>
      <w:r w:rsidRPr="003D4E03">
        <w:rPr>
          <w:rFonts w:ascii="Times New Roman" w:hAnsi="Times New Roman" w:cs="Times New Roman"/>
          <w:b/>
        </w:rPr>
        <w:t xml:space="preserve"> najefektívnejšie SOP Poľnohospodárstvo a rozvoj vidieka s  66,06% plnením čerpania k 19.9.2007.</w:t>
      </w:r>
      <w:r w:rsidRPr="003D4E03">
        <w:rPr>
          <w:rFonts w:ascii="Times New Roman" w:hAnsi="Times New Roman" w:cs="Times New Roman"/>
          <w:b/>
          <w:i/>
        </w:rPr>
        <w:t xml:space="preserve"> </w:t>
      </w:r>
      <w:r w:rsidRPr="003D4E03" w:rsidR="00C02351">
        <w:rPr>
          <w:rFonts w:ascii="Times New Roman" w:hAnsi="Times New Roman" w:cs="Times New Roman"/>
        </w:rPr>
        <w:t>Naopak najmenší objem prostriedkov sa čerpal v rámci programov CIP INTERREG IIIA (CIP INTERREG IIIA H-SR-Ukr 170 264 894 Sk, CIP INTERREG IIIA RA-SR vo výške 154 421 279 Sk), JPD NUTS II Bratislava Cieľ 3   610 740 226 Sk a JPD NUTS II Bratislava Cieľ 2   913 756 521 Sk.</w:t>
      </w:r>
      <w:r w:rsidRPr="003D4E03">
        <w:rPr>
          <w:rFonts w:ascii="Times New Roman" w:hAnsi="Times New Roman" w:cs="Times New Roman"/>
        </w:rPr>
        <w:t xml:space="preserve"> </w:t>
      </w:r>
      <w:r w:rsidRPr="003D4E03" w:rsidR="003D4E03">
        <w:rPr>
          <w:rFonts w:ascii="Times New Roman" w:hAnsi="Times New Roman" w:cs="Times New Roman"/>
          <w:b/>
        </w:rPr>
        <w:t>N</w:t>
      </w:r>
      <w:r w:rsidRPr="003D4E03">
        <w:rPr>
          <w:rFonts w:ascii="Times New Roman" w:hAnsi="Times New Roman" w:cs="Times New Roman"/>
          <w:b/>
        </w:rPr>
        <w:t>ajmenej efektívnym sa ukazuje JPD NUTS II BA cieľ 3</w:t>
      </w:r>
      <w:r w:rsidR="003D4E03">
        <w:rPr>
          <w:rFonts w:ascii="Times New Roman" w:hAnsi="Times New Roman" w:cs="Times New Roman"/>
          <w:b/>
        </w:rPr>
        <w:t xml:space="preserve"> s </w:t>
      </w:r>
      <w:r w:rsidRPr="003D4E03" w:rsidR="003D4E03">
        <w:rPr>
          <w:rFonts w:ascii="Times New Roman" w:hAnsi="Times New Roman" w:cs="Times New Roman"/>
          <w:b/>
        </w:rPr>
        <w:t>50,38%</w:t>
      </w:r>
      <w:r w:rsidR="003D4E03">
        <w:rPr>
          <w:rFonts w:ascii="Times New Roman" w:hAnsi="Times New Roman" w:cs="Times New Roman"/>
          <w:b/>
        </w:rPr>
        <w:t xml:space="preserve"> plnením čerpania</w:t>
      </w:r>
      <w:r w:rsidRPr="003D4E03">
        <w:rPr>
          <w:rFonts w:ascii="Times New Roman" w:hAnsi="Times New Roman" w:cs="Times New Roman"/>
          <w:b/>
        </w:rPr>
        <w:t xml:space="preserve"> </w:t>
      </w:r>
      <w:r w:rsidRPr="003D4E03" w:rsidR="003D4E03">
        <w:rPr>
          <w:rFonts w:ascii="Times New Roman" w:hAnsi="Times New Roman" w:cs="Times New Roman"/>
          <w:b/>
        </w:rPr>
        <w:t>k 19.9.2007</w:t>
      </w:r>
      <w:r w:rsidR="003D4E03">
        <w:rPr>
          <w:rFonts w:ascii="Times New Roman" w:hAnsi="Times New Roman" w:cs="Times New Roman"/>
          <w:b/>
        </w:rPr>
        <w:t>.</w:t>
      </w:r>
      <w:r w:rsidRPr="003D4E03">
        <w:rPr>
          <w:rFonts w:ascii="Times New Roman" w:hAnsi="Times New Roman" w:cs="Times New Roman"/>
          <w:b/>
        </w:rPr>
        <w:t xml:space="preserve"> </w:t>
      </w:r>
    </w:p>
    <w:p w:rsidR="00C02351" w:rsidRPr="003D4E03" w:rsidP="00C02351">
      <w:pPr>
        <w:ind w:firstLine="540"/>
        <w:jc w:val="both"/>
        <w:rPr>
          <w:rFonts w:ascii="Times New Roman" w:hAnsi="Times New Roman" w:cs="Times New Roman"/>
        </w:rPr>
      </w:pPr>
    </w:p>
    <w:p w:rsidR="005C26B3" w:rsidP="005C26B3">
      <w:pPr>
        <w:jc w:val="both"/>
        <w:rPr>
          <w:rFonts w:ascii="Times New Roman" w:hAnsi="Times New Roman" w:cs="Times New Roman"/>
          <w:b/>
          <w:i/>
          <w:sz w:val="22"/>
          <w:szCs w:val="22"/>
        </w:rPr>
      </w:pPr>
      <w:r w:rsidR="006A0BAA">
        <w:rPr>
          <w:rFonts w:ascii="Times New Roman" w:hAnsi="Times New Roman" w:cs="Times New Roman"/>
          <w:sz w:val="22"/>
          <w:szCs w:val="22"/>
        </w:rPr>
        <w:t>Graf č. 1</w:t>
      </w:r>
    </w:p>
    <w:p w:rsidR="005C26B3" w:rsidP="00C02351">
      <w:pPr>
        <w:ind w:firstLine="540"/>
        <w:jc w:val="both"/>
        <w:rPr>
          <w:rFonts w:ascii="Times New Roman" w:hAnsi="Times New Roman" w:cs="Times New Roman"/>
        </w:rPr>
      </w:pPr>
    </w:p>
    <w:p w:rsidR="005C26B3" w:rsidRPr="003D4E03" w:rsidP="00C02351">
      <w:pPr>
        <w:ind w:firstLine="540"/>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8pt;height:246.25pt" stroked="f">
            <v:imagedata r:id="rId7" o:title=""/>
          </v:shape>
        </w:pict>
      </w:r>
    </w:p>
    <w:p w:rsidR="003D4E03" w:rsidP="005C26B3">
      <w:pPr>
        <w:jc w:val="both"/>
        <w:rPr>
          <w:rFonts w:ascii="Times New Roman" w:hAnsi="Times New Roman" w:cs="Times New Roman"/>
          <w:b/>
          <w:bCs/>
          <w:iCs/>
          <w:sz w:val="22"/>
          <w:szCs w:val="22"/>
        </w:rPr>
      </w:pPr>
    </w:p>
    <w:p w:rsidR="003D4E03" w:rsidP="005C26B3">
      <w:pPr>
        <w:jc w:val="both"/>
        <w:rPr>
          <w:rFonts w:ascii="Times New Roman" w:hAnsi="Times New Roman" w:cs="Times New Roman"/>
          <w:b/>
          <w:bCs/>
          <w:iCs/>
          <w:sz w:val="22"/>
          <w:szCs w:val="22"/>
        </w:rPr>
        <w:sectPr>
          <w:pgSz w:w="11906" w:h="16838"/>
          <w:pgMar w:top="1134" w:right="1418" w:bottom="1418" w:left="1418" w:header="709" w:footer="709" w:gutter="0"/>
          <w:pgNumType w:start="8"/>
          <w:cols w:space="708"/>
          <w:titlePg/>
          <w:bidi w:val="0"/>
          <w:docGrid w:linePitch="360"/>
        </w:sectPr>
      </w:pPr>
    </w:p>
    <w:tbl>
      <w:tblPr>
        <w:tblW w:w="0" w:type="auto"/>
        <w:tblLayout w:type="fixed"/>
        <w:tblCellMar>
          <w:top w:w="0" w:type="dxa"/>
          <w:left w:w="30" w:type="dxa"/>
          <w:bottom w:w="0" w:type="dxa"/>
          <w:right w:w="30" w:type="dxa"/>
        </w:tblCellMar>
      </w:tblPr>
      <w:tblGrid>
        <w:gridCol w:w="2189"/>
        <w:gridCol w:w="1313"/>
        <w:gridCol w:w="1056"/>
        <w:gridCol w:w="1228"/>
        <w:gridCol w:w="1359"/>
        <w:gridCol w:w="1245"/>
        <w:gridCol w:w="1246"/>
        <w:gridCol w:w="960"/>
        <w:gridCol w:w="960"/>
        <w:gridCol w:w="960"/>
        <w:gridCol w:w="960"/>
        <w:gridCol w:w="960"/>
      </w:tblGrid>
      <w:tr>
        <w:tblPrEx>
          <w:tblW w:w="0" w:type="auto"/>
          <w:tblLayout w:type="fixed"/>
          <w:tblCellMar>
            <w:top w:w="0" w:type="dxa"/>
            <w:left w:w="30" w:type="dxa"/>
            <w:bottom w:w="0" w:type="dxa"/>
            <w:right w:w="30" w:type="dxa"/>
          </w:tblCellMar>
        </w:tblPrEx>
        <w:trPr>
          <w:trHeight w:val="235"/>
        </w:trPr>
        <w:tc>
          <w:tcPr>
            <w:tcW w:w="2189"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rPr>
                <w:rFonts w:ascii="Arial" w:hAnsi="Arial" w:cs="Arial"/>
                <w:color w:val="000000"/>
                <w:sz w:val="20"/>
                <w:szCs w:val="20"/>
              </w:rPr>
            </w:pPr>
            <w:r w:rsidR="006A0BAA">
              <w:rPr>
                <w:rFonts w:ascii="Arial" w:hAnsi="Arial" w:cs="Arial"/>
                <w:color w:val="000000"/>
                <w:sz w:val="20"/>
                <w:szCs w:val="20"/>
              </w:rPr>
              <w:t>Tab.</w:t>
            </w:r>
            <w:r w:rsidRPr="00B73899">
              <w:rPr>
                <w:rFonts w:ascii="Arial" w:hAnsi="Arial" w:cs="Arial"/>
                <w:color w:val="000000"/>
                <w:sz w:val="20"/>
                <w:szCs w:val="20"/>
              </w:rPr>
              <w:t xml:space="preserve"> </w:t>
            </w:r>
            <w:r w:rsidR="006A0BAA">
              <w:rPr>
                <w:rFonts w:ascii="Arial" w:hAnsi="Arial" w:cs="Arial"/>
                <w:color w:val="000000"/>
                <w:sz w:val="20"/>
                <w:szCs w:val="20"/>
              </w:rPr>
              <w:t>2</w:t>
            </w:r>
          </w:p>
        </w:tc>
        <w:tc>
          <w:tcPr>
            <w:tcW w:w="1313"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056"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28"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359"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5"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6"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r>
      <w:tr>
        <w:tblPrEx>
          <w:tblW w:w="0" w:type="auto"/>
          <w:tblLayout w:type="fixed"/>
          <w:tblCellMar>
            <w:top w:w="0" w:type="dxa"/>
            <w:left w:w="30" w:type="dxa"/>
            <w:bottom w:w="0" w:type="dxa"/>
            <w:right w:w="30" w:type="dxa"/>
          </w:tblCellMar>
        </w:tblPrEx>
        <w:trPr>
          <w:trHeight w:val="372"/>
        </w:trPr>
        <w:tc>
          <w:tcPr>
            <w:tcW w:w="2189" w:type="dxa"/>
            <w:gridSpan w:val="7"/>
            <w:tcBorders>
              <w:top w:val="single" w:sz="2" w:space="0" w:color="000000"/>
              <w:left w:val="single" w:sz="2" w:space="0" w:color="000000"/>
              <w:bottom w:val="single" w:sz="12" w:space="0" w:color="auto"/>
              <w:right w:val="nil"/>
              <w:tl2br w:val="nil"/>
              <w:tr2bl w:val="nil"/>
            </w:tcBorders>
            <w:textDirection w:val="lrTb"/>
            <w:vAlign w:val="top"/>
          </w:tcPr>
          <w:p w:rsidR="003D4E03" w:rsidRPr="00B73899" w:rsidP="0046022A">
            <w:pPr>
              <w:autoSpaceDE/>
              <w:autoSpaceDN/>
              <w:rPr>
                <w:rFonts w:ascii="Arial" w:hAnsi="Arial" w:cs="Arial"/>
                <w:b/>
                <w:bCs/>
                <w:color w:val="000000"/>
                <w:sz w:val="20"/>
                <w:szCs w:val="20"/>
              </w:rPr>
            </w:pPr>
            <w:r w:rsidRPr="00B73899">
              <w:rPr>
                <w:rFonts w:ascii="Arial" w:hAnsi="Arial" w:cs="Arial"/>
                <w:b/>
                <w:bCs/>
                <w:color w:val="000000"/>
                <w:sz w:val="20"/>
                <w:szCs w:val="20"/>
              </w:rPr>
              <w:t>Vývoj čerpania prostriedkov štrukturálnych fondov  na záväzku 2004-2006 k 10.09.2007</w:t>
            </w:r>
          </w:p>
        </w:tc>
        <w:tc>
          <w:tcPr>
            <w:tcW w:w="960" w:type="dxa"/>
            <w:tcBorders>
              <w:top w:val="single" w:sz="2" w:space="0" w:color="000000"/>
              <w:left w:val="nil"/>
              <w:bottom w:val="single" w:sz="12" w:space="0" w:color="auto"/>
              <w:right w:val="nil"/>
              <w:tl2br w:val="nil"/>
              <w:tr2bl w:val="nil"/>
            </w:tcBorders>
            <w:textDirection w:val="lrTb"/>
            <w:vAlign w:val="top"/>
          </w:tcPr>
          <w:p w:rsidR="003D4E03" w:rsidRPr="00B73899" w:rsidP="0046022A">
            <w:pPr>
              <w:autoSpaceDE/>
              <w:autoSpaceDN/>
              <w:rPr>
                <w:rFonts w:ascii="Arial" w:hAnsi="Arial" w:cs="Arial"/>
                <w:color w:val="000000"/>
                <w:sz w:val="20"/>
                <w:szCs w:val="20"/>
              </w:rPr>
            </w:pPr>
          </w:p>
        </w:tc>
        <w:tc>
          <w:tcPr>
            <w:tcW w:w="960" w:type="dxa"/>
            <w:tcBorders>
              <w:top w:val="single" w:sz="2" w:space="0" w:color="000000"/>
              <w:left w:val="nil"/>
              <w:bottom w:val="single" w:sz="12" w:space="0" w:color="auto"/>
              <w:right w:val="nil"/>
              <w:tl2br w:val="nil"/>
              <w:tr2bl w:val="nil"/>
            </w:tcBorders>
            <w:textDirection w:val="lrTb"/>
            <w:vAlign w:val="top"/>
          </w:tcPr>
          <w:p w:rsidR="003D4E03" w:rsidRPr="00B73899" w:rsidP="0046022A">
            <w:pPr>
              <w:autoSpaceDE/>
              <w:autoSpaceDN/>
              <w:rPr>
                <w:rFonts w:ascii="Arial" w:hAnsi="Arial" w:cs="Arial"/>
                <w:color w:val="000000"/>
                <w:sz w:val="20"/>
                <w:szCs w:val="20"/>
              </w:rPr>
            </w:pPr>
          </w:p>
        </w:tc>
        <w:tc>
          <w:tcPr>
            <w:tcW w:w="960" w:type="dxa"/>
            <w:tcBorders>
              <w:top w:val="single" w:sz="2" w:space="0" w:color="000000"/>
              <w:left w:val="nil"/>
              <w:bottom w:val="single" w:sz="12" w:space="0" w:color="auto"/>
              <w:right w:val="single" w:sz="2" w:space="0" w:color="000000"/>
              <w:tl2br w:val="nil"/>
              <w:tr2bl w:val="nil"/>
            </w:tcBorders>
            <w:textDirection w:val="lrTb"/>
            <w:vAlign w:val="top"/>
          </w:tcPr>
          <w:p w:rsidR="003D4E03" w:rsidRPr="00B73899" w:rsidP="0046022A">
            <w:pPr>
              <w:autoSpaceDE/>
              <w:autoSpaceDN/>
              <w:rPr>
                <w:rFonts w:ascii="Arial" w:hAnsi="Arial" w:cs="Arial"/>
                <w:color w:val="000000"/>
                <w:sz w:val="20"/>
                <w:szCs w:val="20"/>
              </w:rPr>
            </w:pPr>
          </w:p>
        </w:tc>
        <w:tc>
          <w:tcPr>
            <w:tcW w:w="960" w:type="dxa"/>
            <w:tcBorders>
              <w:top w:val="single" w:sz="2" w:space="0" w:color="000000"/>
              <w:left w:val="single" w:sz="2" w:space="0" w:color="000000"/>
              <w:bottom w:val="single" w:sz="12" w:space="0" w:color="auto"/>
              <w:right w:val="single" w:sz="2" w:space="0" w:color="000000"/>
              <w:tl2br w:val="nil"/>
              <w:tr2bl w:val="nil"/>
            </w:tcBorders>
            <w:textDirection w:val="lrTb"/>
            <w:vAlign w:val="top"/>
          </w:tcPr>
          <w:p w:rsidR="003D4E03" w:rsidRPr="00B73899" w:rsidP="0046022A">
            <w:pPr>
              <w:autoSpaceDE/>
              <w:autoSpaceDN/>
              <w:rPr>
                <w:rFonts w:ascii="Arial" w:hAnsi="Arial" w:cs="Arial"/>
                <w:color w:val="000000"/>
                <w:sz w:val="20"/>
                <w:szCs w:val="20"/>
              </w:rPr>
            </w:pPr>
          </w:p>
        </w:tc>
        <w:tc>
          <w:tcPr>
            <w:tcW w:w="960" w:type="dxa"/>
            <w:tcBorders>
              <w:top w:val="single" w:sz="2" w:space="0" w:color="000000"/>
              <w:left w:val="single" w:sz="2" w:space="0" w:color="000000"/>
              <w:bottom w:val="single" w:sz="12" w:space="0" w:color="auto"/>
              <w:right w:val="single" w:sz="2" w:space="0" w:color="000000"/>
              <w:tl2br w:val="nil"/>
              <w:tr2bl w:val="nil"/>
            </w:tcBorders>
            <w:textDirection w:val="lrTb"/>
            <w:vAlign w:val="top"/>
          </w:tcPr>
          <w:p w:rsidR="003D4E03" w:rsidRPr="00B73899" w:rsidP="0046022A">
            <w:pPr>
              <w:autoSpaceDE/>
              <w:autoSpaceDN/>
              <w:rPr>
                <w:rFonts w:ascii="Arial" w:hAnsi="Arial" w:cs="Arial"/>
                <w:color w:val="000000"/>
                <w:sz w:val="20"/>
                <w:szCs w:val="20"/>
              </w:rPr>
            </w:pPr>
          </w:p>
        </w:tc>
      </w:tr>
      <w:tr>
        <w:tblPrEx>
          <w:tblW w:w="0" w:type="auto"/>
          <w:tblLayout w:type="fixed"/>
          <w:tblCellMar>
            <w:top w:w="0" w:type="dxa"/>
            <w:left w:w="30" w:type="dxa"/>
            <w:bottom w:w="0" w:type="dxa"/>
            <w:right w:w="30" w:type="dxa"/>
          </w:tblCellMar>
        </w:tblPrEx>
        <w:trPr>
          <w:trHeight w:val="1661"/>
        </w:trPr>
        <w:tc>
          <w:tcPr>
            <w:tcW w:w="2189" w:type="dxa"/>
            <w:tcBorders>
              <w:top w:val="single" w:sz="12" w:space="0" w:color="auto"/>
              <w:left w:val="single" w:sz="12" w:space="0" w:color="auto"/>
              <w:bottom w:val="doub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Programový dokument</w:t>
            </w:r>
          </w:p>
        </w:tc>
        <w:tc>
          <w:tcPr>
            <w:tcW w:w="1313" w:type="dxa"/>
            <w:tcBorders>
              <w:top w:val="single" w:sz="12" w:space="0" w:color="auto"/>
              <w:left w:val="single" w:sz="6" w:space="0" w:color="auto"/>
              <w:bottom w:val="doub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Záväzok</w:t>
            </w:r>
          </w:p>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2004-2006 v bežných cenách v Sk* (po automatickom znížení)</w:t>
            </w:r>
          </w:p>
        </w:tc>
        <w:tc>
          <w:tcPr>
            <w:tcW w:w="1056" w:type="dxa"/>
            <w:gridSpan w:val="3"/>
            <w:tcBorders>
              <w:top w:val="single" w:sz="12" w:space="0" w:color="auto"/>
              <w:left w:val="single" w:sz="6" w:space="0" w:color="auto"/>
              <w:bottom w:val="double" w:sz="6" w:space="0" w:color="auto"/>
              <w:right w:val="nil"/>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Výška čerpania  za zdroj EÚ v Sk</w:t>
            </w:r>
          </w:p>
        </w:tc>
        <w:tc>
          <w:tcPr>
            <w:tcW w:w="1245" w:type="dxa"/>
            <w:tcBorders>
              <w:top w:val="single" w:sz="12" w:space="0" w:color="auto"/>
              <w:left w:val="nil"/>
              <w:bottom w:val="double" w:sz="6" w:space="0" w:color="auto"/>
              <w:right w:val="nil"/>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p>
        </w:tc>
        <w:tc>
          <w:tcPr>
            <w:tcW w:w="1246" w:type="dxa"/>
            <w:tcBorders>
              <w:top w:val="single" w:sz="12" w:space="0" w:color="auto"/>
              <w:left w:val="nil"/>
              <w:bottom w:val="doub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p>
        </w:tc>
        <w:tc>
          <w:tcPr>
            <w:tcW w:w="960" w:type="dxa"/>
            <w:gridSpan w:val="5"/>
            <w:tcBorders>
              <w:top w:val="single" w:sz="12" w:space="0" w:color="auto"/>
              <w:left w:val="single" w:sz="6" w:space="0" w:color="auto"/>
              <w:bottom w:val="doub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Podiel  čerpania na záväzku 2004-2006 v %</w:t>
            </w:r>
          </w:p>
        </w:tc>
      </w:tr>
      <w:tr>
        <w:tblPrEx>
          <w:tblW w:w="0" w:type="auto"/>
          <w:tblLayout w:type="fixed"/>
          <w:tblCellMar>
            <w:top w:w="0" w:type="dxa"/>
            <w:left w:w="30" w:type="dxa"/>
            <w:bottom w:w="0" w:type="dxa"/>
            <w:right w:w="30" w:type="dxa"/>
          </w:tblCellMar>
        </w:tblPrEx>
        <w:trPr>
          <w:trHeight w:val="343"/>
        </w:trPr>
        <w:tc>
          <w:tcPr>
            <w:tcW w:w="2189" w:type="dxa"/>
            <w:tcBorders>
              <w:top w:val="doub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b/>
                <w:bCs/>
                <w:color w:val="000000"/>
                <w:sz w:val="20"/>
                <w:szCs w:val="20"/>
              </w:rPr>
            </w:pPr>
          </w:p>
        </w:tc>
        <w:tc>
          <w:tcPr>
            <w:tcW w:w="1313"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EÚ zdroje</w:t>
            </w:r>
          </w:p>
        </w:tc>
        <w:tc>
          <w:tcPr>
            <w:tcW w:w="1056"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31.12.2004</w:t>
            </w:r>
          </w:p>
        </w:tc>
        <w:tc>
          <w:tcPr>
            <w:tcW w:w="1228"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31.12.2005</w:t>
            </w:r>
          </w:p>
        </w:tc>
        <w:tc>
          <w:tcPr>
            <w:tcW w:w="1359"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31.12.2006</w:t>
            </w:r>
          </w:p>
        </w:tc>
        <w:tc>
          <w:tcPr>
            <w:tcW w:w="1245"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30.06.2007</w:t>
            </w:r>
          </w:p>
        </w:tc>
        <w:tc>
          <w:tcPr>
            <w:tcW w:w="1246"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19.09.2007</w:t>
            </w:r>
          </w:p>
        </w:tc>
        <w:tc>
          <w:tcPr>
            <w:tcW w:w="960"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31.12.2004</w:t>
            </w:r>
          </w:p>
        </w:tc>
        <w:tc>
          <w:tcPr>
            <w:tcW w:w="960"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31.12.2005</w:t>
            </w:r>
          </w:p>
        </w:tc>
        <w:tc>
          <w:tcPr>
            <w:tcW w:w="960"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31.12.2006</w:t>
            </w:r>
          </w:p>
        </w:tc>
        <w:tc>
          <w:tcPr>
            <w:tcW w:w="960" w:type="dxa"/>
            <w:tcBorders>
              <w:top w:val="doub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30.06.2007</w:t>
            </w:r>
          </w:p>
        </w:tc>
        <w:tc>
          <w:tcPr>
            <w:tcW w:w="960" w:type="dxa"/>
            <w:tcBorders>
              <w:top w:val="doub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k 19.09.2007</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 xml:space="preserve">SOP Priemysel a služby </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5 746 005 954</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246 337 632</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1 803 802 287</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2 597 700 327</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2 844 779 043</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4,29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31,39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45,21</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49,51%</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 xml:space="preserve">SOP Ľudské zdroje </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10 810 275 074</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87 560 359</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1 759 378 621</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4 200 486 934</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5 249 752 395</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5 568 152 551</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0,81</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16,28</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38,86</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48,56</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51,51%</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 xml:space="preserve">SOP Poľnoh. a rozvoj vidieka </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6 953 543 506</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1 424 121 912</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3 344 014 457</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4 268 344 992</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4 593 354 127</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20,48</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48,09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61,38</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66,06%</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 xml:space="preserve">OP Základná infraštruktúra </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16 049 811 176</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24 502 558</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1 426 111 606</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5 152 373 111</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7 073 222 803</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7 930 934 743</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0,15</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8,89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32,10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44,07</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49,41%</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JPD NUTS II BA Cieľ 2</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1 400 369 040</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1 269 216</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5 575 856</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223 499 773</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391 645 273</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462 573 117</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0,40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15,96</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27,97</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33,03%</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JPD NUTS II BA Cieľ 3</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1 653 873 332</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4 220 776</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54 384 194</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230 931 426</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275 331 235</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308 414 906</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0,26</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3,29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13,96</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16,65</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18,65%</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IS INTERREG IIIA RA-SR</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318 443 698</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352 997</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3 443 097</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62 805 804</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77 246 127</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90 000 548</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0,11</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1,08</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19,72</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24,26</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28,26%</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IS INTERREG IIIA PL-SR</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360 999 962</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605 101</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55 070 154</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116 554 628</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148 331 211</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0,17</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15,25</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32,29</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41,09%</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IS INTERREG IIIA SR-ČR</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177 357 362</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2 394 550</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41 554 129</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79 743 940</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94 653 529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1,35</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23,43</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44,96</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53,37%</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IS INTERREG IIIA H-SR-Ukr</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361 000 000</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154 612</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67 083 888</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95 875 358</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131 287 473</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0,04</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18,58</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26,56</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36,37%</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6" w:space="0" w:color="auto"/>
              <w:right w:val="single" w:sz="6" w:space="0" w:color="auto"/>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IS Equal</w:t>
            </w:r>
          </w:p>
        </w:tc>
        <w:tc>
          <w:tcPr>
            <w:tcW w:w="1313"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846 121 338</w:t>
            </w:r>
          </w:p>
        </w:tc>
        <w:tc>
          <w:tcPr>
            <w:tcW w:w="105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w:t>
            </w:r>
          </w:p>
        </w:tc>
        <w:tc>
          <w:tcPr>
            <w:tcW w:w="1228"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18 746 626</w:t>
            </w:r>
          </w:p>
        </w:tc>
        <w:tc>
          <w:tcPr>
            <w:tcW w:w="1359"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180 992 196</w:t>
            </w:r>
          </w:p>
        </w:tc>
        <w:tc>
          <w:tcPr>
            <w:tcW w:w="1245"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295 539 857</w:t>
            </w:r>
          </w:p>
        </w:tc>
        <w:tc>
          <w:tcPr>
            <w:tcW w:w="1246"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337 858 744</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0,00</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2,22</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right"/>
              <w:rPr>
                <w:rFonts w:ascii="Arial Narrow" w:hAnsi="Arial Narrow" w:cs="Arial Narrow"/>
                <w:color w:val="000000"/>
                <w:sz w:val="20"/>
                <w:szCs w:val="20"/>
              </w:rPr>
            </w:pPr>
            <w:r w:rsidRPr="00B73899">
              <w:rPr>
                <w:rFonts w:ascii="Arial Narrow" w:hAnsi="Arial Narrow" w:cs="Arial Narrow"/>
                <w:color w:val="000000"/>
                <w:sz w:val="20"/>
                <w:szCs w:val="20"/>
              </w:rPr>
              <w:t>21,39</w:t>
            </w:r>
          </w:p>
        </w:tc>
        <w:tc>
          <w:tcPr>
            <w:tcW w:w="960" w:type="dxa"/>
            <w:tcBorders>
              <w:top w:val="single" w:sz="6" w:space="0" w:color="auto"/>
              <w:left w:val="single" w:sz="6" w:space="0" w:color="auto"/>
              <w:bottom w:val="single" w:sz="6" w:space="0" w:color="auto"/>
              <w:right w:val="single" w:sz="6"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34,93</w:t>
            </w:r>
          </w:p>
        </w:tc>
        <w:tc>
          <w:tcPr>
            <w:tcW w:w="960" w:type="dxa"/>
            <w:tcBorders>
              <w:top w:val="single" w:sz="6" w:space="0" w:color="auto"/>
              <w:left w:val="single" w:sz="6" w:space="0" w:color="auto"/>
              <w:bottom w:val="single" w:sz="6" w:space="0" w:color="auto"/>
              <w:right w:val="single" w:sz="12" w:space="0" w:color="auto"/>
              <w:tl2br w:val="nil"/>
              <w:tr2bl w:val="nil"/>
            </w:tcBorders>
            <w:textDirection w:val="lrTb"/>
            <w:vAlign w:val="top"/>
          </w:tcPr>
          <w:p w:rsidR="003D4E03" w:rsidRPr="00B73899" w:rsidP="0046022A">
            <w:pPr>
              <w:autoSpaceDE/>
              <w:autoSpaceDN/>
              <w:jc w:val="center"/>
              <w:rPr>
                <w:rFonts w:ascii="Arial Narrow" w:hAnsi="Arial Narrow" w:cs="Arial Narrow"/>
                <w:color w:val="000000"/>
                <w:sz w:val="20"/>
                <w:szCs w:val="20"/>
              </w:rPr>
            </w:pPr>
            <w:r w:rsidRPr="00B73899">
              <w:rPr>
                <w:rFonts w:ascii="Arial Narrow" w:hAnsi="Arial Narrow" w:cs="Arial Narrow"/>
                <w:color w:val="000000"/>
                <w:sz w:val="20"/>
                <w:szCs w:val="20"/>
              </w:rPr>
              <w:t>39,93%</w:t>
            </w:r>
          </w:p>
        </w:tc>
      </w:tr>
      <w:tr>
        <w:tblPrEx>
          <w:tblW w:w="0" w:type="auto"/>
          <w:tblLayout w:type="fixed"/>
          <w:tblCellMar>
            <w:top w:w="0" w:type="dxa"/>
            <w:left w:w="30" w:type="dxa"/>
            <w:bottom w:w="0" w:type="dxa"/>
            <w:right w:w="30" w:type="dxa"/>
          </w:tblCellMar>
        </w:tblPrEx>
        <w:trPr>
          <w:trHeight w:val="422"/>
        </w:trPr>
        <w:tc>
          <w:tcPr>
            <w:tcW w:w="2189" w:type="dxa"/>
            <w:tcBorders>
              <w:top w:val="single" w:sz="6" w:space="0" w:color="auto"/>
              <w:left w:val="single" w:sz="12"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Spolu</w:t>
            </w:r>
          </w:p>
        </w:tc>
        <w:tc>
          <w:tcPr>
            <w:tcW w:w="1313"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44 677 800 442</w:t>
            </w:r>
          </w:p>
        </w:tc>
        <w:tc>
          <w:tcPr>
            <w:tcW w:w="1056"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117 905 905</w:t>
            </w:r>
          </w:p>
        </w:tc>
        <w:tc>
          <w:tcPr>
            <w:tcW w:w="1228"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4 941 253 807</w:t>
            </w:r>
          </w:p>
        </w:tc>
        <w:tc>
          <w:tcPr>
            <w:tcW w:w="1359"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15 362 614 160</w:t>
            </w:r>
          </w:p>
        </w:tc>
        <w:tc>
          <w:tcPr>
            <w:tcW w:w="1245"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20 520 956 935</w:t>
            </w:r>
          </w:p>
        </w:tc>
        <w:tc>
          <w:tcPr>
            <w:tcW w:w="1246"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22 510 339 992</w:t>
            </w:r>
          </w:p>
        </w:tc>
        <w:tc>
          <w:tcPr>
            <w:tcW w:w="960"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0,26</w:t>
            </w:r>
          </w:p>
        </w:tc>
        <w:tc>
          <w:tcPr>
            <w:tcW w:w="960"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11,06</w:t>
            </w:r>
          </w:p>
        </w:tc>
        <w:tc>
          <w:tcPr>
            <w:tcW w:w="960"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right"/>
              <w:rPr>
                <w:rFonts w:ascii="Arial Narrow" w:hAnsi="Arial Narrow" w:cs="Arial Narrow"/>
                <w:b/>
                <w:bCs/>
                <w:color w:val="000000"/>
                <w:sz w:val="20"/>
                <w:szCs w:val="20"/>
              </w:rPr>
            </w:pPr>
            <w:r w:rsidRPr="00B73899">
              <w:rPr>
                <w:rFonts w:ascii="Arial Narrow" w:hAnsi="Arial Narrow" w:cs="Arial Narrow"/>
                <w:b/>
                <w:bCs/>
                <w:color w:val="000000"/>
                <w:sz w:val="20"/>
                <w:szCs w:val="20"/>
              </w:rPr>
              <w:t>34,39</w:t>
            </w:r>
          </w:p>
        </w:tc>
        <w:tc>
          <w:tcPr>
            <w:tcW w:w="960" w:type="dxa"/>
            <w:tcBorders>
              <w:top w:val="single" w:sz="6" w:space="0" w:color="auto"/>
              <w:left w:val="single" w:sz="6" w:space="0" w:color="auto"/>
              <w:bottom w:val="single" w:sz="12" w:space="0" w:color="auto"/>
              <w:right w:val="single" w:sz="6" w:space="0" w:color="auto"/>
              <w:tl2br w:val="nil"/>
              <w:tr2bl w:val="nil"/>
            </w:tcBorders>
            <w:shd w:val="solid" w:color="C0C0C0" w:fill="auto"/>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45,93</w:t>
            </w:r>
          </w:p>
        </w:tc>
        <w:tc>
          <w:tcPr>
            <w:tcW w:w="960" w:type="dxa"/>
            <w:tcBorders>
              <w:top w:val="single" w:sz="6" w:space="0" w:color="auto"/>
              <w:left w:val="single" w:sz="6" w:space="0" w:color="auto"/>
              <w:bottom w:val="single" w:sz="12" w:space="0" w:color="auto"/>
              <w:right w:val="single" w:sz="12" w:space="0" w:color="auto"/>
              <w:tl2br w:val="nil"/>
              <w:tr2bl w:val="nil"/>
            </w:tcBorders>
            <w:shd w:val="solid" w:color="C0C0C0" w:fill="auto"/>
            <w:textDirection w:val="lrTb"/>
            <w:vAlign w:val="top"/>
          </w:tcPr>
          <w:p w:rsidR="003D4E03" w:rsidRPr="00B73899" w:rsidP="0046022A">
            <w:pPr>
              <w:autoSpaceDE/>
              <w:autoSpaceDN/>
              <w:jc w:val="center"/>
              <w:rPr>
                <w:rFonts w:ascii="Arial Narrow" w:hAnsi="Arial Narrow" w:cs="Arial Narrow"/>
                <w:b/>
                <w:bCs/>
                <w:color w:val="000000"/>
                <w:sz w:val="20"/>
                <w:szCs w:val="20"/>
              </w:rPr>
            </w:pPr>
            <w:r w:rsidRPr="00B73899">
              <w:rPr>
                <w:rFonts w:ascii="Arial Narrow" w:hAnsi="Arial Narrow" w:cs="Arial Narrow"/>
                <w:b/>
                <w:bCs/>
                <w:color w:val="000000"/>
                <w:sz w:val="20"/>
                <w:szCs w:val="20"/>
              </w:rPr>
              <w:t>50,38%</w:t>
            </w:r>
          </w:p>
        </w:tc>
      </w:tr>
      <w:tr>
        <w:tblPrEx>
          <w:tblW w:w="0" w:type="auto"/>
          <w:tblLayout w:type="fixed"/>
          <w:tblCellMar>
            <w:top w:w="0" w:type="dxa"/>
            <w:left w:w="30" w:type="dxa"/>
            <w:bottom w:w="0" w:type="dxa"/>
            <w:right w:w="30" w:type="dxa"/>
          </w:tblCellMar>
        </w:tblPrEx>
        <w:trPr>
          <w:trHeight w:val="206"/>
        </w:trPr>
        <w:tc>
          <w:tcPr>
            <w:tcW w:w="2189"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rPr>
                <w:rFonts w:ascii="Arial" w:hAnsi="Arial" w:cs="Arial"/>
                <w:color w:val="000000"/>
                <w:sz w:val="20"/>
                <w:szCs w:val="20"/>
              </w:rPr>
            </w:pPr>
            <w:r w:rsidRPr="00B73899">
              <w:rPr>
                <w:rFonts w:ascii="Arial" w:hAnsi="Arial" w:cs="Arial"/>
                <w:color w:val="000000"/>
                <w:sz w:val="20"/>
                <w:szCs w:val="20"/>
              </w:rPr>
              <w:t>* prepočítané kurzom 38 SKK/€</w:t>
            </w:r>
          </w:p>
        </w:tc>
        <w:tc>
          <w:tcPr>
            <w:tcW w:w="1313"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056"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28"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359"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5"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6"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12" w:space="0" w:color="auto"/>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r>
      <w:tr>
        <w:tblPrEx>
          <w:tblW w:w="0" w:type="auto"/>
          <w:tblLayout w:type="fixed"/>
          <w:tblCellMar>
            <w:top w:w="0" w:type="dxa"/>
            <w:left w:w="30" w:type="dxa"/>
            <w:bottom w:w="0" w:type="dxa"/>
            <w:right w:w="30" w:type="dxa"/>
          </w:tblCellMar>
        </w:tblPrEx>
        <w:trPr>
          <w:trHeight w:val="206"/>
        </w:trPr>
        <w:tc>
          <w:tcPr>
            <w:tcW w:w="2189"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rPr>
                <w:rFonts w:ascii="Arial Narrow" w:hAnsi="Arial Narrow" w:cs="Arial Narrow"/>
                <w:b/>
                <w:bCs/>
                <w:color w:val="000000"/>
                <w:sz w:val="20"/>
                <w:szCs w:val="20"/>
              </w:rPr>
            </w:pPr>
            <w:r w:rsidRPr="00B73899">
              <w:rPr>
                <w:rFonts w:ascii="Arial Narrow" w:hAnsi="Arial Narrow" w:cs="Arial Narrow"/>
                <w:b/>
                <w:bCs/>
                <w:color w:val="000000"/>
                <w:sz w:val="20"/>
                <w:szCs w:val="20"/>
              </w:rPr>
              <w:t>Zdroj: MF SR</w:t>
            </w:r>
          </w:p>
        </w:tc>
        <w:tc>
          <w:tcPr>
            <w:tcW w:w="1313"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056"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28"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359"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5"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1246"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c>
          <w:tcPr>
            <w:tcW w:w="960" w:type="dxa"/>
            <w:tcBorders>
              <w:top w:val="single" w:sz="2" w:space="0" w:color="000000"/>
              <w:left w:val="single" w:sz="2" w:space="0" w:color="000000"/>
              <w:bottom w:val="single" w:sz="2" w:space="0" w:color="000000"/>
              <w:right w:val="single" w:sz="2" w:space="0" w:color="000000"/>
              <w:tl2br w:val="nil"/>
              <w:tr2bl w:val="nil"/>
            </w:tcBorders>
            <w:textDirection w:val="lrTb"/>
            <w:vAlign w:val="top"/>
          </w:tcPr>
          <w:p w:rsidR="003D4E03" w:rsidRPr="00B73899" w:rsidP="0046022A">
            <w:pPr>
              <w:autoSpaceDE/>
              <w:autoSpaceDN/>
              <w:jc w:val="right"/>
              <w:rPr>
                <w:rFonts w:ascii="Arial" w:hAnsi="Arial" w:cs="Arial"/>
                <w:color w:val="000000"/>
                <w:sz w:val="20"/>
                <w:szCs w:val="20"/>
              </w:rPr>
            </w:pPr>
          </w:p>
        </w:tc>
      </w:tr>
    </w:tbl>
    <w:p w:rsidR="003D4E03" w:rsidP="005C26B3">
      <w:pPr>
        <w:jc w:val="both"/>
        <w:rPr>
          <w:rFonts w:ascii="Times New Roman" w:hAnsi="Times New Roman" w:cs="Times New Roman"/>
          <w:b/>
          <w:bCs/>
          <w:iCs/>
          <w:sz w:val="22"/>
          <w:szCs w:val="22"/>
        </w:rPr>
        <w:sectPr>
          <w:pgSz w:w="16838" w:h="11906" w:orient="landscape"/>
          <w:pgMar w:top="1418" w:right="1134" w:bottom="1418" w:left="1418" w:header="709" w:footer="709" w:gutter="0"/>
          <w:cols w:space="708"/>
          <w:titlePg/>
          <w:bidi w:val="0"/>
          <w:docGrid w:linePitch="360"/>
        </w:sectPr>
      </w:pPr>
    </w:p>
    <w:p w:rsidR="00A840EA" w:rsidRPr="006A066D" w:rsidP="00A840EA">
      <w:pPr>
        <w:jc w:val="both"/>
        <w:rPr>
          <w:rFonts w:ascii="Times New Roman" w:hAnsi="Times New Roman" w:cs="Times New Roman"/>
          <w:b/>
          <w:bCs/>
          <w:sz w:val="22"/>
          <w:szCs w:val="22"/>
        </w:rPr>
      </w:pPr>
      <w:r w:rsidRPr="006A066D">
        <w:rPr>
          <w:rFonts w:ascii="Times New Roman" w:hAnsi="Times New Roman" w:cs="Times New Roman"/>
          <w:b/>
          <w:bCs/>
          <w:sz w:val="22"/>
          <w:szCs w:val="22"/>
        </w:rPr>
        <w:t>Stav čerpania ŠF vo vzťahu k pravidlu N+2 voči záväzku 2005</w:t>
      </w:r>
    </w:p>
    <w:p w:rsidR="00A840EA" w:rsidRPr="006A066D" w:rsidP="00A840EA">
      <w:pPr>
        <w:jc w:val="both"/>
        <w:rPr>
          <w:rFonts w:ascii="Times New Roman" w:hAnsi="Times New Roman" w:cs="Times New Roman"/>
          <w:b/>
          <w:bCs/>
          <w:sz w:val="22"/>
          <w:szCs w:val="22"/>
        </w:rPr>
      </w:pPr>
    </w:p>
    <w:p w:rsidR="00A840EA" w:rsidRPr="006A066D" w:rsidP="00A840EA">
      <w:pPr>
        <w:ind w:firstLine="709"/>
        <w:jc w:val="both"/>
        <w:rPr>
          <w:rFonts w:ascii="Times New Roman" w:hAnsi="Times New Roman" w:cs="Times New Roman"/>
          <w:sz w:val="22"/>
          <w:szCs w:val="22"/>
        </w:rPr>
      </w:pPr>
      <w:r w:rsidRPr="006A066D">
        <w:rPr>
          <w:rFonts w:ascii="Times New Roman" w:hAnsi="Times New Roman" w:cs="Times New Roman"/>
          <w:sz w:val="22"/>
          <w:szCs w:val="22"/>
        </w:rPr>
        <w:t xml:space="preserve">Čerpanie finančných prostriedkov zo schváleného záväzku na jednotlivé programové dokumenty pre daný rok je možné podľa pravidla N+2 do dvoch rokov od jeho prijatia. EK automaticky zruší každú časť záväzku, na ktorú nedostala prijateľnú ŽoP od PO do konca druhého roka, ktorý nasleduje po roku prijatia záväzku. To znamená, že v zmysle pravidla N+2 musí SR vyčerpať a požiadať o platby EK za záväzok 2005 do 31.12.2007. </w:t>
      </w:r>
    </w:p>
    <w:p w:rsidR="00A840EA" w:rsidRPr="006A066D" w:rsidP="00A840EA">
      <w:pPr>
        <w:jc w:val="both"/>
        <w:rPr>
          <w:rFonts w:ascii="Times New Roman" w:hAnsi="Times New Roman" w:cs="Times New Roman"/>
          <w:sz w:val="22"/>
          <w:szCs w:val="22"/>
        </w:rPr>
      </w:pPr>
    </w:p>
    <w:p w:rsidR="00A840EA" w:rsidRPr="006A066D" w:rsidP="00A840EA">
      <w:pPr>
        <w:ind w:firstLine="709"/>
        <w:jc w:val="both"/>
        <w:rPr>
          <w:rFonts w:ascii="Times New Roman" w:hAnsi="Times New Roman" w:cs="Times New Roman"/>
          <w:sz w:val="22"/>
          <w:szCs w:val="22"/>
        </w:rPr>
      </w:pPr>
      <w:r w:rsidRPr="006A066D">
        <w:rPr>
          <w:rFonts w:ascii="Times New Roman" w:hAnsi="Times New Roman" w:cs="Times New Roman"/>
          <w:bCs/>
          <w:sz w:val="22"/>
          <w:szCs w:val="22"/>
        </w:rPr>
        <w:t>Podľa</w:t>
      </w:r>
      <w:r w:rsidRPr="006A066D">
        <w:rPr>
          <w:rFonts w:ascii="Times New Roman" w:hAnsi="Times New Roman" w:cs="Times New Roman"/>
          <w:b/>
          <w:bCs/>
          <w:sz w:val="22"/>
          <w:szCs w:val="22"/>
        </w:rPr>
        <w:t xml:space="preserve"> </w:t>
      </w:r>
      <w:r w:rsidRPr="006A066D">
        <w:rPr>
          <w:rFonts w:ascii="Times New Roman" w:hAnsi="Times New Roman" w:cs="Times New Roman"/>
          <w:bCs/>
          <w:sz w:val="22"/>
          <w:szCs w:val="22"/>
        </w:rPr>
        <w:t>úlohy</w:t>
      </w:r>
      <w:r w:rsidRPr="006A066D">
        <w:rPr>
          <w:rFonts w:ascii="Times New Roman" w:hAnsi="Times New Roman" w:cs="Times New Roman"/>
          <w:b/>
          <w:bCs/>
          <w:sz w:val="22"/>
          <w:szCs w:val="22"/>
        </w:rPr>
        <w:t xml:space="preserve"> </w:t>
      </w:r>
      <w:r w:rsidRPr="006A066D">
        <w:rPr>
          <w:rFonts w:ascii="Times New Roman" w:hAnsi="Times New Roman" w:cs="Times New Roman"/>
          <w:bCs/>
          <w:sz w:val="22"/>
          <w:szCs w:val="22"/>
        </w:rPr>
        <w:t>B.10 u</w:t>
      </w:r>
      <w:r w:rsidRPr="006A066D">
        <w:rPr>
          <w:rFonts w:ascii="Times New Roman" w:hAnsi="Times New Roman" w:cs="Times New Roman"/>
          <w:sz w:val="22"/>
          <w:szCs w:val="22"/>
        </w:rPr>
        <w:t>znesenia vlády Slovenskej republiky č. 146 z 21. februára 2007 sú platobné jednotky pre splnenie záväzku roka 2005 v zmysle pravidla N+2 povinné predložiť platobnému orgánu súhrnné žiadosti o platbu v minimálnom objeme v súlade s materiálom</w:t>
      </w:r>
      <w:r w:rsidRPr="006A066D">
        <w:rPr>
          <w:rFonts w:ascii="Times New Roman" w:hAnsi="Times New Roman" w:cs="Times New Roman"/>
          <w:bCs/>
          <w:sz w:val="22"/>
          <w:szCs w:val="22"/>
        </w:rPr>
        <w:t xml:space="preserve"> „Správa o implementácii a čerpaní predvstupových nástrojov, finančného mechanizmu EHP, Nórskeho finančného mechanizmu, štrukturálnych fondov a Kohézneho fondu k 31.12.2006“</w:t>
      </w:r>
      <w:r w:rsidRPr="006A066D">
        <w:rPr>
          <w:rFonts w:ascii="Times New Roman" w:hAnsi="Times New Roman" w:cs="Times New Roman"/>
          <w:sz w:val="22"/>
          <w:szCs w:val="22"/>
        </w:rPr>
        <w:t xml:space="preserve"> do </w:t>
      </w:r>
      <w:r w:rsidRPr="006A066D">
        <w:rPr>
          <w:rFonts w:ascii="Times New Roman" w:hAnsi="Times New Roman" w:cs="Times New Roman"/>
          <w:b/>
          <w:sz w:val="22"/>
          <w:szCs w:val="22"/>
        </w:rPr>
        <w:t>15.11.2007</w:t>
      </w:r>
      <w:r w:rsidRPr="006A066D">
        <w:rPr>
          <w:rFonts w:ascii="Times New Roman" w:hAnsi="Times New Roman" w:cs="Times New Roman"/>
          <w:sz w:val="22"/>
          <w:szCs w:val="22"/>
        </w:rPr>
        <w:t>.</w:t>
      </w:r>
    </w:p>
    <w:p w:rsidR="00A840EA" w:rsidRPr="00893846" w:rsidP="00A840EA">
      <w:pPr>
        <w:jc w:val="both"/>
        <w:rPr>
          <w:rFonts w:ascii="Times New Roman" w:hAnsi="Times New Roman" w:cs="Times New Roman"/>
          <w:b/>
          <w:sz w:val="22"/>
          <w:szCs w:val="22"/>
        </w:rPr>
      </w:pPr>
      <w:r w:rsidRPr="006A066D">
        <w:rPr>
          <w:rFonts w:ascii="Times New Roman" w:hAnsi="Times New Roman" w:cs="Times New Roman"/>
          <w:sz w:val="22"/>
          <w:szCs w:val="22"/>
        </w:rPr>
        <w:t xml:space="preserve">Za </w:t>
      </w:r>
      <w:r w:rsidRPr="006A066D">
        <w:rPr>
          <w:rFonts w:ascii="Times New Roman" w:hAnsi="Times New Roman" w:cs="Times New Roman"/>
          <w:b/>
          <w:sz w:val="22"/>
          <w:szCs w:val="22"/>
        </w:rPr>
        <w:t>rizikové</w:t>
      </w:r>
      <w:r w:rsidRPr="006A066D">
        <w:rPr>
          <w:rFonts w:ascii="Times New Roman" w:hAnsi="Times New Roman" w:cs="Times New Roman"/>
          <w:sz w:val="22"/>
          <w:szCs w:val="22"/>
        </w:rPr>
        <w:t xml:space="preserve"> z pohľadu splnenia podmienky N+2 pre </w:t>
      </w:r>
      <w:r w:rsidRPr="006A066D">
        <w:rPr>
          <w:rFonts w:ascii="Times New Roman" w:hAnsi="Times New Roman" w:cs="Times New Roman"/>
          <w:b/>
          <w:sz w:val="22"/>
          <w:szCs w:val="22"/>
        </w:rPr>
        <w:t>záväzok roku 2005</w:t>
      </w:r>
      <w:r w:rsidRPr="006A066D">
        <w:rPr>
          <w:rFonts w:ascii="Times New Roman" w:hAnsi="Times New Roman" w:cs="Times New Roman"/>
          <w:sz w:val="22"/>
          <w:szCs w:val="22"/>
        </w:rPr>
        <w:t xml:space="preserve"> možno považovať Jednotný programový dokument NUTS II Bratislava Cieľ 3, kde bolo za cca 3,75 roka vyčerpaných 308 414 906 Sk a v najbližších 1,5 mesiaca bude </w:t>
      </w:r>
      <w:r w:rsidRPr="006A066D">
        <w:rPr>
          <w:rFonts w:ascii="Times New Roman" w:hAnsi="Times New Roman" w:cs="Times New Roman"/>
          <w:b/>
          <w:sz w:val="22"/>
          <w:szCs w:val="22"/>
        </w:rPr>
        <w:t>potrebné predložiť 491 679 000 Sk v SŽP</w:t>
      </w:r>
      <w:r w:rsidRPr="006A066D">
        <w:rPr>
          <w:rFonts w:ascii="Times New Roman" w:hAnsi="Times New Roman" w:cs="Times New Roman"/>
          <w:sz w:val="22"/>
          <w:szCs w:val="22"/>
        </w:rPr>
        <w:t xml:space="preserve">), programy Iniciatívy spoločenstva Interreg IIIA RA-SR, kde bolo za cca 3,75 roka vyčerpaných 90 000 548 Sk a v najbližších 1,5 mesiaca bude </w:t>
      </w:r>
      <w:r w:rsidRPr="006A066D">
        <w:rPr>
          <w:rFonts w:ascii="Times New Roman" w:hAnsi="Times New Roman" w:cs="Times New Roman"/>
          <w:b/>
          <w:sz w:val="22"/>
          <w:szCs w:val="22"/>
        </w:rPr>
        <w:t>potrebné predložiť 93 108 420 Sk v SŽP</w:t>
      </w:r>
      <w:r w:rsidRPr="006A066D">
        <w:rPr>
          <w:rFonts w:ascii="Times New Roman" w:hAnsi="Times New Roman" w:cs="Times New Roman"/>
          <w:sz w:val="22"/>
          <w:szCs w:val="22"/>
        </w:rPr>
        <w:t xml:space="preserve">) a Interreg IIIA HU – SR – UA , kde bolo za cca 3,75 roka vyčerpaných 131 287 473 Sk a v najbližších 1,5 mesiaca bude </w:t>
      </w:r>
      <w:r w:rsidRPr="006A066D">
        <w:rPr>
          <w:rFonts w:ascii="Times New Roman" w:hAnsi="Times New Roman" w:cs="Times New Roman"/>
          <w:b/>
          <w:sz w:val="22"/>
          <w:szCs w:val="22"/>
        </w:rPr>
        <w:t>potrebné predložiť 43 821 880 Sk v SŽP</w:t>
      </w:r>
      <w:r w:rsidRPr="006A066D">
        <w:rPr>
          <w:rFonts w:ascii="Times New Roman" w:hAnsi="Times New Roman" w:cs="Times New Roman"/>
          <w:sz w:val="22"/>
          <w:szCs w:val="22"/>
        </w:rPr>
        <w:t>).</w:t>
      </w:r>
      <w:r w:rsidRPr="006A066D">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6A066D">
        <w:rPr>
          <w:rFonts w:ascii="Times New Roman" w:hAnsi="Times New Roman" w:cs="Times New Roman"/>
          <w:sz w:val="22"/>
          <w:szCs w:val="22"/>
        </w:rPr>
        <w:t xml:space="preserve">To znamená, že celkovo bude potrebné predložiť súhrnné žiadosti za vyššie uvedené programové dokumenty  v celkovej výške </w:t>
      </w:r>
      <w:r w:rsidRPr="006A066D">
        <w:rPr>
          <w:rFonts w:ascii="Times New Roman" w:hAnsi="Times New Roman" w:cs="Times New Roman"/>
          <w:b/>
          <w:sz w:val="22"/>
          <w:szCs w:val="22"/>
        </w:rPr>
        <w:t>628 609 300 Sk</w:t>
      </w:r>
      <w:r w:rsidRPr="006A066D">
        <w:rPr>
          <w:rFonts w:ascii="Times New Roman" w:hAnsi="Times New Roman" w:cs="Times New Roman"/>
          <w:sz w:val="22"/>
          <w:szCs w:val="22"/>
        </w:rPr>
        <w:t>.</w:t>
      </w:r>
      <w:r>
        <w:rPr>
          <w:rFonts w:ascii="Times New Roman" w:hAnsi="Times New Roman" w:cs="Times New Roman"/>
          <w:b/>
          <w:sz w:val="22"/>
          <w:szCs w:val="22"/>
        </w:rPr>
        <w:t xml:space="preserve"> </w:t>
      </w:r>
      <w:r w:rsidRPr="006A066D">
        <w:rPr>
          <w:rFonts w:ascii="Times New Roman" w:hAnsi="Times New Roman" w:cs="Times New Roman"/>
          <w:sz w:val="22"/>
          <w:szCs w:val="22"/>
        </w:rPr>
        <w:t xml:space="preserve">Čerpanie prostriedkov týchto  programových dokumentov  bolo  problémové aj vo vzťahu k záväzku pre rok 2004. </w:t>
      </w:r>
    </w:p>
    <w:p w:rsidR="00047C14" w:rsidP="005C26B3">
      <w:pPr>
        <w:jc w:val="both"/>
        <w:rPr>
          <w:rFonts w:ascii="Times New Roman" w:hAnsi="Times New Roman" w:cs="Times New Roman"/>
          <w:b/>
          <w:bCs/>
          <w:iCs/>
          <w:sz w:val="22"/>
          <w:szCs w:val="22"/>
        </w:rPr>
      </w:pPr>
    </w:p>
    <w:p w:rsidR="005C26B3" w:rsidRPr="006A066D" w:rsidP="005C26B3">
      <w:pPr>
        <w:jc w:val="both"/>
        <w:rPr>
          <w:rFonts w:ascii="Times New Roman" w:hAnsi="Times New Roman" w:cs="Times New Roman"/>
          <w:b/>
          <w:bCs/>
          <w:iCs/>
          <w:sz w:val="22"/>
          <w:szCs w:val="22"/>
        </w:rPr>
      </w:pPr>
      <w:r w:rsidRPr="006A066D">
        <w:rPr>
          <w:rFonts w:ascii="Times New Roman" w:hAnsi="Times New Roman" w:cs="Times New Roman"/>
          <w:b/>
          <w:bCs/>
          <w:iCs/>
          <w:sz w:val="22"/>
          <w:szCs w:val="22"/>
        </w:rPr>
        <w:t>Vyhodnotenie čerpania vo vzťahu k Európskej komisii</w:t>
      </w:r>
    </w:p>
    <w:p w:rsidR="005C26B3" w:rsidP="005C26B3">
      <w:pPr>
        <w:jc w:val="both"/>
        <w:rPr>
          <w:rFonts w:ascii="Times New Roman" w:hAnsi="Times New Roman" w:cs="Times New Roman"/>
        </w:rPr>
      </w:pPr>
    </w:p>
    <w:p w:rsidR="005C26B3" w:rsidRPr="006A0BAA" w:rsidP="00C02351">
      <w:pPr>
        <w:ind w:firstLine="540"/>
        <w:jc w:val="both"/>
        <w:rPr>
          <w:rFonts w:ascii="Times New Roman" w:hAnsi="Times New Roman" w:cs="Times New Roman"/>
          <w:b/>
        </w:rPr>
      </w:pPr>
      <w:r w:rsidRPr="006A066D">
        <w:rPr>
          <w:rFonts w:ascii="Times New Roman" w:hAnsi="Times New Roman" w:cs="Times New Roman"/>
          <w:bCs/>
          <w:sz w:val="22"/>
          <w:szCs w:val="22"/>
        </w:rPr>
        <w:t xml:space="preserve">Stav čerpania prostriedkov ŠF voči EK predstavuje sumu schválených žiadostí o platbu predloženým platobným orgánom na EK v rámci žiadosti o platbu. Percentuálny podiel </w:t>
      </w:r>
      <w:r w:rsidRPr="006A066D">
        <w:rPr>
          <w:rFonts w:ascii="Times New Roman" w:hAnsi="Times New Roman" w:cs="Times New Roman"/>
          <w:sz w:val="22"/>
          <w:szCs w:val="22"/>
        </w:rPr>
        <w:t xml:space="preserve">celkového čerpania prostriedkov EÚ za všetky programové dokumenty k 19.09.2007 </w:t>
      </w:r>
      <w:r w:rsidRPr="006A066D">
        <w:rPr>
          <w:rFonts w:ascii="Times New Roman" w:hAnsi="Times New Roman" w:cs="Times New Roman"/>
          <w:bCs/>
          <w:sz w:val="22"/>
          <w:szCs w:val="22"/>
        </w:rPr>
        <w:t xml:space="preserve">na záväzku  2004 – 2006, </w:t>
      </w:r>
      <w:r w:rsidRPr="006A066D">
        <w:rPr>
          <w:rFonts w:ascii="Times New Roman" w:hAnsi="Times New Roman" w:cs="Times New Roman"/>
          <w:sz w:val="22"/>
          <w:szCs w:val="22"/>
        </w:rPr>
        <w:t xml:space="preserve">od ktorých je odpočítaná výška nezrovnalostí a vratiek identifikovaných na účte PO a odpočítaných od výkazu výdavkov v ŽoP na EK, predstavuje </w:t>
      </w:r>
      <w:r w:rsidRPr="006A0BAA">
        <w:rPr>
          <w:rFonts w:ascii="Times New Roman" w:hAnsi="Times New Roman" w:cs="Times New Roman"/>
          <w:b/>
          <w:bCs/>
          <w:sz w:val="22"/>
          <w:szCs w:val="22"/>
        </w:rPr>
        <w:t>49,28</w:t>
      </w:r>
      <w:r w:rsidRPr="006A0BAA">
        <w:rPr>
          <w:rFonts w:ascii="Times New Roman" w:hAnsi="Times New Roman" w:cs="Times New Roman"/>
          <w:b/>
          <w:sz w:val="22"/>
          <w:szCs w:val="22"/>
        </w:rPr>
        <w:t xml:space="preserve"> %.</w:t>
      </w:r>
    </w:p>
    <w:p w:rsidR="00A840EA" w:rsidP="005C26B3">
      <w:pPr>
        <w:jc w:val="both"/>
        <w:rPr>
          <w:rFonts w:ascii="Times New Roman" w:hAnsi="Times New Roman" w:cs="Times New Roman"/>
          <w:sz w:val="22"/>
          <w:szCs w:val="22"/>
        </w:rPr>
      </w:pPr>
    </w:p>
    <w:p w:rsidR="00A840EA" w:rsidRPr="006A066D" w:rsidP="00A840EA">
      <w:pPr>
        <w:jc w:val="both"/>
        <w:rPr>
          <w:rFonts w:ascii="Times New Roman" w:hAnsi="Times New Roman" w:cs="Times New Roman"/>
          <w:sz w:val="22"/>
          <w:szCs w:val="22"/>
        </w:rPr>
      </w:pPr>
      <w:r w:rsidRPr="006A066D" w:rsidR="005C26B3">
        <w:rPr>
          <w:rFonts w:ascii="Times New Roman" w:hAnsi="Times New Roman" w:cs="Times New Roman"/>
          <w:sz w:val="22"/>
          <w:szCs w:val="22"/>
        </w:rPr>
        <w:t>Tab.</w:t>
      </w:r>
      <w:r w:rsidR="005C26B3">
        <w:rPr>
          <w:rFonts w:ascii="Times New Roman" w:hAnsi="Times New Roman" w:cs="Times New Roman"/>
          <w:sz w:val="22"/>
          <w:szCs w:val="22"/>
        </w:rPr>
        <w:t xml:space="preserve"> </w:t>
      </w:r>
      <w:r w:rsidR="006A0BAA">
        <w:rPr>
          <w:rFonts w:ascii="Times New Roman" w:hAnsi="Times New Roman" w:cs="Times New Roman"/>
          <w:sz w:val="22"/>
          <w:szCs w:val="22"/>
        </w:rPr>
        <w:t>3</w:t>
      </w:r>
      <w:r w:rsidRPr="00A840EA">
        <w:rPr>
          <w:rFonts w:ascii="Times New Roman" w:hAnsi="Times New Roman" w:cs="Times New Roman"/>
          <w:sz w:val="22"/>
          <w:szCs w:val="22"/>
        </w:rPr>
        <w:t xml:space="preserve"> </w:t>
      </w:r>
      <w:r w:rsidRPr="006A066D">
        <w:rPr>
          <w:rFonts w:ascii="Times New Roman" w:hAnsi="Times New Roman" w:cs="Times New Roman"/>
          <w:sz w:val="22"/>
          <w:szCs w:val="22"/>
        </w:rPr>
        <w:t>v EUR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047"/>
        <w:gridCol w:w="1316"/>
        <w:gridCol w:w="1191"/>
        <w:gridCol w:w="1715"/>
        <w:gridCol w:w="1771"/>
        <w:gridCol w:w="1248"/>
      </w:tblGrid>
      <w:tr>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center"/>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Programový dokument</w:t>
            </w:r>
          </w:p>
        </w:tc>
        <w:tc>
          <w:tcPr>
            <w:tcW w:w="1316"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Pôvodný záväzok 2004 - 2006</w:t>
            </w:r>
          </w:p>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Zníženie záväzku</w:t>
            </w:r>
          </w:p>
        </w:tc>
        <w:tc>
          <w:tcPr>
            <w:tcW w:w="1715"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center"/>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Záväzok 2004 – 2006 po znížení</w:t>
            </w:r>
          </w:p>
        </w:tc>
        <w:tc>
          <w:tcPr>
            <w:tcW w:w="1771"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center"/>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Požadovaná suma z EK   ku dňu 19.9.2007</w:t>
            </w:r>
          </w:p>
        </w:tc>
        <w:tc>
          <w:tcPr>
            <w:tcW w:w="1248"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center"/>
          </w:tcPr>
          <w:p w:rsidR="005C26B3" w:rsidRPr="00A840EA" w:rsidP="0046022A">
            <w:pPr>
              <w:jc w:val="center"/>
              <w:rPr>
                <w:rFonts w:ascii="Times New Roman" w:hAnsi="Times New Roman" w:cs="Times New Roman"/>
                <w:b/>
                <w:sz w:val="20"/>
                <w:szCs w:val="20"/>
              </w:rPr>
            </w:pPr>
            <w:r w:rsidRPr="00A840EA">
              <w:rPr>
                <w:rFonts w:ascii="Times New Roman" w:hAnsi="Times New Roman" w:cs="Times New Roman"/>
                <w:b/>
                <w:sz w:val="20"/>
                <w:szCs w:val="20"/>
              </w:rPr>
              <w:t>Čerpanie  %</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SOP Priemysel a služby</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rPr>
                <w:rFonts w:ascii="Times New Roman" w:hAnsi="Times New Roman" w:cs="Times New Roman"/>
                <w:sz w:val="20"/>
                <w:szCs w:val="20"/>
              </w:rPr>
            </w:pPr>
            <w:r w:rsidRPr="00A840EA">
              <w:rPr>
                <w:rFonts w:ascii="Times New Roman" w:hAnsi="Times New Roman" w:cs="Times New Roman"/>
                <w:sz w:val="20"/>
                <w:szCs w:val="20"/>
              </w:rPr>
              <w:t>151210 683</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151 210 683</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65 962 580</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43,62</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SOP Ľudské zdroje</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rPr>
                <w:rFonts w:ascii="Times New Roman" w:hAnsi="Times New Roman" w:cs="Times New Roman"/>
                <w:sz w:val="20"/>
                <w:szCs w:val="20"/>
              </w:rPr>
            </w:pPr>
            <w:r w:rsidRPr="00A840EA">
              <w:rPr>
                <w:rFonts w:ascii="Times New Roman" w:hAnsi="Times New Roman" w:cs="Times New Roman"/>
                <w:sz w:val="20"/>
                <w:szCs w:val="20"/>
              </w:rPr>
              <w:t>284480 923</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284 480 923</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151 285 810</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53,18</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SOP Poľnoh. a rozvoj vidieka</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182987 987</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182 987 987</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122 928 730</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67,18</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OP Základná infraštruktúra</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422363 452</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422 363 452</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162 486 583</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38,47</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JPD NUTS II Bratislava Cieľ 2</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37168 218</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135 505</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36 851 817</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9 326 669</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25,31</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JPD NUTS II Bratislava Cieľ 3</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44939 754</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1 254 600</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43 522 982</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8 123 365</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18,66</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CIP INTERREG IIIA RA-SR</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9 500 000</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color w:val="000000"/>
                <w:sz w:val="20"/>
                <w:szCs w:val="20"/>
              </w:rPr>
              <w:t>1 035 839</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8 380 097</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2 070 898</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24,71</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CIP INTERREG IIIA PL-SR</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9 499 999</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9 499 999</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2 027 942</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21,35</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CIP INTERREG IIIA SR-ČR</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4 667 299</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4 667 299</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1 378 775</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29,54</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CIP INTERREG IIIA H-SR-Ukr</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9 500 000</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9 500 000</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2 822 615</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29,71</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CIP EQUAL</w:t>
            </w:r>
          </w:p>
        </w:tc>
        <w:tc>
          <w:tcPr>
            <w:tcW w:w="131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22 266 351</w:t>
            </w:r>
          </w:p>
        </w:tc>
        <w:tc>
          <w:tcPr>
            <w:tcW w:w="11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22 266 351</w:t>
            </w:r>
          </w:p>
        </w:tc>
        <w:tc>
          <w:tcPr>
            <w:tcW w:w="17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7 752 199</w:t>
            </w:r>
          </w:p>
        </w:tc>
        <w:tc>
          <w:tcPr>
            <w:tcW w:w="12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26B3" w:rsidRPr="00A840EA" w:rsidP="0046022A">
            <w:pPr>
              <w:jc w:val="right"/>
              <w:rPr>
                <w:rFonts w:ascii="Times New Roman" w:hAnsi="Times New Roman" w:cs="Times New Roman"/>
                <w:sz w:val="20"/>
                <w:szCs w:val="20"/>
              </w:rPr>
            </w:pPr>
            <w:r w:rsidRPr="00A840EA">
              <w:rPr>
                <w:rFonts w:ascii="Times New Roman" w:hAnsi="Times New Roman" w:cs="Times New Roman"/>
                <w:sz w:val="20"/>
                <w:szCs w:val="20"/>
              </w:rPr>
              <w:t>34,82</w:t>
            </w:r>
          </w:p>
        </w:tc>
      </w:tr>
      <w:tr>
        <w:tblPrEx>
          <w:tblW w:w="9288" w:type="dxa"/>
        </w:tblPrEx>
        <w:trPr>
          <w:trHeight w:hRule="auto" w:val="0"/>
        </w:trPr>
        <w:tc>
          <w:tcPr>
            <w:tcW w:w="2047"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both"/>
              <w:rPr>
                <w:rFonts w:ascii="Times New Roman" w:hAnsi="Times New Roman" w:cs="Times New Roman"/>
                <w:b/>
                <w:sz w:val="20"/>
                <w:szCs w:val="20"/>
              </w:rPr>
            </w:pPr>
            <w:r w:rsidRPr="00A840EA">
              <w:rPr>
                <w:rFonts w:ascii="Times New Roman" w:hAnsi="Times New Roman" w:cs="Times New Roman"/>
                <w:b/>
                <w:sz w:val="20"/>
                <w:szCs w:val="20"/>
              </w:rPr>
              <w:t>SPOLU</w:t>
            </w:r>
          </w:p>
        </w:tc>
        <w:tc>
          <w:tcPr>
            <w:tcW w:w="1316"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right"/>
              <w:rPr>
                <w:rFonts w:ascii="Times New Roman" w:hAnsi="Times New Roman" w:cs="Times New Roman"/>
                <w:b/>
                <w:sz w:val="20"/>
                <w:szCs w:val="20"/>
              </w:rPr>
            </w:pPr>
            <w:r w:rsidRPr="00A840EA">
              <w:rPr>
                <w:rFonts w:ascii="Times New Roman" w:hAnsi="Times New Roman" w:cs="Times New Roman"/>
                <w:b/>
                <w:sz w:val="20"/>
                <w:szCs w:val="20"/>
              </w:rPr>
              <w:t>1178584667</w:t>
            </w:r>
          </w:p>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right"/>
              <w:rPr>
                <w:rFonts w:ascii="Times New Roman" w:hAnsi="Times New Roman" w:cs="Times New Roman"/>
                <w:b/>
                <w:sz w:val="20"/>
                <w:szCs w:val="20"/>
              </w:rPr>
            </w:pPr>
            <w:r w:rsidRPr="00A840EA">
              <w:rPr>
                <w:rFonts w:ascii="Times New Roman" w:hAnsi="Times New Roman" w:cs="Times New Roman"/>
                <w:b/>
                <w:sz w:val="20"/>
                <w:szCs w:val="20"/>
              </w:rPr>
              <w:t>2 425 944</w:t>
            </w:r>
          </w:p>
        </w:tc>
        <w:tc>
          <w:tcPr>
            <w:tcW w:w="1715"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right"/>
              <w:rPr>
                <w:rFonts w:ascii="Times New Roman" w:hAnsi="Times New Roman" w:cs="Times New Roman"/>
                <w:b/>
                <w:sz w:val="20"/>
                <w:szCs w:val="20"/>
              </w:rPr>
            </w:pPr>
            <w:r w:rsidRPr="00A840EA">
              <w:rPr>
                <w:rFonts w:ascii="Times New Roman" w:hAnsi="Times New Roman" w:cs="Times New Roman"/>
                <w:b/>
                <w:sz w:val="20"/>
                <w:szCs w:val="20"/>
              </w:rPr>
              <w:t>1176158723</w:t>
            </w:r>
          </w:p>
        </w:tc>
        <w:tc>
          <w:tcPr>
            <w:tcW w:w="1771"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right"/>
              <w:rPr>
                <w:rFonts w:ascii="Times New Roman" w:hAnsi="Times New Roman" w:cs="Times New Roman"/>
                <w:b/>
                <w:sz w:val="20"/>
                <w:szCs w:val="20"/>
              </w:rPr>
            </w:pPr>
            <w:r w:rsidRPr="00A840EA">
              <w:rPr>
                <w:rFonts w:ascii="Times New Roman" w:hAnsi="Times New Roman" w:cs="Times New Roman"/>
                <w:b/>
                <w:sz w:val="20"/>
                <w:szCs w:val="20"/>
              </w:rPr>
              <w:t>536 166 166</w:t>
            </w:r>
          </w:p>
        </w:tc>
        <w:tc>
          <w:tcPr>
            <w:tcW w:w="1248" w:type="dxa"/>
            <w:tcBorders>
              <w:top w:val="single" w:sz="4" w:space="0" w:color="auto"/>
              <w:left w:val="single" w:sz="4" w:space="0" w:color="auto"/>
              <w:bottom w:val="single" w:sz="4" w:space="0" w:color="auto"/>
              <w:right w:val="single" w:sz="4" w:space="0" w:color="auto"/>
              <w:tl2br w:val="nil"/>
              <w:tr2bl w:val="nil"/>
            </w:tcBorders>
            <w:shd w:val="clear" w:color="auto" w:fill="E6E6E6"/>
            <w:textDirection w:val="lrTb"/>
            <w:vAlign w:val="top"/>
          </w:tcPr>
          <w:p w:rsidR="005C26B3" w:rsidRPr="00A840EA" w:rsidP="0046022A">
            <w:pPr>
              <w:jc w:val="right"/>
              <w:rPr>
                <w:rFonts w:ascii="Times New Roman" w:hAnsi="Times New Roman" w:cs="Times New Roman"/>
                <w:b/>
                <w:sz w:val="20"/>
                <w:szCs w:val="20"/>
              </w:rPr>
            </w:pPr>
            <w:r w:rsidRPr="00A840EA">
              <w:rPr>
                <w:rFonts w:ascii="Times New Roman" w:hAnsi="Times New Roman" w:cs="Times New Roman"/>
                <w:b/>
                <w:sz w:val="20"/>
                <w:szCs w:val="20"/>
              </w:rPr>
              <w:t>45,59</w:t>
            </w:r>
          </w:p>
        </w:tc>
      </w:tr>
    </w:tbl>
    <w:p w:rsidR="005C26B3" w:rsidRPr="006A066D" w:rsidP="005C26B3">
      <w:pPr>
        <w:jc w:val="both"/>
        <w:rPr>
          <w:rFonts w:ascii="Times New Roman" w:hAnsi="Times New Roman" w:cs="Times New Roman"/>
          <w:sz w:val="22"/>
          <w:szCs w:val="22"/>
        </w:rPr>
      </w:pPr>
    </w:p>
    <w:p w:rsidR="00705D52" w:rsidRPr="006A066D" w:rsidP="00705D52">
      <w:pPr>
        <w:autoSpaceDE/>
        <w:autoSpaceDN/>
        <w:spacing w:line="240" w:lineRule="atLeast"/>
        <w:rPr>
          <w:rFonts w:ascii="Times New Roman" w:hAnsi="Times New Roman" w:cs="Times New Roman"/>
          <w:b/>
          <w:bCs/>
          <w:sz w:val="22"/>
          <w:szCs w:val="22"/>
        </w:rPr>
      </w:pPr>
      <w:bookmarkStart w:id="0" w:name="OLE_LINK2"/>
      <w:r w:rsidRPr="006A066D">
        <w:rPr>
          <w:rFonts w:ascii="Times New Roman" w:hAnsi="Times New Roman" w:cs="Times New Roman"/>
          <w:b/>
          <w:bCs/>
          <w:sz w:val="22"/>
          <w:szCs w:val="22"/>
        </w:rPr>
        <w:t>2. ISPA / Kohézny fond</w:t>
      </w:r>
    </w:p>
    <w:p w:rsidR="00705D52" w:rsidRPr="006A066D" w:rsidP="00705D52">
      <w:pPr>
        <w:autoSpaceDE/>
        <w:autoSpaceDN/>
        <w:rPr>
          <w:rFonts w:ascii="Times New Roman" w:hAnsi="Times New Roman" w:cs="Times New Roman"/>
          <w:b/>
          <w:bCs/>
          <w:sz w:val="22"/>
          <w:szCs w:val="22"/>
        </w:rPr>
      </w:pPr>
    </w:p>
    <w:p w:rsidR="00705D52" w:rsidRPr="006A066D" w:rsidP="00705D52">
      <w:pPr>
        <w:ind w:firstLine="540"/>
        <w:jc w:val="both"/>
        <w:rPr>
          <w:rFonts w:ascii="Times New Roman" w:hAnsi="Times New Roman" w:cs="Times New Roman"/>
          <w:bCs/>
          <w:sz w:val="22"/>
          <w:szCs w:val="22"/>
        </w:rPr>
      </w:pPr>
      <w:r w:rsidRPr="006A066D">
        <w:rPr>
          <w:rFonts w:ascii="Times New Roman" w:hAnsi="Times New Roman" w:cs="Times New Roman"/>
          <w:bCs/>
          <w:sz w:val="22"/>
          <w:szCs w:val="22"/>
        </w:rPr>
        <w:t xml:space="preserve">K 19.09.2007 bolo z celkovej alokácie </w:t>
      </w:r>
      <w:r w:rsidRPr="006A066D">
        <w:rPr>
          <w:rFonts w:ascii="Times New Roman" w:hAnsi="Times New Roman" w:cs="Times New Roman"/>
          <w:b/>
          <w:bCs/>
          <w:sz w:val="22"/>
          <w:szCs w:val="22"/>
        </w:rPr>
        <w:t>637 914 738 EUR</w:t>
      </w:r>
      <w:r w:rsidRPr="006A066D">
        <w:rPr>
          <w:rFonts w:ascii="Times New Roman" w:hAnsi="Times New Roman" w:cs="Times New Roman"/>
          <w:bCs/>
          <w:sz w:val="22"/>
          <w:szCs w:val="22"/>
        </w:rPr>
        <w:t xml:space="preserve"> pre schválené projekty ISPA/KF prijaté na účty platobného orgánu </w:t>
      </w:r>
      <w:r w:rsidRPr="006A066D">
        <w:rPr>
          <w:rFonts w:ascii="Times New Roman" w:hAnsi="Times New Roman" w:cs="Times New Roman"/>
          <w:b/>
          <w:bCs/>
          <w:sz w:val="22"/>
          <w:szCs w:val="22"/>
        </w:rPr>
        <w:t>254 545 282 EUR</w:t>
      </w:r>
      <w:r w:rsidRPr="006A066D">
        <w:rPr>
          <w:rFonts w:ascii="Times New Roman" w:hAnsi="Times New Roman" w:cs="Times New Roman"/>
          <w:bCs/>
          <w:sz w:val="22"/>
          <w:szCs w:val="22"/>
        </w:rPr>
        <w:t xml:space="preserve">, čo predstavuje celkom </w:t>
      </w:r>
      <w:r w:rsidRPr="006A066D">
        <w:rPr>
          <w:rFonts w:ascii="Times New Roman" w:hAnsi="Times New Roman" w:cs="Times New Roman"/>
          <w:b/>
          <w:bCs/>
          <w:sz w:val="22"/>
          <w:szCs w:val="22"/>
        </w:rPr>
        <w:t>70,22 %</w:t>
      </w:r>
      <w:r w:rsidRPr="006A066D">
        <w:rPr>
          <w:rFonts w:ascii="Times New Roman" w:hAnsi="Times New Roman" w:cs="Times New Roman"/>
          <w:bCs/>
          <w:sz w:val="22"/>
          <w:szCs w:val="22"/>
        </w:rPr>
        <w:t xml:space="preserve"> prostriedkov určených na spolufinancovanie z prostriedkov ES.</w:t>
      </w:r>
      <w:r>
        <w:rPr>
          <w:rFonts w:ascii="Times New Roman" w:hAnsi="Times New Roman" w:cs="Times New Roman"/>
          <w:bCs/>
          <w:sz w:val="22"/>
          <w:szCs w:val="22"/>
        </w:rPr>
        <w:t xml:space="preserve"> </w:t>
      </w:r>
      <w:r w:rsidRPr="006A066D">
        <w:rPr>
          <w:rFonts w:ascii="Times New Roman" w:hAnsi="Times New Roman" w:cs="Times New Roman"/>
          <w:bCs/>
          <w:sz w:val="22"/>
          <w:szCs w:val="22"/>
        </w:rPr>
        <w:t xml:space="preserve">Pre projekty ISPA/Kohézny fond boli od začiatku implementácie do 19.09.2007 vyplatené faktúry </w:t>
      </w:r>
      <w:r w:rsidRPr="006A066D">
        <w:rPr>
          <w:rFonts w:ascii="Times New Roman" w:hAnsi="Times New Roman" w:cs="Times New Roman"/>
          <w:b/>
          <w:bCs/>
          <w:sz w:val="22"/>
          <w:szCs w:val="22"/>
        </w:rPr>
        <w:t>v celkovej sume</w:t>
      </w:r>
      <w:r w:rsidRPr="006A066D">
        <w:rPr>
          <w:rFonts w:ascii="Times New Roman" w:hAnsi="Times New Roman" w:cs="Times New Roman"/>
          <w:bCs/>
          <w:sz w:val="22"/>
          <w:szCs w:val="22"/>
        </w:rPr>
        <w:t xml:space="preserve"> </w:t>
      </w:r>
      <w:r w:rsidRPr="006A066D">
        <w:rPr>
          <w:rFonts w:ascii="Times New Roman" w:hAnsi="Times New Roman" w:cs="Times New Roman"/>
          <w:b/>
          <w:bCs/>
          <w:sz w:val="22"/>
          <w:szCs w:val="22"/>
        </w:rPr>
        <w:t>490 818 596 EUR, čo predstavuje celkom 76,94 % z celkovej alokácie</w:t>
      </w:r>
      <w:r w:rsidRPr="006A066D">
        <w:rPr>
          <w:rFonts w:ascii="Times New Roman" w:hAnsi="Times New Roman" w:cs="Times New Roman"/>
          <w:bCs/>
          <w:sz w:val="22"/>
          <w:szCs w:val="22"/>
        </w:rPr>
        <w:t xml:space="preserve">, z toho </w:t>
      </w:r>
      <w:r w:rsidRPr="006A066D">
        <w:rPr>
          <w:rFonts w:ascii="Times New Roman" w:hAnsi="Times New Roman" w:cs="Times New Roman"/>
          <w:b/>
          <w:bCs/>
          <w:sz w:val="22"/>
          <w:szCs w:val="22"/>
        </w:rPr>
        <w:t>časť za prostriedky ES</w:t>
      </w:r>
      <w:r w:rsidRPr="006A066D">
        <w:rPr>
          <w:rFonts w:ascii="Times New Roman" w:hAnsi="Times New Roman" w:cs="Times New Roman"/>
          <w:bCs/>
          <w:sz w:val="22"/>
          <w:szCs w:val="22"/>
        </w:rPr>
        <w:t xml:space="preserve"> predstavovala sumu </w:t>
      </w:r>
      <w:r w:rsidRPr="006A066D">
        <w:rPr>
          <w:rFonts w:ascii="Times New Roman" w:hAnsi="Times New Roman" w:cs="Times New Roman"/>
          <w:b/>
          <w:bCs/>
          <w:sz w:val="22"/>
          <w:szCs w:val="22"/>
        </w:rPr>
        <w:t>249 000 183 EUR, čo predstavuje celkom 68,69 % z celkovej alokácie za prostriedky ES</w:t>
      </w:r>
      <w:r w:rsidRPr="006A066D">
        <w:rPr>
          <w:rFonts w:ascii="Times New Roman" w:hAnsi="Times New Roman" w:cs="Times New Roman"/>
          <w:bCs/>
          <w:sz w:val="22"/>
          <w:szCs w:val="22"/>
        </w:rPr>
        <w:t xml:space="preserve"> (neproporcionalita vo vyplácaní prostriedkov je spôsobená predplácaním prostriedkov ES z prostriedkov ŠR). Konečná doba vyplácania je stanovená v príslušných finančných memorandách a je individuálna pre každý projekt. </w:t>
      </w:r>
      <w:r>
        <w:rPr>
          <w:rFonts w:ascii="Times New Roman" w:hAnsi="Times New Roman" w:cs="Times New Roman"/>
          <w:bCs/>
          <w:sz w:val="22"/>
          <w:szCs w:val="22"/>
        </w:rPr>
        <w:t xml:space="preserve"> </w:t>
      </w:r>
      <w:r w:rsidRPr="006A066D">
        <w:rPr>
          <w:rFonts w:ascii="Times New Roman" w:hAnsi="Times New Roman" w:cs="Times New Roman"/>
          <w:bCs/>
          <w:sz w:val="22"/>
          <w:szCs w:val="22"/>
        </w:rPr>
        <w:t>K 19.09.2007 bolo uzatvorených 6 projektov, z toho 5 projektov implementovaných MŽP SR a 1 MDPT SR a 4 projekty sú v procese uzatvárania (k 31.12.2007), z toho po 2 na rezorte životného prostredia aj rezorte dopravy.</w:t>
      </w:r>
    </w:p>
    <w:p w:rsidR="00A840EA" w:rsidP="00A840EA">
      <w:pPr>
        <w:jc w:val="both"/>
        <w:rPr>
          <w:rFonts w:ascii="Times New Roman" w:hAnsi="Times New Roman" w:cs="Times New Roman"/>
          <w:bCs/>
          <w:sz w:val="22"/>
          <w:szCs w:val="22"/>
        </w:rPr>
      </w:pPr>
    </w:p>
    <w:p w:rsidR="00047C14" w:rsidP="00A840EA">
      <w:pPr>
        <w:jc w:val="both"/>
        <w:rPr>
          <w:rFonts w:ascii="Times New Roman" w:hAnsi="Times New Roman" w:cs="Times New Roman"/>
          <w:bCs/>
          <w:sz w:val="22"/>
          <w:szCs w:val="22"/>
        </w:rPr>
      </w:pPr>
      <w:r w:rsidRPr="006A066D" w:rsidR="00705D52">
        <w:rPr>
          <w:rFonts w:ascii="Times New Roman" w:hAnsi="Times New Roman" w:cs="Times New Roman"/>
          <w:bCs/>
          <w:sz w:val="22"/>
          <w:szCs w:val="22"/>
        </w:rPr>
        <w:t xml:space="preserve">Tab. </w:t>
      </w:r>
      <w:r w:rsidR="006A0BAA">
        <w:rPr>
          <w:rFonts w:ascii="Times New Roman" w:hAnsi="Times New Roman" w:cs="Times New Roman"/>
          <w:bCs/>
          <w:sz w:val="22"/>
          <w:szCs w:val="22"/>
        </w:rPr>
        <w:t>4</w:t>
      </w:r>
      <w:r w:rsidRPr="006A066D" w:rsidR="00705D52">
        <w:rPr>
          <w:rFonts w:ascii="Times New Roman" w:hAnsi="Times New Roman" w:cs="Times New Roman"/>
          <w:bCs/>
          <w:sz w:val="22"/>
          <w:szCs w:val="22"/>
        </w:rPr>
        <w:tab/>
      </w:r>
    </w:p>
    <w:tbl>
      <w:tblPr>
        <w:tblW w:w="10386" w:type="dxa"/>
        <w:tblCellMar>
          <w:left w:w="70" w:type="dxa"/>
          <w:right w:w="70" w:type="dxa"/>
        </w:tblCellMar>
      </w:tblPr>
      <w:tblGrid>
        <w:gridCol w:w="959"/>
        <w:gridCol w:w="1366"/>
        <w:gridCol w:w="1363"/>
        <w:gridCol w:w="1347"/>
        <w:gridCol w:w="855"/>
        <w:gridCol w:w="1392"/>
        <w:gridCol w:w="855"/>
        <w:gridCol w:w="1394"/>
        <w:gridCol w:w="855"/>
      </w:tblGrid>
      <w:tr>
        <w:tblPrEx>
          <w:tblW w:w="10386" w:type="dxa"/>
          <w:tblCellMar>
            <w:left w:w="70" w:type="dxa"/>
            <w:right w:w="70" w:type="dxa"/>
          </w:tblCellMar>
        </w:tblPrEx>
        <w:trPr>
          <w:trHeight w:val="311"/>
        </w:trPr>
        <w:tc>
          <w:tcPr>
            <w:tcW w:w="10386" w:type="dxa"/>
            <w:gridSpan w:val="9"/>
            <w:tcBorders>
              <w:top w:val="nil"/>
              <w:left w:val="nil"/>
              <w:bottom w:val="nil"/>
              <w:right w:val="nil"/>
              <w:tl2br w:val="nil"/>
              <w:tr2bl w:val="nil"/>
            </w:tcBorders>
            <w:noWrap/>
            <w:textDirection w:val="lrTb"/>
            <w:vAlign w:val="bottom"/>
          </w:tcPr>
          <w:p w:rsidR="00705D52" w:rsidRPr="006A066D" w:rsidP="0046022A">
            <w:pPr>
              <w:jc w:val="center"/>
              <w:rPr>
                <w:rFonts w:ascii="Times New Roman" w:hAnsi="Times New Roman" w:cs="Times New Roman"/>
                <w:b/>
                <w:bCs/>
                <w:sz w:val="22"/>
                <w:szCs w:val="22"/>
              </w:rPr>
            </w:pPr>
            <w:r w:rsidR="006A0BAA">
              <w:rPr>
                <w:rFonts w:ascii="Times New Roman" w:hAnsi="Times New Roman" w:cs="Times New Roman"/>
                <w:b/>
                <w:bCs/>
                <w:sz w:val="22"/>
                <w:szCs w:val="22"/>
              </w:rPr>
              <w:t>P</w:t>
            </w:r>
            <w:r w:rsidRPr="006A066D">
              <w:rPr>
                <w:rFonts w:ascii="Times New Roman" w:hAnsi="Times New Roman" w:cs="Times New Roman"/>
                <w:b/>
                <w:bCs/>
                <w:sz w:val="22"/>
                <w:szCs w:val="22"/>
              </w:rPr>
              <w:t>rijaté prostriedky ES - projekty ISPA/KF (01.01.2000-19.09.2007)</w:t>
            </w:r>
          </w:p>
        </w:tc>
      </w:tr>
      <w:tr>
        <w:tblPrEx>
          <w:tblW w:w="10386" w:type="dxa"/>
          <w:tblCellMar>
            <w:left w:w="70" w:type="dxa"/>
            <w:right w:w="70" w:type="dxa"/>
          </w:tblCellMar>
        </w:tblPrEx>
        <w:trPr>
          <w:trHeight w:val="267"/>
        </w:trPr>
        <w:tc>
          <w:tcPr>
            <w:tcW w:w="959"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1366"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1363"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1347"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855"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1392"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855"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1394"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c>
          <w:tcPr>
            <w:tcW w:w="855" w:type="dxa"/>
            <w:tcBorders>
              <w:top w:val="nil"/>
              <w:left w:val="nil"/>
              <w:bottom w:val="single" w:sz="8" w:space="0" w:color="auto"/>
              <w:right w:val="nil"/>
              <w:tl2br w:val="nil"/>
              <w:tr2bl w:val="nil"/>
            </w:tcBorders>
            <w:noWrap/>
            <w:textDirection w:val="lrTb"/>
            <w:vAlign w:val="bottom"/>
          </w:tcPr>
          <w:p w:rsidR="00705D52" w:rsidRPr="006A066D" w:rsidP="0046022A">
            <w:pPr>
              <w:jc w:val="center"/>
              <w:rPr>
                <w:rFonts w:ascii="Times New Roman" w:hAnsi="Times New Roman" w:cs="Times New Roman"/>
                <w:sz w:val="22"/>
                <w:szCs w:val="22"/>
              </w:rPr>
            </w:pPr>
          </w:p>
        </w:tc>
      </w:tr>
      <w:tr>
        <w:tblPrEx>
          <w:tblW w:w="10386" w:type="dxa"/>
          <w:tblCellMar>
            <w:left w:w="70" w:type="dxa"/>
            <w:right w:w="70" w:type="dxa"/>
          </w:tblCellMar>
        </w:tblPrEx>
        <w:trPr>
          <w:trHeight w:val="1023"/>
        </w:trPr>
        <w:tc>
          <w:tcPr>
            <w:tcW w:w="959" w:type="dxa"/>
            <w:tcBorders>
              <w:top w:val="single" w:sz="8" w:space="0" w:color="auto"/>
              <w:left w:val="single" w:sz="8" w:space="0" w:color="auto"/>
              <w:bottom w:val="single" w:sz="8" w:space="0" w:color="auto"/>
              <w:right w:val="single" w:sz="8"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 </w:t>
            </w:r>
          </w:p>
        </w:tc>
        <w:tc>
          <w:tcPr>
            <w:tcW w:w="1366"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Celkové oprávnené náklady</w:t>
            </w:r>
          </w:p>
        </w:tc>
        <w:tc>
          <w:tcPr>
            <w:tcW w:w="1363"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Celkové oprávnené náklady - časť ES</w:t>
            </w:r>
          </w:p>
        </w:tc>
        <w:tc>
          <w:tcPr>
            <w:tcW w:w="1347"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Prijaté prostriedky ES</w:t>
            </w:r>
          </w:p>
        </w:tc>
        <w:tc>
          <w:tcPr>
            <w:tcW w:w="855"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 %</w:t>
            </w:r>
          </w:p>
        </w:tc>
        <w:tc>
          <w:tcPr>
            <w:tcW w:w="1392"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Vyplatené prostriedky ES zhotoviteľom</w:t>
            </w:r>
          </w:p>
        </w:tc>
        <w:tc>
          <w:tcPr>
            <w:tcW w:w="855"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 %</w:t>
            </w:r>
          </w:p>
        </w:tc>
        <w:tc>
          <w:tcPr>
            <w:tcW w:w="1394"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Vyplatené zhotoviteľom celkom (ES+ŠR+KP)</w:t>
            </w:r>
          </w:p>
        </w:tc>
        <w:tc>
          <w:tcPr>
            <w:tcW w:w="855" w:type="dxa"/>
            <w:tcBorders>
              <w:top w:val="single" w:sz="8" w:space="0" w:color="auto"/>
              <w:left w:val="nil"/>
              <w:bottom w:val="single" w:sz="8" w:space="0" w:color="auto"/>
              <w:right w:val="single" w:sz="8"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sz w:val="22"/>
                <w:szCs w:val="22"/>
              </w:rPr>
            </w:pPr>
            <w:r w:rsidRPr="006A066D">
              <w:rPr>
                <w:rFonts w:ascii="Times New Roman" w:hAnsi="Times New Roman" w:cs="Times New Roman"/>
                <w:b/>
                <w:sz w:val="22"/>
                <w:szCs w:val="22"/>
              </w:rPr>
              <w:t>v %</w:t>
            </w:r>
          </w:p>
        </w:tc>
      </w:tr>
      <w:tr>
        <w:tblPrEx>
          <w:tblW w:w="10386" w:type="dxa"/>
          <w:tblCellMar>
            <w:left w:w="70" w:type="dxa"/>
            <w:right w:w="70" w:type="dxa"/>
          </w:tblCellMar>
        </w:tblPrEx>
        <w:trPr>
          <w:trHeight w:val="252"/>
        </w:trPr>
        <w:tc>
          <w:tcPr>
            <w:tcW w:w="959" w:type="dxa"/>
            <w:tcBorders>
              <w:top w:val="single" w:sz="8" w:space="0" w:color="auto"/>
              <w:left w:val="single" w:sz="8" w:space="0" w:color="auto"/>
              <w:bottom w:val="single" w:sz="4"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ŽP</w:t>
            </w:r>
          </w:p>
        </w:tc>
        <w:tc>
          <w:tcPr>
            <w:tcW w:w="1366"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304 520 978 €</w:t>
            </w:r>
          </w:p>
        </w:tc>
        <w:tc>
          <w:tcPr>
            <w:tcW w:w="1363"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175 605 219 €</w:t>
            </w:r>
          </w:p>
        </w:tc>
        <w:tc>
          <w:tcPr>
            <w:tcW w:w="1347"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104 552 193 €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59,54%</w:t>
            </w:r>
          </w:p>
        </w:tc>
        <w:tc>
          <w:tcPr>
            <w:tcW w:w="1392"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87 230 301 €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49,67%</w:t>
            </w:r>
          </w:p>
        </w:tc>
        <w:tc>
          <w:tcPr>
            <w:tcW w:w="1394"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174 667 609 €</w:t>
            </w:r>
          </w:p>
        </w:tc>
        <w:tc>
          <w:tcPr>
            <w:tcW w:w="855" w:type="dxa"/>
            <w:tcBorders>
              <w:top w:val="nil"/>
              <w:left w:val="nil"/>
              <w:bottom w:val="single" w:sz="4" w:space="0" w:color="auto"/>
              <w:right w:val="single" w:sz="8"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57,36%</w:t>
            </w:r>
          </w:p>
        </w:tc>
      </w:tr>
      <w:tr>
        <w:tblPrEx>
          <w:tblW w:w="10386" w:type="dxa"/>
          <w:tblCellMar>
            <w:left w:w="70" w:type="dxa"/>
            <w:right w:w="70" w:type="dxa"/>
          </w:tblCellMar>
        </w:tblPrEx>
        <w:trPr>
          <w:trHeight w:val="252"/>
        </w:trPr>
        <w:tc>
          <w:tcPr>
            <w:tcW w:w="959" w:type="dxa"/>
            <w:tcBorders>
              <w:top w:val="single" w:sz="4" w:space="0" w:color="auto"/>
              <w:left w:val="single" w:sz="8" w:space="0" w:color="auto"/>
              <w:bottom w:val="single" w:sz="4"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Doprava</w:t>
            </w:r>
          </w:p>
        </w:tc>
        <w:tc>
          <w:tcPr>
            <w:tcW w:w="1366"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313 979 000 €</w:t>
            </w:r>
          </w:p>
        </w:tc>
        <w:tc>
          <w:tcPr>
            <w:tcW w:w="1363"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170 889 200 €</w:t>
            </w:r>
          </w:p>
        </w:tc>
        <w:tc>
          <w:tcPr>
            <w:tcW w:w="1347"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139 301 972 €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81,52%</w:t>
            </w:r>
          </w:p>
        </w:tc>
        <w:tc>
          <w:tcPr>
            <w:tcW w:w="1392"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153 348 660 €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89,74%</w:t>
            </w:r>
          </w:p>
        </w:tc>
        <w:tc>
          <w:tcPr>
            <w:tcW w:w="1394"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304 649 922 €</w:t>
            </w:r>
          </w:p>
        </w:tc>
        <w:tc>
          <w:tcPr>
            <w:tcW w:w="855" w:type="dxa"/>
            <w:tcBorders>
              <w:top w:val="nil"/>
              <w:left w:val="nil"/>
              <w:bottom w:val="single" w:sz="4" w:space="0" w:color="auto"/>
              <w:right w:val="single" w:sz="8"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97,03%</w:t>
            </w:r>
          </w:p>
        </w:tc>
      </w:tr>
      <w:tr>
        <w:tblPrEx>
          <w:tblW w:w="10386" w:type="dxa"/>
          <w:tblCellMar>
            <w:left w:w="70" w:type="dxa"/>
            <w:right w:w="70" w:type="dxa"/>
          </w:tblCellMar>
        </w:tblPrEx>
        <w:trPr>
          <w:trHeight w:val="252"/>
        </w:trPr>
        <w:tc>
          <w:tcPr>
            <w:tcW w:w="959" w:type="dxa"/>
            <w:tcBorders>
              <w:top w:val="single" w:sz="4" w:space="0" w:color="auto"/>
              <w:left w:val="single" w:sz="8" w:space="0" w:color="auto"/>
              <w:bottom w:val="single" w:sz="4"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TA</w:t>
            </w:r>
          </w:p>
        </w:tc>
        <w:tc>
          <w:tcPr>
            <w:tcW w:w="1366"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19 414 760 €</w:t>
            </w:r>
          </w:p>
        </w:tc>
        <w:tc>
          <w:tcPr>
            <w:tcW w:w="1363"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16 013 570 €</w:t>
            </w:r>
          </w:p>
        </w:tc>
        <w:tc>
          <w:tcPr>
            <w:tcW w:w="1347"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10 691 117 €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66,76%</w:t>
            </w:r>
          </w:p>
        </w:tc>
        <w:tc>
          <w:tcPr>
            <w:tcW w:w="1392"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8 421 222 €</w:t>
            </w:r>
          </w:p>
        </w:tc>
        <w:tc>
          <w:tcPr>
            <w:tcW w:w="855"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52,59%</w:t>
            </w:r>
          </w:p>
        </w:tc>
        <w:tc>
          <w:tcPr>
            <w:tcW w:w="1394" w:type="dxa"/>
            <w:tcBorders>
              <w:top w:val="nil"/>
              <w:left w:val="nil"/>
              <w:bottom w:val="single" w:sz="4" w:space="0" w:color="auto"/>
              <w:right w:val="single" w:sz="4" w:space="0" w:color="auto"/>
              <w:tl2br w:val="nil"/>
              <w:tr2bl w:val="nil"/>
            </w:tcBorders>
            <w:shd w:val="clear" w:color="auto" w:fill="FFFFFF"/>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11 501 065 €</w:t>
            </w:r>
          </w:p>
        </w:tc>
        <w:tc>
          <w:tcPr>
            <w:tcW w:w="855" w:type="dxa"/>
            <w:tcBorders>
              <w:top w:val="nil"/>
              <w:left w:val="nil"/>
              <w:bottom w:val="single" w:sz="4" w:space="0" w:color="auto"/>
              <w:right w:val="single" w:sz="8"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59,24%</w:t>
            </w:r>
          </w:p>
        </w:tc>
      </w:tr>
      <w:tr>
        <w:tblPrEx>
          <w:tblW w:w="10386" w:type="dxa"/>
          <w:tblCellMar>
            <w:left w:w="70" w:type="dxa"/>
            <w:right w:w="70" w:type="dxa"/>
          </w:tblCellMar>
        </w:tblPrEx>
        <w:trPr>
          <w:trHeight w:val="267"/>
        </w:trPr>
        <w:tc>
          <w:tcPr>
            <w:tcW w:w="959" w:type="dxa"/>
            <w:tcBorders>
              <w:top w:val="single" w:sz="4" w:space="0" w:color="auto"/>
              <w:left w:val="single" w:sz="8" w:space="0" w:color="auto"/>
              <w:bottom w:val="single" w:sz="8"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Spolu</w:t>
            </w:r>
          </w:p>
        </w:tc>
        <w:tc>
          <w:tcPr>
            <w:tcW w:w="1366"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637 914 738 €</w:t>
            </w:r>
          </w:p>
        </w:tc>
        <w:tc>
          <w:tcPr>
            <w:tcW w:w="1363"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362 507 989 €</w:t>
            </w:r>
          </w:p>
        </w:tc>
        <w:tc>
          <w:tcPr>
            <w:tcW w:w="1347"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254 545 282 €</w:t>
            </w:r>
          </w:p>
        </w:tc>
        <w:tc>
          <w:tcPr>
            <w:tcW w:w="855"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70,22%</w:t>
            </w:r>
          </w:p>
        </w:tc>
        <w:tc>
          <w:tcPr>
            <w:tcW w:w="1392"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249 000 183 €</w:t>
            </w:r>
          </w:p>
        </w:tc>
        <w:tc>
          <w:tcPr>
            <w:tcW w:w="855"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68,69%</w:t>
            </w:r>
          </w:p>
        </w:tc>
        <w:tc>
          <w:tcPr>
            <w:tcW w:w="1394" w:type="dxa"/>
            <w:tcBorders>
              <w:top w:val="single" w:sz="4"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490 818 596 €</w:t>
            </w:r>
          </w:p>
        </w:tc>
        <w:tc>
          <w:tcPr>
            <w:tcW w:w="855" w:type="dxa"/>
            <w:tcBorders>
              <w:top w:val="single" w:sz="4" w:space="0" w:color="auto"/>
              <w:left w:val="nil"/>
              <w:bottom w:val="single" w:sz="8" w:space="0" w:color="auto"/>
              <w:right w:val="single" w:sz="8"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76,94%</w:t>
            </w:r>
          </w:p>
        </w:tc>
      </w:tr>
    </w:tbl>
    <w:p w:rsidR="00705D52" w:rsidRPr="006A066D" w:rsidP="00705D52">
      <w:pPr>
        <w:jc w:val="both"/>
        <w:rPr>
          <w:rFonts w:ascii="Times New Roman" w:hAnsi="Times New Roman" w:cs="Times New Roman"/>
          <w:bCs/>
          <w:sz w:val="20"/>
          <w:szCs w:val="20"/>
        </w:rPr>
      </w:pPr>
      <w:r w:rsidRPr="006A066D">
        <w:rPr>
          <w:rFonts w:ascii="Times New Roman" w:hAnsi="Times New Roman" w:cs="Times New Roman"/>
          <w:b/>
          <w:bCs/>
          <w:sz w:val="20"/>
          <w:szCs w:val="20"/>
        </w:rPr>
        <w:t>Poznámka:</w:t>
      </w:r>
      <w:r w:rsidRPr="006A066D">
        <w:rPr>
          <w:rFonts w:ascii="Times New Roman" w:hAnsi="Times New Roman" w:cs="Times New Roman"/>
          <w:bCs/>
          <w:sz w:val="20"/>
          <w:szCs w:val="20"/>
        </w:rPr>
        <w:t xml:space="preserve"> Údaje sú uvádzané v EUR nakoľko projekty ISPA/ KF sú i čerpané v EUR</w:t>
        <w:tab/>
        <w:tab/>
        <w:tab/>
      </w:r>
    </w:p>
    <w:p w:rsidR="00705D52" w:rsidRPr="006A066D" w:rsidP="00705D52">
      <w:pPr>
        <w:jc w:val="both"/>
        <w:rPr>
          <w:rFonts w:ascii="Times New Roman" w:hAnsi="Times New Roman" w:cs="Times New Roman"/>
          <w:b/>
          <w:bCs/>
          <w:sz w:val="22"/>
          <w:szCs w:val="22"/>
        </w:rPr>
      </w:pPr>
    </w:p>
    <w:p w:rsidR="00705D52" w:rsidRPr="006A066D" w:rsidP="00705D52">
      <w:pPr>
        <w:jc w:val="both"/>
        <w:rPr>
          <w:rFonts w:ascii="Times New Roman" w:hAnsi="Times New Roman" w:cs="Times New Roman"/>
          <w:b/>
          <w:bCs/>
          <w:sz w:val="22"/>
          <w:szCs w:val="22"/>
        </w:rPr>
      </w:pPr>
    </w:p>
    <w:p w:rsidR="00705D52" w:rsidRPr="006A066D" w:rsidP="00705D52">
      <w:pPr>
        <w:jc w:val="both"/>
        <w:rPr>
          <w:rFonts w:ascii="Times New Roman" w:hAnsi="Times New Roman" w:cs="Times New Roman"/>
          <w:b/>
          <w:bCs/>
          <w:sz w:val="22"/>
          <w:szCs w:val="22"/>
        </w:rPr>
      </w:pPr>
      <w:r w:rsidRPr="006A066D">
        <w:rPr>
          <w:rFonts w:ascii="Times New Roman" w:hAnsi="Times New Roman" w:cs="Times New Roman"/>
          <w:b/>
          <w:bCs/>
          <w:sz w:val="22"/>
          <w:szCs w:val="22"/>
        </w:rPr>
        <w:t>3. Kohézny fond</w:t>
      </w:r>
    </w:p>
    <w:p w:rsidR="00705D52" w:rsidRPr="006A066D" w:rsidP="00705D52">
      <w:pPr>
        <w:jc w:val="both"/>
        <w:rPr>
          <w:rFonts w:ascii="Times New Roman" w:hAnsi="Times New Roman" w:cs="Times New Roman"/>
          <w:b/>
          <w:bCs/>
          <w:sz w:val="22"/>
          <w:szCs w:val="22"/>
        </w:rPr>
      </w:pPr>
      <w:r w:rsidRPr="006A066D">
        <w:rPr>
          <w:rFonts w:ascii="Times New Roman" w:hAnsi="Times New Roman" w:cs="Times New Roman"/>
          <w:b/>
          <w:bCs/>
          <w:sz w:val="22"/>
          <w:szCs w:val="22"/>
        </w:rPr>
        <w:t xml:space="preserve"> </w:t>
      </w:r>
    </w:p>
    <w:p w:rsidR="00705D52" w:rsidRPr="006A066D" w:rsidP="00705D52">
      <w:pPr>
        <w:jc w:val="both"/>
        <w:rPr>
          <w:rFonts w:ascii="Times New Roman" w:hAnsi="Times New Roman" w:cs="Times New Roman"/>
          <w:bCs/>
          <w:sz w:val="22"/>
          <w:szCs w:val="22"/>
        </w:rPr>
      </w:pPr>
      <w:r w:rsidRPr="006A066D">
        <w:rPr>
          <w:rFonts w:ascii="Times New Roman" w:hAnsi="Times New Roman" w:cs="Times New Roman"/>
          <w:bCs/>
          <w:sz w:val="22"/>
          <w:szCs w:val="22"/>
        </w:rPr>
        <w:t xml:space="preserve">V rámci KF je schválených 7 projektov v sektore životného prostredia a 2 projekty v sektore dopravy. </w:t>
      </w:r>
    </w:p>
    <w:p w:rsidR="00705D52" w:rsidRPr="006A066D" w:rsidP="00705D52">
      <w:pPr>
        <w:spacing w:before="120" w:after="120"/>
        <w:jc w:val="both"/>
        <w:rPr>
          <w:rFonts w:ascii="Times New Roman" w:hAnsi="Times New Roman" w:cs="Times New Roman"/>
          <w:bCs/>
          <w:sz w:val="22"/>
          <w:szCs w:val="22"/>
        </w:rPr>
      </w:pPr>
      <w:r w:rsidRPr="006A066D">
        <w:rPr>
          <w:rFonts w:ascii="Times New Roman" w:hAnsi="Times New Roman" w:cs="Times New Roman"/>
          <w:bCs/>
          <w:sz w:val="22"/>
          <w:szCs w:val="22"/>
        </w:rPr>
        <w:t xml:space="preserve">Celková alokácia pre programové obdobie 2004-2006 pre Slovenskú republiku z Kohézneho fondu je </w:t>
        <w:br/>
      </w:r>
      <w:r w:rsidRPr="006A066D">
        <w:rPr>
          <w:rFonts w:ascii="Times New Roman" w:hAnsi="Times New Roman" w:cs="Times New Roman"/>
          <w:b/>
          <w:bCs/>
          <w:sz w:val="22"/>
          <w:szCs w:val="22"/>
        </w:rPr>
        <w:t>20 903 224 963 Sk</w:t>
      </w:r>
      <w:r w:rsidRPr="006A066D">
        <w:rPr>
          <w:rFonts w:ascii="Times New Roman" w:hAnsi="Times New Roman" w:cs="Times New Roman"/>
          <w:bCs/>
          <w:sz w:val="22"/>
          <w:szCs w:val="22"/>
        </w:rPr>
        <w:t xml:space="preserve"> (prepočítané účtovným kurzom EK ku dňu podpisu príslušného rozhodnutia EK). Pre projekty KF boli od začiatku implementácie do 14.09.2007 vyplatené </w:t>
      </w:r>
      <w:r w:rsidRPr="006A066D">
        <w:rPr>
          <w:rFonts w:ascii="Times New Roman" w:hAnsi="Times New Roman" w:cs="Times New Roman"/>
          <w:b/>
          <w:bCs/>
          <w:sz w:val="22"/>
          <w:szCs w:val="22"/>
        </w:rPr>
        <w:t>prostriedky ES</w:t>
      </w:r>
      <w:r w:rsidRPr="006A066D">
        <w:rPr>
          <w:rFonts w:ascii="Times New Roman" w:hAnsi="Times New Roman" w:cs="Times New Roman"/>
          <w:bCs/>
          <w:sz w:val="22"/>
          <w:szCs w:val="22"/>
        </w:rPr>
        <w:t xml:space="preserve"> z PO na PJ vo výške </w:t>
      </w:r>
      <w:r w:rsidRPr="006A066D">
        <w:rPr>
          <w:rFonts w:ascii="Times New Roman" w:hAnsi="Times New Roman" w:cs="Times New Roman"/>
          <w:b/>
          <w:bCs/>
          <w:sz w:val="22"/>
          <w:szCs w:val="22"/>
        </w:rPr>
        <w:t xml:space="preserve">2 267 180 437 Sk, čo predstavuje celkom 14,31 % z celkovej alokácie prostriedkov ES. </w:t>
      </w:r>
      <w:r w:rsidRPr="006A066D">
        <w:rPr>
          <w:rFonts w:ascii="Times New Roman" w:hAnsi="Times New Roman" w:cs="Times New Roman"/>
          <w:bCs/>
          <w:sz w:val="22"/>
          <w:szCs w:val="22"/>
        </w:rPr>
        <w:t xml:space="preserve">Za rizikové možno považovať projekty implementované  Ministerstvom životného prostredia SR, kde bolo doteraz na PJ vyplatených len </w:t>
      </w:r>
      <w:r w:rsidRPr="006A066D">
        <w:rPr>
          <w:rFonts w:ascii="Times New Roman" w:hAnsi="Times New Roman" w:cs="Times New Roman"/>
          <w:b/>
          <w:bCs/>
          <w:sz w:val="22"/>
          <w:szCs w:val="22"/>
        </w:rPr>
        <w:t>1,66 %</w:t>
      </w:r>
      <w:r w:rsidRPr="006A066D">
        <w:rPr>
          <w:rFonts w:ascii="Times New Roman" w:hAnsi="Times New Roman" w:cs="Times New Roman"/>
          <w:bCs/>
          <w:sz w:val="22"/>
          <w:szCs w:val="22"/>
        </w:rPr>
        <w:t xml:space="preserve"> prostriedkov ES.</w:t>
      </w:r>
    </w:p>
    <w:p w:rsidR="00705D52" w:rsidRPr="006A066D" w:rsidP="00705D52">
      <w:pPr>
        <w:spacing w:before="120" w:after="120"/>
        <w:jc w:val="both"/>
        <w:rPr>
          <w:rFonts w:ascii="Times New Roman" w:hAnsi="Times New Roman" w:cs="Times New Roman"/>
          <w:bCs/>
          <w:sz w:val="22"/>
          <w:szCs w:val="22"/>
        </w:rPr>
      </w:pPr>
      <w:r w:rsidRPr="006A066D">
        <w:rPr>
          <w:rFonts w:ascii="Times New Roman" w:hAnsi="Times New Roman" w:cs="Times New Roman"/>
          <w:bCs/>
          <w:sz w:val="22"/>
          <w:szCs w:val="22"/>
        </w:rPr>
        <w:t xml:space="preserve">Tab. </w:t>
      </w:r>
      <w:r w:rsidR="006A0BAA">
        <w:rPr>
          <w:rFonts w:ascii="Times New Roman" w:hAnsi="Times New Roman" w:cs="Times New Roman"/>
          <w:bCs/>
          <w:sz w:val="22"/>
          <w:szCs w:val="22"/>
        </w:rPr>
        <w:t>5</w:t>
      </w:r>
      <w:r w:rsidRPr="006A066D">
        <w:rPr>
          <w:rFonts w:ascii="Times New Roman" w:hAnsi="Times New Roman" w:cs="Times New Roman"/>
          <w:bCs/>
          <w:sz w:val="22"/>
          <w:szCs w:val="22"/>
        </w:rPr>
        <w:tab/>
        <w:tab/>
        <w:tab/>
        <w:tab/>
        <w:tab/>
        <w:tab/>
        <w:tab/>
        <w:tab/>
        <w:tab/>
        <w:tab/>
        <w:tab/>
      </w:r>
    </w:p>
    <w:tbl>
      <w:tblPr>
        <w:tblW w:w="9400" w:type="dxa"/>
        <w:tblInd w:w="55" w:type="dxa"/>
        <w:tblCellMar>
          <w:left w:w="70" w:type="dxa"/>
          <w:right w:w="70" w:type="dxa"/>
        </w:tblCellMar>
      </w:tblPr>
      <w:tblGrid>
        <w:gridCol w:w="959"/>
        <w:gridCol w:w="1814"/>
        <w:gridCol w:w="1813"/>
        <w:gridCol w:w="1696"/>
        <w:gridCol w:w="819"/>
        <w:gridCol w:w="1701"/>
        <w:gridCol w:w="819"/>
      </w:tblGrid>
      <w:tr>
        <w:tblPrEx>
          <w:tblW w:w="9400" w:type="dxa"/>
          <w:tblInd w:w="55" w:type="dxa"/>
          <w:tblCellMar>
            <w:left w:w="70" w:type="dxa"/>
            <w:right w:w="70" w:type="dxa"/>
          </w:tblCellMar>
        </w:tblPrEx>
        <w:trPr>
          <w:trHeight w:val="315"/>
        </w:trPr>
        <w:tc>
          <w:tcPr>
            <w:tcW w:w="9400" w:type="dxa"/>
            <w:gridSpan w:val="7"/>
            <w:tcBorders>
              <w:top w:val="nil"/>
              <w:left w:val="nil"/>
              <w:bottom w:val="nil"/>
              <w:right w:val="nil"/>
              <w:tl2br w:val="nil"/>
              <w:tr2bl w:val="nil"/>
            </w:tcBorders>
            <w:noWrap/>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Prijaté prostriedky ES - projekty KF (01.05.2004 - 19.09.2007)</w:t>
            </w:r>
          </w:p>
        </w:tc>
      </w:tr>
      <w:tr>
        <w:tblPrEx>
          <w:tblW w:w="9400" w:type="dxa"/>
          <w:tblInd w:w="55" w:type="dxa"/>
          <w:tblCellMar>
            <w:left w:w="70" w:type="dxa"/>
            <w:right w:w="70" w:type="dxa"/>
          </w:tblCellMar>
        </w:tblPrEx>
        <w:trPr>
          <w:trHeight w:val="270"/>
        </w:trPr>
        <w:tc>
          <w:tcPr>
            <w:tcW w:w="875"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1814"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1813"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1696"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746"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1701"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c>
          <w:tcPr>
            <w:tcW w:w="755" w:type="dxa"/>
            <w:tcBorders>
              <w:top w:val="nil"/>
              <w:left w:val="nil"/>
              <w:bottom w:val="single" w:sz="8" w:space="0" w:color="auto"/>
              <w:right w:val="nil"/>
              <w:tl2br w:val="nil"/>
              <w:tr2bl w:val="nil"/>
            </w:tcBorders>
            <w:noWrap/>
            <w:textDirection w:val="lrTb"/>
            <w:vAlign w:val="bottom"/>
          </w:tcPr>
          <w:p w:rsidR="00705D52" w:rsidRPr="006A066D" w:rsidP="0046022A">
            <w:pPr>
              <w:rPr>
                <w:rFonts w:ascii="Times New Roman" w:hAnsi="Times New Roman" w:cs="Times New Roman"/>
                <w:sz w:val="22"/>
                <w:szCs w:val="22"/>
              </w:rPr>
            </w:pPr>
          </w:p>
        </w:tc>
      </w:tr>
      <w:tr>
        <w:tblPrEx>
          <w:tblW w:w="9400" w:type="dxa"/>
          <w:tblInd w:w="55" w:type="dxa"/>
          <w:tblCellMar>
            <w:left w:w="70" w:type="dxa"/>
            <w:right w:w="70" w:type="dxa"/>
          </w:tblCellMar>
        </w:tblPrEx>
        <w:trPr>
          <w:trHeight w:val="1035"/>
        </w:trPr>
        <w:tc>
          <w:tcPr>
            <w:tcW w:w="875" w:type="dxa"/>
            <w:tcBorders>
              <w:top w:val="single" w:sz="8" w:space="0" w:color="auto"/>
              <w:left w:val="single" w:sz="8" w:space="0" w:color="auto"/>
              <w:bottom w:val="single" w:sz="8" w:space="0" w:color="auto"/>
              <w:right w:val="single" w:sz="8"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 </w:t>
            </w:r>
          </w:p>
        </w:tc>
        <w:tc>
          <w:tcPr>
            <w:tcW w:w="1814"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Celkové oprávnené náklady</w:t>
            </w:r>
          </w:p>
        </w:tc>
        <w:tc>
          <w:tcPr>
            <w:tcW w:w="1813"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Celkové oprávnené náklady - časť ES</w:t>
            </w:r>
          </w:p>
        </w:tc>
        <w:tc>
          <w:tcPr>
            <w:tcW w:w="1696"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Prijaté prostriedky ES</w:t>
            </w:r>
          </w:p>
        </w:tc>
        <w:tc>
          <w:tcPr>
            <w:tcW w:w="746"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 %</w:t>
            </w:r>
          </w:p>
        </w:tc>
        <w:tc>
          <w:tcPr>
            <w:tcW w:w="1701"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Prostriedky ES vyplatené platobnej jednotke</w:t>
            </w:r>
          </w:p>
        </w:tc>
        <w:tc>
          <w:tcPr>
            <w:tcW w:w="755" w:type="dxa"/>
            <w:tcBorders>
              <w:top w:val="single" w:sz="8" w:space="0" w:color="auto"/>
              <w:left w:val="nil"/>
              <w:bottom w:val="single" w:sz="8" w:space="0" w:color="auto"/>
              <w:right w:val="single" w:sz="4" w:space="0" w:color="auto"/>
              <w:tl2br w:val="nil"/>
              <w:tr2bl w:val="nil"/>
            </w:tcBorders>
            <w:shd w:val="clear" w:color="auto" w:fill="E6E6E6"/>
            <w:textDirection w:val="lrTb"/>
            <w:vAlign w:val="bottom"/>
          </w:tcPr>
          <w:p w:rsidR="00705D52" w:rsidRPr="006A066D" w:rsidP="0046022A">
            <w:pPr>
              <w:jc w:val="center"/>
              <w:rPr>
                <w:rFonts w:ascii="Times New Roman" w:hAnsi="Times New Roman" w:cs="Times New Roman"/>
                <w:b/>
                <w:bCs/>
                <w:sz w:val="22"/>
                <w:szCs w:val="22"/>
              </w:rPr>
            </w:pPr>
            <w:r w:rsidRPr="006A066D">
              <w:rPr>
                <w:rFonts w:ascii="Times New Roman" w:hAnsi="Times New Roman" w:cs="Times New Roman"/>
                <w:b/>
                <w:bCs/>
                <w:sz w:val="22"/>
                <w:szCs w:val="22"/>
              </w:rPr>
              <w:t>v %</w:t>
            </w:r>
          </w:p>
        </w:tc>
      </w:tr>
      <w:tr>
        <w:tblPrEx>
          <w:tblW w:w="9400" w:type="dxa"/>
          <w:tblInd w:w="55" w:type="dxa"/>
          <w:tblCellMar>
            <w:left w:w="70" w:type="dxa"/>
            <w:right w:w="70" w:type="dxa"/>
          </w:tblCellMar>
        </w:tblPrEx>
        <w:trPr>
          <w:trHeight w:val="270"/>
        </w:trPr>
        <w:tc>
          <w:tcPr>
            <w:tcW w:w="875" w:type="dxa"/>
            <w:tcBorders>
              <w:top w:val="single" w:sz="8" w:space="0" w:color="auto"/>
              <w:left w:val="single" w:sz="8" w:space="0" w:color="auto"/>
              <w:bottom w:val="single" w:sz="4"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ŽP</w:t>
            </w:r>
          </w:p>
        </w:tc>
        <w:tc>
          <w:tcPr>
            <w:tcW w:w="1814"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9 923 427 413 Sk</w:t>
            </w:r>
          </w:p>
        </w:tc>
        <w:tc>
          <w:tcPr>
            <w:tcW w:w="1813"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7 722 106 597 Sk</w:t>
            </w:r>
          </w:p>
        </w:tc>
        <w:tc>
          <w:tcPr>
            <w:tcW w:w="1696"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1 343 789 220 Sk</w:t>
            </w:r>
          </w:p>
        </w:tc>
        <w:tc>
          <w:tcPr>
            <w:tcW w:w="746"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17,40%</w:t>
            </w:r>
          </w:p>
        </w:tc>
        <w:tc>
          <w:tcPr>
            <w:tcW w:w="1701" w:type="dxa"/>
            <w:tcBorders>
              <w:top w:val="nil"/>
              <w:left w:val="nil"/>
              <w:bottom w:val="single" w:sz="4"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128 445 994 Sk</w:t>
            </w:r>
          </w:p>
        </w:tc>
        <w:tc>
          <w:tcPr>
            <w:tcW w:w="755" w:type="dxa"/>
            <w:tcBorders>
              <w:top w:val="nil"/>
              <w:left w:val="nil"/>
              <w:bottom w:val="nil"/>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1,66%</w:t>
            </w:r>
          </w:p>
        </w:tc>
      </w:tr>
      <w:tr>
        <w:tblPrEx>
          <w:tblW w:w="9400" w:type="dxa"/>
          <w:tblInd w:w="55" w:type="dxa"/>
          <w:tblCellMar>
            <w:left w:w="70" w:type="dxa"/>
            <w:right w:w="70" w:type="dxa"/>
          </w:tblCellMar>
        </w:tblPrEx>
        <w:trPr>
          <w:trHeight w:val="270"/>
        </w:trPr>
        <w:tc>
          <w:tcPr>
            <w:tcW w:w="875" w:type="dxa"/>
            <w:tcBorders>
              <w:top w:val="single" w:sz="4" w:space="0" w:color="auto"/>
              <w:left w:val="single" w:sz="8" w:space="0" w:color="auto"/>
              <w:bottom w:val="single" w:sz="8"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Doprava</w:t>
            </w:r>
          </w:p>
        </w:tc>
        <w:tc>
          <w:tcPr>
            <w:tcW w:w="1814" w:type="dxa"/>
            <w:tcBorders>
              <w:top w:val="nil"/>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10 979 797 550 Sk</w:t>
            </w:r>
          </w:p>
        </w:tc>
        <w:tc>
          <w:tcPr>
            <w:tcW w:w="1813" w:type="dxa"/>
            <w:tcBorders>
              <w:top w:val="nil"/>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8 125 050 187 Sk</w:t>
            </w:r>
          </w:p>
        </w:tc>
        <w:tc>
          <w:tcPr>
            <w:tcW w:w="1696" w:type="dxa"/>
            <w:tcBorders>
              <w:top w:val="nil"/>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2 489 506 107 Sk</w:t>
            </w:r>
          </w:p>
        </w:tc>
        <w:tc>
          <w:tcPr>
            <w:tcW w:w="746" w:type="dxa"/>
            <w:tcBorders>
              <w:top w:val="single" w:sz="8" w:space="0" w:color="auto"/>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30,64%</w:t>
            </w:r>
          </w:p>
        </w:tc>
        <w:tc>
          <w:tcPr>
            <w:tcW w:w="1701" w:type="dxa"/>
            <w:tcBorders>
              <w:top w:val="nil"/>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2 138 734 443 Sk</w:t>
            </w:r>
          </w:p>
        </w:tc>
        <w:tc>
          <w:tcPr>
            <w:tcW w:w="755" w:type="dxa"/>
            <w:tcBorders>
              <w:top w:val="single" w:sz="4" w:space="0" w:color="auto"/>
              <w:left w:val="nil"/>
              <w:bottom w:val="single" w:sz="8" w:space="0" w:color="auto"/>
              <w:right w:val="single" w:sz="4" w:space="0" w:color="auto"/>
              <w:tl2br w:val="nil"/>
              <w:tr2bl w:val="nil"/>
            </w:tcBorders>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26,32%</w:t>
            </w:r>
          </w:p>
        </w:tc>
      </w:tr>
      <w:tr>
        <w:tblPrEx>
          <w:tblW w:w="9400" w:type="dxa"/>
          <w:tblInd w:w="55" w:type="dxa"/>
          <w:tblCellMar>
            <w:left w:w="70" w:type="dxa"/>
            <w:right w:w="70" w:type="dxa"/>
          </w:tblCellMar>
        </w:tblPrEx>
        <w:trPr>
          <w:trHeight w:val="270"/>
        </w:trPr>
        <w:tc>
          <w:tcPr>
            <w:tcW w:w="875" w:type="dxa"/>
            <w:tcBorders>
              <w:top w:val="single" w:sz="8" w:space="0" w:color="auto"/>
              <w:left w:val="single" w:sz="8" w:space="0" w:color="auto"/>
              <w:bottom w:val="single" w:sz="8" w:space="0" w:color="auto"/>
              <w:right w:val="single" w:sz="4" w:space="0" w:color="auto"/>
              <w:tl2br w:val="nil"/>
              <w:tr2bl w:val="nil"/>
            </w:tcBorders>
            <w:shd w:val="clear" w:color="auto" w:fill="E6E6E6"/>
            <w:noWrap/>
            <w:textDirection w:val="lrTb"/>
            <w:vAlign w:val="bottom"/>
          </w:tcPr>
          <w:p w:rsidR="00705D52" w:rsidRPr="006A066D" w:rsidP="0046022A">
            <w:pPr>
              <w:rPr>
                <w:rFonts w:ascii="Times New Roman" w:hAnsi="Times New Roman" w:cs="Times New Roman"/>
                <w:b/>
                <w:bCs/>
                <w:sz w:val="22"/>
                <w:szCs w:val="22"/>
              </w:rPr>
            </w:pPr>
            <w:r w:rsidRPr="006A066D">
              <w:rPr>
                <w:rFonts w:ascii="Times New Roman" w:hAnsi="Times New Roman" w:cs="Times New Roman"/>
                <w:b/>
                <w:bCs/>
                <w:sz w:val="22"/>
                <w:szCs w:val="22"/>
              </w:rPr>
              <w:t>Spolu</w:t>
            </w:r>
          </w:p>
        </w:tc>
        <w:tc>
          <w:tcPr>
            <w:tcW w:w="1814"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20 903 224 963 Sk</w:t>
            </w:r>
          </w:p>
        </w:tc>
        <w:tc>
          <w:tcPr>
            <w:tcW w:w="1813"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15 847 156 784 Sk</w:t>
            </w:r>
          </w:p>
        </w:tc>
        <w:tc>
          <w:tcPr>
            <w:tcW w:w="1696"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3 833 295 327 Sk</w:t>
            </w:r>
          </w:p>
        </w:tc>
        <w:tc>
          <w:tcPr>
            <w:tcW w:w="746"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24,19%</w:t>
            </w:r>
          </w:p>
        </w:tc>
        <w:tc>
          <w:tcPr>
            <w:tcW w:w="1701"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b/>
                <w:bCs/>
                <w:sz w:val="22"/>
                <w:szCs w:val="22"/>
              </w:rPr>
            </w:pPr>
            <w:r w:rsidRPr="006A066D">
              <w:rPr>
                <w:rFonts w:ascii="Times New Roman" w:hAnsi="Times New Roman" w:cs="Times New Roman"/>
                <w:b/>
                <w:bCs/>
                <w:sz w:val="22"/>
                <w:szCs w:val="22"/>
              </w:rPr>
              <w:t>2 267 180 437 Sk</w:t>
            </w:r>
          </w:p>
        </w:tc>
        <w:tc>
          <w:tcPr>
            <w:tcW w:w="755" w:type="dxa"/>
            <w:tcBorders>
              <w:top w:val="single" w:sz="8" w:space="0" w:color="auto"/>
              <w:left w:val="nil"/>
              <w:bottom w:val="single" w:sz="8" w:space="0" w:color="auto"/>
              <w:right w:val="single" w:sz="4" w:space="0" w:color="auto"/>
              <w:tl2br w:val="nil"/>
              <w:tr2bl w:val="nil"/>
            </w:tcBorders>
            <w:shd w:val="clear" w:color="auto" w:fill="E6E6E6"/>
            <w:noWrap/>
            <w:textDirection w:val="lrTb"/>
            <w:vAlign w:val="bottom"/>
          </w:tcPr>
          <w:p w:rsidR="00705D52" w:rsidRPr="006A066D" w:rsidP="0046022A">
            <w:pPr>
              <w:jc w:val="right"/>
              <w:rPr>
                <w:rFonts w:ascii="Times New Roman" w:hAnsi="Times New Roman" w:cs="Times New Roman"/>
                <w:sz w:val="22"/>
                <w:szCs w:val="22"/>
              </w:rPr>
            </w:pPr>
            <w:r w:rsidRPr="006A066D">
              <w:rPr>
                <w:rFonts w:ascii="Times New Roman" w:hAnsi="Times New Roman" w:cs="Times New Roman"/>
                <w:sz w:val="22"/>
                <w:szCs w:val="22"/>
              </w:rPr>
              <w:t>14,31%</w:t>
            </w:r>
          </w:p>
        </w:tc>
      </w:tr>
    </w:tbl>
    <w:p w:rsidR="00C02351" w:rsidP="00C02351">
      <w:pPr>
        <w:spacing w:after="120"/>
        <w:rPr>
          <w:rFonts w:ascii="Times New Roman" w:hAnsi="Times New Roman" w:cs="Times New Roman"/>
          <w:sz w:val="22"/>
          <w:szCs w:val="22"/>
        </w:rPr>
      </w:pPr>
      <w:bookmarkEnd w:id="0"/>
      <w:r w:rsidRPr="006A066D" w:rsidR="00705D52">
        <w:rPr>
          <w:rFonts w:ascii="Times New Roman" w:hAnsi="Times New Roman" w:cs="Times New Roman"/>
          <w:bCs/>
          <w:sz w:val="20"/>
          <w:szCs w:val="20"/>
        </w:rPr>
        <w:t>Údaje sú v Sk</w:t>
        <w:tab/>
        <w:tab/>
        <w:tab/>
      </w:r>
    </w:p>
    <w:p w:rsidR="00A840EA" w:rsidP="00705D52">
      <w:pPr>
        <w:rPr>
          <w:rFonts w:ascii="Times New Roman" w:hAnsi="Times New Roman" w:cs="Times New Roman"/>
          <w:b/>
          <w:sz w:val="22"/>
          <w:szCs w:val="22"/>
        </w:rPr>
      </w:pPr>
    </w:p>
    <w:p w:rsidR="00A840EA" w:rsidRPr="006A066D" w:rsidP="00A840EA">
      <w:pPr>
        <w:rPr>
          <w:rFonts w:ascii="Times New Roman" w:hAnsi="Times New Roman" w:cs="Times New Roman"/>
          <w:b/>
          <w:sz w:val="22"/>
          <w:szCs w:val="22"/>
        </w:rPr>
      </w:pPr>
      <w:r w:rsidRPr="006A066D">
        <w:rPr>
          <w:rFonts w:ascii="Times New Roman" w:hAnsi="Times New Roman" w:cs="Times New Roman"/>
          <w:b/>
          <w:sz w:val="22"/>
          <w:szCs w:val="22"/>
        </w:rPr>
        <w:t>4. PHARE</w:t>
      </w:r>
    </w:p>
    <w:p w:rsidR="00A840EA" w:rsidRPr="006A066D" w:rsidP="00A840EA">
      <w:pPr>
        <w:rPr>
          <w:rFonts w:ascii="Times New Roman" w:hAnsi="Times New Roman" w:cs="Times New Roman"/>
          <w:sz w:val="22"/>
          <w:szCs w:val="22"/>
        </w:rPr>
      </w:pPr>
    </w:p>
    <w:p w:rsidR="00A840EA" w:rsidRPr="006A066D" w:rsidP="00A840EA">
      <w:pPr>
        <w:ind w:firstLine="540"/>
        <w:jc w:val="both"/>
        <w:rPr>
          <w:rFonts w:ascii="Times New Roman" w:hAnsi="Times New Roman" w:cs="Times New Roman"/>
          <w:sz w:val="22"/>
          <w:szCs w:val="22"/>
        </w:rPr>
      </w:pPr>
      <w:r w:rsidRPr="006A066D">
        <w:rPr>
          <w:rFonts w:ascii="Times New Roman" w:hAnsi="Times New Roman" w:cs="Times New Roman"/>
          <w:sz w:val="22"/>
          <w:szCs w:val="22"/>
        </w:rPr>
        <w:t xml:space="preserve">Konečný termín vyplácania prostriedkov PHARE uplynul 30.11.2006 s výnimkou grantovej schémy pre rozvoj cestovného ruchu implementovanou Národnou agentúrou pre rozvoj malého a stredného podnikania, kde bol predĺžený termín vyplácania do 27.2.2007. Hlavným dôvodom </w:t>
      </w:r>
      <w:r w:rsidRPr="00A840EA">
        <w:rPr>
          <w:rFonts w:ascii="Times New Roman" w:hAnsi="Times New Roman" w:cs="Times New Roman"/>
          <w:b/>
          <w:sz w:val="22"/>
          <w:szCs w:val="22"/>
        </w:rPr>
        <w:t xml:space="preserve">nedočerpania prostriedkov v sume 303 050 139,08 SKK </w:t>
      </w:r>
      <w:r w:rsidRPr="006A066D">
        <w:rPr>
          <w:rFonts w:ascii="Times New Roman" w:hAnsi="Times New Roman" w:cs="Times New Roman"/>
          <w:sz w:val="22"/>
          <w:szCs w:val="22"/>
        </w:rPr>
        <w:t>boli úspory prostriedkov pri verejnom obstarávaní, pri samotnej realizácii projektov a nerealizovanie jedného kontraktu z prostriedkov PHARE v rámci projektu implementovaného Centrálnou finančnou a kontraktačnou jednotkou (výška kontraktu: 1 073 876,39 €). Ide o projekt „Röntgenový inšpekčný systém na ochranu budúcej vonkajšej hranice EÚ“, v prípade ktorého nebola zo strany konečného prijímateľa Colného riaditeľstva SR splnená podmienka včasnej prípravy miesta pre inštaláciu stacionárneho röntgenového systému. Nakoľko táto podmienka vyplývala z projektového formuláru, EK pristúpila ku krát</w:t>
      </w:r>
      <w:r>
        <w:rPr>
          <w:rFonts w:ascii="Times New Roman" w:hAnsi="Times New Roman" w:cs="Times New Roman"/>
          <w:sz w:val="22"/>
          <w:szCs w:val="22"/>
        </w:rPr>
        <w:t xml:space="preserve">eniu príspevku PHARE vo výške  </w:t>
      </w:r>
      <w:r w:rsidRPr="006A066D">
        <w:rPr>
          <w:rFonts w:ascii="Times New Roman" w:hAnsi="Times New Roman" w:cs="Times New Roman"/>
          <w:sz w:val="22"/>
          <w:szCs w:val="22"/>
        </w:rPr>
        <w:t xml:space="preserve">40 07 302,82 Sk pre Slovensku republiku. Projekt bude dofinancovaný z národných zdrojov. </w:t>
      </w:r>
    </w:p>
    <w:p w:rsidR="00A840EA" w:rsidP="00705D52">
      <w:pPr>
        <w:ind w:firstLine="540"/>
        <w:jc w:val="both"/>
        <w:rPr>
          <w:rFonts w:ascii="Times New Roman" w:hAnsi="Times New Roman" w:cs="Times New Roman"/>
          <w:sz w:val="22"/>
          <w:szCs w:val="22"/>
        </w:rPr>
      </w:pPr>
    </w:p>
    <w:p w:rsidR="00A840EA" w:rsidRPr="006A066D" w:rsidP="00A840EA">
      <w:pPr>
        <w:jc w:val="both"/>
        <w:rPr>
          <w:rFonts w:ascii="Times New Roman" w:hAnsi="Times New Roman" w:cs="Times New Roman"/>
          <w:b/>
          <w:sz w:val="22"/>
          <w:szCs w:val="22"/>
        </w:rPr>
      </w:pPr>
      <w:r w:rsidRPr="006A066D" w:rsidR="00705D52">
        <w:rPr>
          <w:rFonts w:ascii="Times New Roman" w:hAnsi="Times New Roman" w:cs="Times New Roman"/>
          <w:sz w:val="22"/>
          <w:szCs w:val="22"/>
        </w:rPr>
        <w:t xml:space="preserve"> </w:t>
      </w:r>
      <w:r w:rsidRPr="006A066D">
        <w:rPr>
          <w:rFonts w:ascii="Times New Roman" w:hAnsi="Times New Roman" w:cs="Times New Roman"/>
          <w:b/>
          <w:sz w:val="22"/>
          <w:szCs w:val="22"/>
        </w:rPr>
        <w:t>5. Prechodný fond (PF)</w:t>
      </w:r>
    </w:p>
    <w:p w:rsidR="00A840EA" w:rsidRPr="006A066D" w:rsidP="00A840EA">
      <w:pPr>
        <w:jc w:val="both"/>
        <w:rPr>
          <w:rFonts w:ascii="Times New Roman" w:hAnsi="Times New Roman" w:cs="Times New Roman"/>
          <w:sz w:val="22"/>
          <w:szCs w:val="22"/>
        </w:rPr>
      </w:pPr>
    </w:p>
    <w:p w:rsidR="00A840EA" w:rsidRPr="006A066D" w:rsidP="00A840EA">
      <w:pPr>
        <w:ind w:firstLine="709"/>
        <w:jc w:val="both"/>
        <w:rPr>
          <w:rFonts w:ascii="Times New Roman" w:hAnsi="Times New Roman" w:cs="Times New Roman"/>
          <w:sz w:val="22"/>
          <w:szCs w:val="22"/>
        </w:rPr>
      </w:pPr>
      <w:r w:rsidRPr="006A066D">
        <w:rPr>
          <w:rFonts w:ascii="Times New Roman" w:hAnsi="Times New Roman" w:cs="Times New Roman"/>
          <w:sz w:val="22"/>
          <w:szCs w:val="22"/>
        </w:rPr>
        <w:t xml:space="preserve">V rámci PF 2004 predstavovala </w:t>
      </w:r>
      <w:r w:rsidRPr="006A066D">
        <w:rPr>
          <w:rFonts w:ascii="Times New Roman" w:hAnsi="Times New Roman" w:cs="Times New Roman"/>
          <w:b/>
          <w:sz w:val="22"/>
          <w:szCs w:val="22"/>
        </w:rPr>
        <w:t>konečná nakontrahovaná čiastka prostriedkov ES k 31.12.2006 sumu 520 021 868 SKK, čo predstavuje 93,89%</w:t>
      </w:r>
      <w:r w:rsidRPr="006A066D">
        <w:rPr>
          <w:rFonts w:ascii="Times New Roman" w:hAnsi="Times New Roman" w:cs="Times New Roman"/>
          <w:sz w:val="22"/>
          <w:szCs w:val="22"/>
        </w:rPr>
        <w:t xml:space="preserve"> z celkovej alokácie. </w:t>
      </w:r>
    </w:p>
    <w:p w:rsidR="00A840EA" w:rsidRPr="006A066D" w:rsidP="00A840EA">
      <w:pPr>
        <w:jc w:val="both"/>
        <w:rPr>
          <w:rFonts w:ascii="Times New Roman" w:hAnsi="Times New Roman" w:cs="Times New Roman"/>
          <w:sz w:val="22"/>
          <w:szCs w:val="22"/>
        </w:rPr>
      </w:pPr>
      <w:r w:rsidRPr="006A066D">
        <w:rPr>
          <w:rFonts w:ascii="Times New Roman" w:hAnsi="Times New Roman" w:cs="Times New Roman"/>
          <w:sz w:val="22"/>
          <w:szCs w:val="22"/>
        </w:rPr>
        <w:t>Kontrahovanie prostriedkov PF 2005 a PF 2006 stále prebieha a bude ukončené 15.12.2007, resp. 15.12.2008. Najvyššie čerpanie finančných prostriedkov bude v roku 2007, nakoľko 15.12.2007 bude ukončená prevažná väčšina projektov PF 2004. Konečným termínom pre vyplácanie PF 2005 je 15.12. 2008 a pre PF 2006 15.12.2009.</w:t>
      </w:r>
    </w:p>
    <w:p w:rsidR="00A840EA" w:rsidRPr="006A066D" w:rsidP="00A840EA">
      <w:pPr>
        <w:jc w:val="both"/>
        <w:rPr>
          <w:rFonts w:ascii="Times New Roman" w:hAnsi="Times New Roman" w:cs="Times New Roman"/>
          <w:sz w:val="22"/>
          <w:szCs w:val="22"/>
        </w:rPr>
      </w:pPr>
    </w:p>
    <w:p w:rsidR="00A840EA" w:rsidRPr="006A066D" w:rsidP="00A840EA">
      <w:pPr>
        <w:jc w:val="both"/>
        <w:rPr>
          <w:rFonts w:ascii="Times New Roman" w:hAnsi="Times New Roman" w:cs="Times New Roman"/>
          <w:b/>
          <w:sz w:val="22"/>
          <w:szCs w:val="22"/>
        </w:rPr>
      </w:pPr>
      <w:r w:rsidRPr="006A066D">
        <w:rPr>
          <w:rFonts w:ascii="Times New Roman" w:hAnsi="Times New Roman" w:cs="Times New Roman"/>
          <w:b/>
          <w:sz w:val="22"/>
          <w:szCs w:val="22"/>
        </w:rPr>
        <w:t>6. SAPARD</w:t>
      </w:r>
    </w:p>
    <w:p w:rsidR="00A840EA" w:rsidRPr="006A066D" w:rsidP="00A840EA">
      <w:pPr>
        <w:autoSpaceDE/>
        <w:autoSpaceDN/>
        <w:spacing w:line="240" w:lineRule="atLeast"/>
        <w:rPr>
          <w:rFonts w:ascii="Times New Roman" w:hAnsi="Times New Roman" w:cs="Times New Roman"/>
          <w:b/>
          <w:bCs/>
          <w:color w:val="000000"/>
          <w:sz w:val="20"/>
          <w:szCs w:val="20"/>
        </w:rPr>
      </w:pPr>
    </w:p>
    <w:p w:rsidR="00A840EA" w:rsidP="00A840EA">
      <w:pPr>
        <w:ind w:firstLine="709"/>
        <w:jc w:val="both"/>
        <w:rPr>
          <w:rFonts w:ascii="Times New Roman" w:hAnsi="Times New Roman" w:cs="Times New Roman"/>
          <w:sz w:val="22"/>
          <w:szCs w:val="22"/>
        </w:rPr>
      </w:pPr>
      <w:r w:rsidRPr="006A066D">
        <w:rPr>
          <w:rFonts w:ascii="Times New Roman" w:hAnsi="Times New Roman" w:cs="Times New Roman"/>
          <w:sz w:val="22"/>
          <w:szCs w:val="22"/>
        </w:rPr>
        <w:t xml:space="preserve">Vysoké čerpanie od začiatku doby vyplácania v roku 2002 vo výške </w:t>
      </w:r>
      <w:r w:rsidRPr="006A066D">
        <w:rPr>
          <w:rFonts w:ascii="Times New Roman" w:hAnsi="Times New Roman" w:cs="Times New Roman"/>
          <w:b/>
          <w:sz w:val="22"/>
          <w:szCs w:val="22"/>
        </w:rPr>
        <w:t>2 902 050 215 Sk, čo predstavuje 99,29%</w:t>
      </w:r>
      <w:r w:rsidRPr="006A066D">
        <w:rPr>
          <w:rFonts w:ascii="Times New Roman" w:hAnsi="Times New Roman" w:cs="Times New Roman"/>
          <w:sz w:val="22"/>
          <w:szCs w:val="22"/>
        </w:rPr>
        <w:t xml:space="preserve"> z celkovej alokácie, bolo spôsobené úspešným nakontrahovaním prostriedkov z dôvodu veľkého záujmu žiadateľov v rámci tohto sektora, následnou realizáciou projektov a dobrým technickým zvládnutím implementácie programu. Nevyčerpané prostriedky sú vo výške 0,71% z alokovanej sumy, a to z dôvodu neuznania oprávnenosti nákladov niektorých konečných prijímateľov (KP), odstúpenia od zmluvy zo strany Pôdohospodárskej platobnej agentúry/KP, alebo nesplnenia konečného termínu na podanie žiadosti o finančnú pomoc. Posledná žiadosť o finančné prostriedky z Pôdohospodárskej platobnej agentúry bola vyplatená v polovici decembra 2006. Konečný termín doby vyplácania programu SAPARD bol 31.12.2006.</w:t>
      </w:r>
    </w:p>
    <w:p w:rsidR="00C125B7" w:rsidP="008A2975">
      <w:pPr>
        <w:jc w:val="both"/>
        <w:rPr>
          <w:rFonts w:ascii="Times New Roman" w:hAnsi="Times New Roman" w:cs="Times New Roman"/>
          <w:sz w:val="22"/>
          <w:szCs w:val="22"/>
        </w:rPr>
      </w:pPr>
    </w:p>
    <w:p w:rsidR="008A2975" w:rsidP="008A2975">
      <w:pPr>
        <w:jc w:val="both"/>
        <w:rPr>
          <w:rFonts w:ascii="Times New Roman" w:hAnsi="Times New Roman" w:cs="Times New Roman"/>
          <w:sz w:val="22"/>
          <w:szCs w:val="22"/>
        </w:rPr>
      </w:pPr>
      <w:r>
        <w:rPr>
          <w:rFonts w:ascii="Times New Roman" w:hAnsi="Times New Roman" w:cs="Times New Roman"/>
          <w:sz w:val="22"/>
          <w:szCs w:val="22"/>
        </w:rPr>
        <w:t>Tab. 6</w:t>
      </w:r>
    </w:p>
    <w:tbl>
      <w:tblPr>
        <w:tblW w:w="9552" w:type="dxa"/>
        <w:tblInd w:w="58" w:type="dxa"/>
        <w:tblCellMar>
          <w:left w:w="70" w:type="dxa"/>
          <w:right w:w="70" w:type="dxa"/>
        </w:tblCellMar>
      </w:tblPr>
      <w:tblGrid>
        <w:gridCol w:w="1812"/>
        <w:gridCol w:w="1800"/>
        <w:gridCol w:w="1980"/>
        <w:gridCol w:w="1980"/>
        <w:gridCol w:w="1980"/>
      </w:tblGrid>
      <w:tr>
        <w:tblPrEx>
          <w:tblW w:w="9552" w:type="dxa"/>
          <w:tblInd w:w="58" w:type="dxa"/>
          <w:tblCellMar>
            <w:left w:w="70" w:type="dxa"/>
            <w:right w:w="70" w:type="dxa"/>
          </w:tblCellMar>
        </w:tblPrEx>
        <w:trPr>
          <w:trHeight w:val="276"/>
        </w:trPr>
        <w:tc>
          <w:tcPr>
            <w:tcW w:w="1812"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r w:rsidR="008A2975">
              <w:rPr>
                <w:rFonts w:ascii="Arial" w:hAnsi="Arial" w:cs="Arial"/>
                <w:sz w:val="20"/>
                <w:szCs w:val="20"/>
              </w:rPr>
              <w:t>2</w:t>
            </w:r>
            <w:r>
              <w:rPr>
                <w:rFonts w:ascii="Arial" w:hAnsi="Arial" w:cs="Arial"/>
                <w:sz w:val="20"/>
                <w:szCs w:val="20"/>
              </w:rPr>
              <w:t xml:space="preserve"> 004</w:t>
            </w:r>
          </w:p>
        </w:tc>
        <w:tc>
          <w:tcPr>
            <w:tcW w:w="180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r>
      <w:tr>
        <w:tblPrEx>
          <w:tblW w:w="9552" w:type="dxa"/>
          <w:tblInd w:w="58" w:type="dxa"/>
          <w:tblCellMar>
            <w:left w:w="70" w:type="dxa"/>
            <w:right w:w="70" w:type="dxa"/>
          </w:tblCellMar>
        </w:tblPrEx>
        <w:trPr>
          <w:trHeight w:val="264"/>
        </w:trPr>
        <w:tc>
          <w:tcPr>
            <w:tcW w:w="1812" w:type="dxa"/>
            <w:tcBorders>
              <w:top w:val="single" w:sz="8" w:space="0" w:color="auto"/>
              <w:left w:val="single" w:sz="8" w:space="0" w:color="auto"/>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Fin. nástroj</w:t>
            </w:r>
          </w:p>
        </w:tc>
        <w:tc>
          <w:tcPr>
            <w:tcW w:w="180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Alokácia</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čerpanie</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zostatok</w:t>
            </w:r>
          </w:p>
        </w:tc>
        <w:tc>
          <w:tcPr>
            <w:tcW w:w="1980" w:type="dxa"/>
            <w:tcBorders>
              <w:top w:val="single" w:sz="8" w:space="0" w:color="auto"/>
              <w:left w:val="nil"/>
              <w:bottom w:val="single" w:sz="4" w:space="0" w:color="auto"/>
              <w:right w:val="single" w:sz="8"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percento zostatku</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PHARE</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180 350 000,00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66 179 598,52</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104 581 117,48</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57,99</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Prechodný fond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SAPARD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76 915 000,00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22 774 949,12</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35 349 419,34</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45,96</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EAGGF</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181 158 922,00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41 137 000,00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r>
      <w:tr>
        <w:tblPrEx>
          <w:tblW w:w="9552"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EHP-NFM</w:t>
            </w:r>
          </w:p>
        </w:tc>
        <w:tc>
          <w:tcPr>
            <w:tcW w:w="180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r>
    </w:tbl>
    <w:p w:rsidR="00C125B7" w:rsidP="00C125B7">
      <w:pPr>
        <w:rPr>
          <w:rFonts w:ascii="Times New Roman" w:hAnsi="Times New Roman" w:cs="Times New Roman"/>
        </w:rPr>
      </w:pPr>
    </w:p>
    <w:tbl>
      <w:tblPr>
        <w:tblW w:w="9552" w:type="dxa"/>
        <w:tblInd w:w="58" w:type="dxa"/>
        <w:tblCellMar>
          <w:left w:w="70" w:type="dxa"/>
          <w:right w:w="70" w:type="dxa"/>
        </w:tblCellMar>
      </w:tblPr>
      <w:tblGrid>
        <w:gridCol w:w="1812"/>
        <w:gridCol w:w="1800"/>
        <w:gridCol w:w="1980"/>
        <w:gridCol w:w="1980"/>
        <w:gridCol w:w="1980"/>
      </w:tblGrid>
      <w:tr>
        <w:tblPrEx>
          <w:tblW w:w="9552" w:type="dxa"/>
          <w:tblInd w:w="58" w:type="dxa"/>
          <w:tblCellMar>
            <w:left w:w="70" w:type="dxa"/>
            <w:right w:w="70" w:type="dxa"/>
          </w:tblCellMar>
        </w:tblPrEx>
        <w:trPr>
          <w:trHeight w:val="276"/>
        </w:trPr>
        <w:tc>
          <w:tcPr>
            <w:tcW w:w="1812"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2 005</w:t>
            </w:r>
          </w:p>
        </w:tc>
        <w:tc>
          <w:tcPr>
            <w:tcW w:w="180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r>
      <w:tr>
        <w:tblPrEx>
          <w:tblW w:w="9552" w:type="dxa"/>
          <w:tblInd w:w="58" w:type="dxa"/>
          <w:tblCellMar>
            <w:left w:w="70" w:type="dxa"/>
            <w:right w:w="70" w:type="dxa"/>
          </w:tblCellMar>
        </w:tblPrEx>
        <w:trPr>
          <w:trHeight w:val="264"/>
        </w:trPr>
        <w:tc>
          <w:tcPr>
            <w:tcW w:w="1812" w:type="dxa"/>
            <w:tcBorders>
              <w:top w:val="single" w:sz="8" w:space="0" w:color="auto"/>
              <w:left w:val="single" w:sz="8" w:space="0" w:color="auto"/>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Fin. nástroj</w:t>
            </w:r>
          </w:p>
        </w:tc>
        <w:tc>
          <w:tcPr>
            <w:tcW w:w="180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Alokácia</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čerpanie</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zostatok</w:t>
            </w:r>
          </w:p>
        </w:tc>
        <w:tc>
          <w:tcPr>
            <w:tcW w:w="1980" w:type="dxa"/>
            <w:tcBorders>
              <w:top w:val="single" w:sz="8" w:space="0" w:color="auto"/>
              <w:left w:val="nil"/>
              <w:bottom w:val="single" w:sz="4" w:space="0" w:color="auto"/>
              <w:right w:val="single" w:sz="8"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percento zostatku</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PHARE</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132 895 000,00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48 500 575,92</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57 098 842,50</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42,97</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Prechodný fond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14 575 000,00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1 099 141,41</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13 475 858,59</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92,46</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SAPARD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76 915 000,00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31 988 581,27</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35 349 419,34</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45,96</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EAGGF</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181 158 922,00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r>
      <w:tr>
        <w:tblPrEx>
          <w:tblW w:w="9552"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EHP-NFM</w:t>
            </w:r>
          </w:p>
        </w:tc>
        <w:tc>
          <w:tcPr>
            <w:tcW w:w="180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r>
    </w:tbl>
    <w:p w:rsidR="00C125B7" w:rsidP="00C125B7">
      <w:pPr>
        <w:rPr>
          <w:rFonts w:ascii="Times New Roman" w:hAnsi="Times New Roman" w:cs="Times New Roman"/>
        </w:rPr>
      </w:pPr>
    </w:p>
    <w:p w:rsidR="008A2975" w:rsidP="00C125B7">
      <w:pPr>
        <w:rPr>
          <w:rFonts w:ascii="Times New Roman" w:hAnsi="Times New Roman" w:cs="Times New Roman"/>
        </w:rPr>
      </w:pPr>
    </w:p>
    <w:tbl>
      <w:tblPr>
        <w:tblW w:w="9552" w:type="dxa"/>
        <w:tblInd w:w="58" w:type="dxa"/>
        <w:tblCellMar>
          <w:left w:w="70" w:type="dxa"/>
          <w:right w:w="70" w:type="dxa"/>
        </w:tblCellMar>
      </w:tblPr>
      <w:tblGrid>
        <w:gridCol w:w="1812"/>
        <w:gridCol w:w="1800"/>
        <w:gridCol w:w="1980"/>
        <w:gridCol w:w="1980"/>
        <w:gridCol w:w="1980"/>
      </w:tblGrid>
      <w:tr>
        <w:tblPrEx>
          <w:tblW w:w="9552" w:type="dxa"/>
          <w:tblInd w:w="58" w:type="dxa"/>
          <w:tblCellMar>
            <w:left w:w="70" w:type="dxa"/>
            <w:right w:w="70" w:type="dxa"/>
          </w:tblCellMar>
        </w:tblPrEx>
        <w:trPr>
          <w:trHeight w:val="276"/>
        </w:trPr>
        <w:tc>
          <w:tcPr>
            <w:tcW w:w="1812"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2 006</w:t>
            </w:r>
          </w:p>
        </w:tc>
        <w:tc>
          <w:tcPr>
            <w:tcW w:w="180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r>
      <w:tr>
        <w:tblPrEx>
          <w:tblW w:w="9552" w:type="dxa"/>
          <w:tblInd w:w="58" w:type="dxa"/>
          <w:tblCellMar>
            <w:left w:w="70" w:type="dxa"/>
            <w:right w:w="70" w:type="dxa"/>
          </w:tblCellMar>
        </w:tblPrEx>
        <w:trPr>
          <w:trHeight w:val="264"/>
        </w:trPr>
        <w:tc>
          <w:tcPr>
            <w:tcW w:w="1812" w:type="dxa"/>
            <w:tcBorders>
              <w:top w:val="single" w:sz="8" w:space="0" w:color="auto"/>
              <w:left w:val="single" w:sz="8" w:space="0" w:color="auto"/>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Fin. nástroj</w:t>
            </w:r>
          </w:p>
        </w:tc>
        <w:tc>
          <w:tcPr>
            <w:tcW w:w="180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Alokácia</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čerpanie</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zostatok</w:t>
            </w:r>
          </w:p>
        </w:tc>
        <w:tc>
          <w:tcPr>
            <w:tcW w:w="1980" w:type="dxa"/>
            <w:tcBorders>
              <w:top w:val="single" w:sz="8" w:space="0" w:color="auto"/>
              <w:left w:val="nil"/>
              <w:bottom w:val="single" w:sz="4" w:space="0" w:color="auto"/>
              <w:right w:val="single" w:sz="8"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percento zostatku</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PHARE</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69 955 000,00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45 719 514,45</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9 024 734,27</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12,90</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Prechodný fond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24 575 000,00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6 127 192,46</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17 348 666,13</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70,59</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SAPARD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76 915 000,00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2 814 735,57</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546 102,50</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0,71</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EAGGF</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181 158 922,00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r>
      <w:tr>
        <w:tblPrEx>
          <w:tblW w:w="9552"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EHP-NFM</w:t>
            </w:r>
          </w:p>
        </w:tc>
        <w:tc>
          <w:tcPr>
            <w:tcW w:w="180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67 135 950,00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62 006,00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67 073 944,00</w:t>
            </w:r>
          </w:p>
        </w:tc>
        <w:tc>
          <w:tcPr>
            <w:tcW w:w="1980" w:type="dxa"/>
            <w:tcBorders>
              <w:top w:val="nil"/>
              <w:left w:val="nil"/>
              <w:bottom w:val="single" w:sz="8"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99,91</w:t>
            </w:r>
          </w:p>
        </w:tc>
      </w:tr>
    </w:tbl>
    <w:p w:rsidR="00C125B7" w:rsidP="00C125B7">
      <w:pPr>
        <w:rPr>
          <w:rFonts w:ascii="Times New Roman" w:hAnsi="Times New Roman" w:cs="Times New Roman"/>
        </w:rPr>
      </w:pPr>
    </w:p>
    <w:tbl>
      <w:tblPr>
        <w:tblW w:w="9552" w:type="dxa"/>
        <w:tblInd w:w="58" w:type="dxa"/>
        <w:tblCellMar>
          <w:left w:w="70" w:type="dxa"/>
          <w:right w:w="70" w:type="dxa"/>
        </w:tblCellMar>
      </w:tblPr>
      <w:tblGrid>
        <w:gridCol w:w="1812"/>
        <w:gridCol w:w="1800"/>
        <w:gridCol w:w="1980"/>
        <w:gridCol w:w="1980"/>
        <w:gridCol w:w="1980"/>
      </w:tblGrid>
      <w:tr>
        <w:tblPrEx>
          <w:tblW w:w="9552" w:type="dxa"/>
          <w:tblInd w:w="58" w:type="dxa"/>
          <w:tblCellMar>
            <w:left w:w="70" w:type="dxa"/>
            <w:right w:w="70" w:type="dxa"/>
          </w:tblCellMar>
        </w:tblPrEx>
        <w:trPr>
          <w:trHeight w:val="276"/>
        </w:trPr>
        <w:tc>
          <w:tcPr>
            <w:tcW w:w="1812"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2007 k 31.8.2007</w:t>
            </w:r>
          </w:p>
        </w:tc>
        <w:tc>
          <w:tcPr>
            <w:tcW w:w="180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c>
          <w:tcPr>
            <w:tcW w:w="1980" w:type="dxa"/>
            <w:tcBorders>
              <w:top w:val="nil"/>
              <w:left w:val="nil"/>
              <w:bottom w:val="nil"/>
              <w:right w:val="nil"/>
              <w:tl2br w:val="nil"/>
              <w:tr2bl w:val="nil"/>
            </w:tcBorders>
            <w:noWrap/>
            <w:textDirection w:val="lrTb"/>
            <w:vAlign w:val="bottom"/>
          </w:tcPr>
          <w:p w:rsidR="00C125B7" w:rsidP="0046022A">
            <w:pPr>
              <w:rPr>
                <w:rFonts w:ascii="Arial" w:hAnsi="Arial" w:cs="Arial"/>
                <w:sz w:val="20"/>
                <w:szCs w:val="20"/>
              </w:rPr>
            </w:pPr>
          </w:p>
        </w:tc>
      </w:tr>
      <w:tr>
        <w:tblPrEx>
          <w:tblW w:w="9552" w:type="dxa"/>
          <w:tblInd w:w="58" w:type="dxa"/>
          <w:tblCellMar>
            <w:left w:w="70" w:type="dxa"/>
            <w:right w:w="70" w:type="dxa"/>
          </w:tblCellMar>
        </w:tblPrEx>
        <w:trPr>
          <w:trHeight w:val="264"/>
        </w:trPr>
        <w:tc>
          <w:tcPr>
            <w:tcW w:w="1812" w:type="dxa"/>
            <w:tcBorders>
              <w:top w:val="single" w:sz="8" w:space="0" w:color="auto"/>
              <w:left w:val="single" w:sz="8" w:space="0" w:color="auto"/>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Fin. nástroj</w:t>
            </w:r>
          </w:p>
        </w:tc>
        <w:tc>
          <w:tcPr>
            <w:tcW w:w="180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Alokácia</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čerpanie</w:t>
            </w:r>
          </w:p>
        </w:tc>
        <w:tc>
          <w:tcPr>
            <w:tcW w:w="1980" w:type="dxa"/>
            <w:tcBorders>
              <w:top w:val="single" w:sz="8" w:space="0" w:color="auto"/>
              <w:left w:val="nil"/>
              <w:bottom w:val="single" w:sz="4" w:space="0" w:color="auto"/>
              <w:right w:val="single" w:sz="4"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zostatok</w:t>
            </w:r>
          </w:p>
        </w:tc>
        <w:tc>
          <w:tcPr>
            <w:tcW w:w="1980" w:type="dxa"/>
            <w:tcBorders>
              <w:top w:val="single" w:sz="8" w:space="0" w:color="auto"/>
              <w:left w:val="nil"/>
              <w:bottom w:val="single" w:sz="4" w:space="0" w:color="auto"/>
              <w:right w:val="single" w:sz="8" w:space="0" w:color="auto"/>
              <w:tl2br w:val="nil"/>
              <w:tr2bl w:val="nil"/>
            </w:tcBorders>
            <w:noWrap/>
            <w:textDirection w:val="lrTb"/>
            <w:vAlign w:val="bottom"/>
          </w:tcPr>
          <w:p w:rsidR="00C125B7" w:rsidP="0046022A">
            <w:pPr>
              <w:jc w:val="center"/>
              <w:rPr>
                <w:rFonts w:ascii="Arial" w:hAnsi="Arial" w:cs="Arial"/>
                <w:b/>
                <w:bCs/>
                <w:sz w:val="20"/>
                <w:szCs w:val="20"/>
              </w:rPr>
            </w:pPr>
            <w:r>
              <w:rPr>
                <w:rFonts w:ascii="Arial" w:hAnsi="Arial" w:cs="Arial"/>
                <w:b/>
                <w:bCs/>
                <w:sz w:val="20"/>
                <w:szCs w:val="20"/>
              </w:rPr>
              <w:t>percento zostatku</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PHARE</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1 049 730,61</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7 975 003,66</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center"/>
              <w:rPr>
                <w:rFonts w:ascii="Arial" w:hAnsi="Arial" w:cs="Arial"/>
                <w:sz w:val="20"/>
                <w:szCs w:val="20"/>
              </w:rPr>
            </w:pPr>
            <w:r>
              <w:rPr>
                <w:rFonts w:ascii="Arial" w:hAnsi="Arial" w:cs="Arial"/>
                <w:sz w:val="20"/>
                <w:szCs w:val="20"/>
              </w:rPr>
              <w:t>n/a</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Prechodný fond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29 745 000,00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5 432 363,83</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17 086 302,30</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57,44</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SAPARD</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r>
      <w:tr>
        <w:tblPrEx>
          <w:tblW w:w="9552" w:type="dxa"/>
          <w:tblInd w:w="58" w:type="dxa"/>
          <w:tblCellMar>
            <w:left w:w="70" w:type="dxa"/>
            <w:right w:w="70" w:type="dxa"/>
          </w:tblCellMar>
        </w:tblPrEx>
        <w:trPr>
          <w:trHeight w:val="264"/>
        </w:trPr>
        <w:tc>
          <w:tcPr>
            <w:tcW w:w="1812" w:type="dxa"/>
            <w:tcBorders>
              <w:top w:val="nil"/>
              <w:left w:val="single" w:sz="8" w:space="0" w:color="auto"/>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EAGGF</w:t>
            </w:r>
          </w:p>
        </w:tc>
        <w:tc>
          <w:tcPr>
            <w:tcW w:w="1800" w:type="dxa"/>
            <w:tcBorders>
              <w:top w:val="nil"/>
              <w:left w:val="nil"/>
              <w:bottom w:val="single" w:sz="4"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181 158 922,00</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8"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 </w:t>
            </w:r>
          </w:p>
        </w:tc>
      </w:tr>
      <w:tr>
        <w:tblPrEx>
          <w:tblW w:w="9552" w:type="dxa"/>
          <w:tblInd w:w="58" w:type="dxa"/>
          <w:tblCellMar>
            <w:left w:w="70" w:type="dxa"/>
            <w:right w:w="70" w:type="dxa"/>
          </w:tblCellMar>
        </w:tblPrEx>
        <w:trPr>
          <w:trHeight w:val="276"/>
        </w:trPr>
        <w:tc>
          <w:tcPr>
            <w:tcW w:w="1812" w:type="dxa"/>
            <w:tcBorders>
              <w:top w:val="nil"/>
              <w:left w:val="single" w:sz="8" w:space="0" w:color="auto"/>
              <w:bottom w:val="single" w:sz="8" w:space="0" w:color="auto"/>
              <w:right w:val="single" w:sz="4" w:space="0" w:color="auto"/>
              <w:tl2br w:val="nil"/>
              <w:tr2bl w:val="nil"/>
            </w:tcBorders>
            <w:noWrap/>
            <w:textDirection w:val="lrTb"/>
            <w:vAlign w:val="bottom"/>
          </w:tcPr>
          <w:p w:rsidR="00C125B7" w:rsidP="0046022A">
            <w:pPr>
              <w:rPr>
                <w:rFonts w:ascii="Arial" w:hAnsi="Arial" w:cs="Arial"/>
                <w:sz w:val="20"/>
                <w:szCs w:val="20"/>
              </w:rPr>
            </w:pPr>
            <w:r>
              <w:rPr>
                <w:rFonts w:ascii="Arial" w:hAnsi="Arial" w:cs="Arial"/>
                <w:sz w:val="20"/>
                <w:szCs w:val="20"/>
              </w:rPr>
              <w:t>EHP-NFM</w:t>
            </w:r>
          </w:p>
        </w:tc>
        <w:tc>
          <w:tcPr>
            <w:tcW w:w="180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67 135 950,00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0,00</w:t>
            </w:r>
          </w:p>
        </w:tc>
        <w:tc>
          <w:tcPr>
            <w:tcW w:w="1980" w:type="dxa"/>
            <w:tcBorders>
              <w:top w:val="nil"/>
              <w:left w:val="nil"/>
              <w:bottom w:val="single" w:sz="8" w:space="0" w:color="auto"/>
              <w:right w:val="single" w:sz="4"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67 073 944,00</w:t>
            </w:r>
          </w:p>
        </w:tc>
        <w:tc>
          <w:tcPr>
            <w:tcW w:w="1980" w:type="dxa"/>
            <w:tcBorders>
              <w:top w:val="nil"/>
              <w:left w:val="nil"/>
              <w:bottom w:val="single" w:sz="8" w:space="0" w:color="auto"/>
              <w:right w:val="single" w:sz="8" w:space="0" w:color="auto"/>
              <w:tl2br w:val="nil"/>
              <w:tr2bl w:val="nil"/>
            </w:tcBorders>
            <w:noWrap/>
            <w:textDirection w:val="lrTb"/>
            <w:vAlign w:val="bottom"/>
          </w:tcPr>
          <w:p w:rsidR="00C125B7" w:rsidP="0046022A">
            <w:pPr>
              <w:jc w:val="right"/>
              <w:rPr>
                <w:rFonts w:ascii="Arial" w:hAnsi="Arial" w:cs="Arial"/>
                <w:sz w:val="20"/>
                <w:szCs w:val="20"/>
              </w:rPr>
            </w:pPr>
            <w:r>
              <w:rPr>
                <w:rFonts w:ascii="Arial" w:hAnsi="Arial" w:cs="Arial"/>
                <w:sz w:val="20"/>
                <w:szCs w:val="20"/>
              </w:rPr>
              <w:t>99,91</w:t>
            </w:r>
          </w:p>
        </w:tc>
      </w:tr>
    </w:tbl>
    <w:p w:rsidR="00C125B7" w:rsidP="00C125B7">
      <w:pPr>
        <w:rPr>
          <w:rFonts w:ascii="Times New Roman" w:hAnsi="Times New Roman" w:cs="Times New Roman"/>
        </w:rPr>
      </w:pPr>
    </w:p>
    <w:p w:rsidR="00C125B7"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P="00705D52">
      <w:pPr>
        <w:ind w:firstLine="540"/>
        <w:jc w:val="both"/>
        <w:rPr>
          <w:rFonts w:ascii="Times New Roman" w:hAnsi="Times New Roman" w:cs="Times New Roman"/>
          <w:sz w:val="22"/>
          <w:szCs w:val="22"/>
        </w:rPr>
      </w:pPr>
    </w:p>
    <w:p w:rsidR="008A2975" w:rsidRPr="00A840EA" w:rsidP="008A2975">
      <w:pPr>
        <w:ind w:firstLine="540"/>
        <w:jc w:val="center"/>
        <w:rPr>
          <w:rFonts w:ascii="Times New Roman" w:hAnsi="Times New Roman" w:cs="Times New Roman"/>
        </w:rPr>
      </w:pPr>
      <w:r w:rsidRPr="00A840EA">
        <w:rPr>
          <w:rFonts w:ascii="Times New Roman" w:hAnsi="Times New Roman" w:cs="Times New Roman"/>
        </w:rPr>
        <w:t>Bratislava september 2007</w:t>
      </w:r>
    </w:p>
    <w:sectPr>
      <w:pgSz w:w="11906" w:h="16838"/>
      <w:pgMar w:top="1134" w:right="1418" w:bottom="1418" w:left="1418" w:header="709" w:footer="709" w:gutter="0"/>
      <w:pgNumType w:start="18"/>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TTA2037A68t00">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Italic">
    <w:altName w:val="Times New Roman"/>
    <w:panose1 w:val="00000000000000000000"/>
    <w:charset w:val="00"/>
    <w:family w:val="roman"/>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A1" w:rsidP="00C125B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163A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A1" w:rsidP="00C125B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62CFF">
      <w:rPr>
        <w:rStyle w:val="PageNumber"/>
        <w:rFonts w:ascii="Times New Roman" w:hAnsi="Times New Roman" w:cs="Times New Roman"/>
        <w:noProof/>
      </w:rPr>
      <w:t>21</w:t>
    </w:r>
    <w:r>
      <w:rPr>
        <w:rStyle w:val="PageNumber"/>
        <w:rFonts w:ascii="Times New Roman" w:hAnsi="Times New Roman" w:cs="Times New Roman"/>
      </w:rPr>
      <w:fldChar w:fldCharType="end"/>
    </w:r>
  </w:p>
  <w:p w:rsidR="005163A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4C1">
      <w:pPr>
        <w:rPr>
          <w:rFonts w:ascii="Times New Roman" w:hAnsi="Times New Roman" w:cs="Times New Roman"/>
        </w:rPr>
      </w:pPr>
      <w:r>
        <w:rPr>
          <w:rFonts w:ascii="Times New Roman" w:hAnsi="Times New Roman" w:cs="Times New Roman"/>
        </w:rPr>
        <w:separator/>
      </w:r>
    </w:p>
  </w:footnote>
  <w:footnote w:type="continuationSeparator" w:id="1">
    <w:p w:rsidR="001844C1">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sidR="005163A1">
        <w:rPr>
          <w:rStyle w:val="FootnoteReference"/>
          <w:rFonts w:ascii="Times New Roman" w:hAnsi="Times New Roman" w:cs="Times New Roman"/>
        </w:rPr>
        <w:footnoteRef/>
      </w:r>
      <w:r w:rsidR="005163A1">
        <w:rPr>
          <w:rFonts w:ascii="Times New Roman" w:hAnsi="Times New Roman" w:cs="Times New Roman"/>
        </w:rPr>
        <w:t xml:space="preserve"> Oblasť spoločnej poľnohospodárskej politiky má osobitný výbor, tzv. Osobitný poľnohospodársky výbor (SCA)</w:t>
      </w:r>
    </w:p>
  </w:footnote>
  <w:footnote w:id="3">
    <w:p w:rsidR="005163A1" w:rsidP="002845D3">
      <w:pPr>
        <w:jc w:val="both"/>
        <w:rPr>
          <w:rFonts w:ascii="Times New Roman" w:hAnsi="Times New Roman" w:cs="Times New Roman"/>
          <w:iCs/>
          <w:color w:val="3366FF"/>
          <w:sz w:val="20"/>
          <w:szCs w:val="20"/>
        </w:rPr>
      </w:pPr>
      <w:r>
        <w:rPr>
          <w:rStyle w:val="FootnoteReference"/>
          <w:rFonts w:ascii="Times New Roman" w:hAnsi="Times New Roman" w:cs="Times New Roman"/>
        </w:rPr>
        <w:footnoteRef/>
      </w:r>
      <w:r>
        <w:rPr>
          <w:rFonts w:ascii="Times New Roman" w:hAnsi="Times New Roman" w:cs="Times New Roman"/>
          <w:iCs/>
          <w:color w:val="3366FF"/>
          <w:sz w:val="20"/>
          <w:szCs w:val="20"/>
        </w:rPr>
        <w:t xml:space="preserve"> </w:t>
      </w:r>
      <w:r w:rsidRPr="003656B0">
        <w:rPr>
          <w:rFonts w:ascii="Times New Roman" w:hAnsi="Times New Roman" w:cs="Times New Roman"/>
          <w:iCs/>
          <w:sz w:val="20"/>
          <w:szCs w:val="20"/>
        </w:rPr>
        <w:t>V sledovanom období sa uskutočnili tieto zasadnutia Rady EÚ</w:t>
      </w:r>
      <w:r>
        <w:rPr>
          <w:rFonts w:ascii="Times New Roman" w:hAnsi="Times New Roman" w:cs="Times New Roman"/>
          <w:iCs/>
          <w:sz w:val="20"/>
          <w:szCs w:val="20"/>
        </w:rPr>
        <w:t>:</w:t>
      </w:r>
    </w:p>
    <w:p w:rsidR="005163A1" w:rsidRPr="00B446EF" w:rsidP="002845D3">
      <w:pPr>
        <w:jc w:val="both"/>
        <w:rPr>
          <w:rFonts w:ascii="Times New Roman" w:hAnsi="Times New Roman" w:cs="Times New Roman"/>
          <w:iCs/>
          <w:sz w:val="20"/>
          <w:szCs w:val="20"/>
        </w:rPr>
      </w:pPr>
      <w:r w:rsidRPr="00964963">
        <w:rPr>
          <w:rFonts w:ascii="Times New Roman" w:hAnsi="Times New Roman" w:cs="Times New Roman"/>
          <w:iCs/>
          <w:sz w:val="20"/>
          <w:szCs w:val="20"/>
        </w:rPr>
        <w:t>1</w:t>
      </w:r>
      <w:r w:rsidRPr="00B446EF">
        <w:rPr>
          <w:rFonts w:ascii="Times New Roman" w:hAnsi="Times New Roman" w:cs="Times New Roman"/>
          <w:iCs/>
          <w:sz w:val="20"/>
          <w:szCs w:val="20"/>
        </w:rPr>
        <w:t xml:space="preserve">/ Európska rada – </w:t>
      </w:r>
      <w:r>
        <w:rPr>
          <w:rFonts w:ascii="Times New Roman" w:hAnsi="Times New Roman" w:cs="Times New Roman"/>
          <w:b/>
          <w:iCs/>
          <w:sz w:val="20"/>
          <w:szCs w:val="20"/>
        </w:rPr>
        <w:t>5</w:t>
      </w:r>
      <w:r w:rsidRPr="00B446EF">
        <w:rPr>
          <w:rFonts w:ascii="Times New Roman" w:hAnsi="Times New Roman" w:cs="Times New Roman"/>
          <w:b/>
          <w:iCs/>
          <w:sz w:val="20"/>
          <w:szCs w:val="20"/>
        </w:rPr>
        <w:t xml:space="preserve"> rokovan</w:t>
      </w:r>
      <w:r>
        <w:rPr>
          <w:rFonts w:ascii="Times New Roman" w:hAnsi="Times New Roman" w:cs="Times New Roman"/>
          <w:b/>
          <w:iCs/>
          <w:sz w:val="20"/>
          <w:szCs w:val="20"/>
        </w:rPr>
        <w:t>í</w:t>
      </w:r>
      <w:r>
        <w:rPr>
          <w:rFonts w:ascii="Times New Roman" w:hAnsi="Times New Roman" w:cs="Times New Roman"/>
          <w:iCs/>
          <w:sz w:val="20"/>
          <w:szCs w:val="20"/>
        </w:rPr>
        <w:t xml:space="preserve"> (z toho dve</w:t>
      </w:r>
      <w:r w:rsidRPr="00B446EF">
        <w:rPr>
          <w:rFonts w:ascii="Times New Roman" w:hAnsi="Times New Roman" w:cs="Times New Roman"/>
          <w:iCs/>
          <w:sz w:val="20"/>
          <w:szCs w:val="20"/>
        </w:rPr>
        <w:t xml:space="preserve"> neformálne)</w:t>
      </w:r>
    </w:p>
    <w:p w:rsidR="005163A1" w:rsidRPr="007A5E05"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2/ Rada EÚ pre všeobecné záležitosti a vonkajšie vzťahy – </w:t>
      </w:r>
      <w:r>
        <w:rPr>
          <w:rFonts w:ascii="Times New Roman" w:hAnsi="Times New Roman" w:cs="Times New Roman"/>
          <w:b/>
          <w:iCs/>
          <w:sz w:val="20"/>
          <w:szCs w:val="20"/>
        </w:rPr>
        <w:t>13</w:t>
      </w:r>
      <w:r w:rsidRPr="00B446EF">
        <w:rPr>
          <w:rFonts w:ascii="Times New Roman" w:hAnsi="Times New Roman" w:cs="Times New Roman"/>
          <w:b/>
          <w:iCs/>
          <w:sz w:val="20"/>
          <w:szCs w:val="20"/>
        </w:rPr>
        <w:t xml:space="preserve"> rokovan</w:t>
      </w:r>
      <w:r>
        <w:rPr>
          <w:rFonts w:ascii="Times New Roman" w:hAnsi="Times New Roman" w:cs="Times New Roman"/>
          <w:b/>
          <w:iCs/>
          <w:sz w:val="20"/>
          <w:szCs w:val="20"/>
        </w:rPr>
        <w:t xml:space="preserve">í </w:t>
      </w:r>
      <w:r>
        <w:rPr>
          <w:rFonts w:ascii="Times New Roman" w:hAnsi="Times New Roman" w:cs="Times New Roman"/>
          <w:iCs/>
          <w:sz w:val="20"/>
          <w:szCs w:val="20"/>
        </w:rPr>
        <w:t>(z toho dve neformálne)</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3/ Rada EÚ pre zamestnanosť, sociálnu politiku, zdravie a otázky týkajúce sa spotrebiteľov – 4</w:t>
      </w:r>
      <w:r w:rsidRPr="00B446EF">
        <w:rPr>
          <w:rFonts w:ascii="Times New Roman" w:hAnsi="Times New Roman" w:cs="Times New Roman"/>
          <w:b/>
          <w:iCs/>
          <w:sz w:val="20"/>
          <w:szCs w:val="20"/>
        </w:rPr>
        <w:t xml:space="preserve"> rokovania</w:t>
      </w:r>
      <w:r w:rsidRPr="00B446EF">
        <w:rPr>
          <w:rFonts w:ascii="Times New Roman" w:hAnsi="Times New Roman" w:cs="Times New Roman"/>
          <w:iCs/>
          <w:sz w:val="20"/>
          <w:szCs w:val="20"/>
        </w:rPr>
        <w:t xml:space="preserve"> </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4/ Rada EÚ pre dopravu, telekomunikácie a energetiku </w:t>
      </w:r>
      <w:r w:rsidRPr="00B446EF">
        <w:rPr>
          <w:rFonts w:ascii="Times New Roman" w:hAnsi="Times New Roman" w:cs="Times New Roman"/>
          <w:b/>
          <w:iCs/>
          <w:sz w:val="20"/>
          <w:szCs w:val="20"/>
        </w:rPr>
        <w:t>– 4 rokovania</w:t>
      </w:r>
      <w:r w:rsidRPr="00B446EF">
        <w:rPr>
          <w:rFonts w:ascii="Times New Roman" w:hAnsi="Times New Roman" w:cs="Times New Roman"/>
          <w:iCs/>
          <w:sz w:val="20"/>
          <w:szCs w:val="20"/>
        </w:rPr>
        <w:t xml:space="preserve"> </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5/ Rada EÚ pre ekonomické a finančné záležitosti – </w:t>
      </w:r>
      <w:r w:rsidRPr="00B446EF">
        <w:rPr>
          <w:rFonts w:ascii="Times New Roman" w:hAnsi="Times New Roman" w:cs="Times New Roman"/>
          <w:b/>
          <w:iCs/>
          <w:sz w:val="20"/>
          <w:szCs w:val="20"/>
        </w:rPr>
        <w:t>11 rokovaní</w:t>
      </w:r>
      <w:r w:rsidRPr="00B446EF">
        <w:rPr>
          <w:rFonts w:ascii="Times New Roman" w:hAnsi="Times New Roman" w:cs="Times New Roman"/>
          <w:iCs/>
          <w:sz w:val="20"/>
          <w:szCs w:val="20"/>
        </w:rPr>
        <w:t xml:space="preserve">  (z toho dve neformálne)</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6/ Rada EÚ pre konkurencieschopnosť (vnútorný trh, priemysel a výskum) – </w:t>
      </w:r>
      <w:r w:rsidRPr="0048604F">
        <w:rPr>
          <w:rFonts w:ascii="Times New Roman" w:hAnsi="Times New Roman" w:cs="Times New Roman"/>
          <w:b/>
          <w:iCs/>
          <w:sz w:val="20"/>
          <w:szCs w:val="20"/>
        </w:rPr>
        <w:t>5</w:t>
      </w:r>
      <w:r w:rsidRPr="00B446EF">
        <w:rPr>
          <w:rFonts w:ascii="Times New Roman" w:hAnsi="Times New Roman" w:cs="Times New Roman"/>
          <w:b/>
          <w:iCs/>
          <w:sz w:val="20"/>
          <w:szCs w:val="20"/>
        </w:rPr>
        <w:t xml:space="preserve"> rokovaní</w:t>
      </w:r>
    </w:p>
    <w:p w:rsidR="005163A1" w:rsidRPr="00BD7BAA"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7/ Rada EÚ pre spravodlivosť a vnútorné záležitosti </w:t>
      </w:r>
      <w:r w:rsidRPr="00B446EF">
        <w:rPr>
          <w:rFonts w:ascii="Times New Roman" w:hAnsi="Times New Roman" w:cs="Times New Roman"/>
          <w:b/>
          <w:iCs/>
          <w:sz w:val="20"/>
          <w:szCs w:val="20"/>
        </w:rPr>
        <w:t xml:space="preserve">– </w:t>
      </w:r>
      <w:r>
        <w:rPr>
          <w:rFonts w:ascii="Times New Roman" w:hAnsi="Times New Roman" w:cs="Times New Roman"/>
          <w:b/>
          <w:iCs/>
          <w:sz w:val="20"/>
          <w:szCs w:val="20"/>
        </w:rPr>
        <w:t>8</w:t>
      </w:r>
      <w:r w:rsidRPr="00B446EF">
        <w:rPr>
          <w:rFonts w:ascii="Times New Roman" w:hAnsi="Times New Roman" w:cs="Times New Roman"/>
          <w:b/>
          <w:iCs/>
          <w:sz w:val="20"/>
          <w:szCs w:val="20"/>
        </w:rPr>
        <w:t xml:space="preserve"> rokovaní</w:t>
      </w:r>
      <w:r>
        <w:rPr>
          <w:rFonts w:ascii="Times New Roman" w:hAnsi="Times New Roman" w:cs="Times New Roman"/>
          <w:b/>
          <w:iCs/>
          <w:sz w:val="20"/>
          <w:szCs w:val="20"/>
        </w:rPr>
        <w:t xml:space="preserve"> </w:t>
      </w:r>
      <w:r w:rsidRPr="00BD7BAA">
        <w:rPr>
          <w:rFonts w:ascii="Times New Roman" w:hAnsi="Times New Roman" w:cs="Times New Roman"/>
          <w:iCs/>
          <w:sz w:val="20"/>
          <w:szCs w:val="20"/>
        </w:rPr>
        <w:t xml:space="preserve">(z toho </w:t>
      </w:r>
      <w:r>
        <w:rPr>
          <w:rFonts w:ascii="Times New Roman" w:hAnsi="Times New Roman" w:cs="Times New Roman"/>
          <w:iCs/>
          <w:sz w:val="20"/>
          <w:szCs w:val="20"/>
        </w:rPr>
        <w:t>dve</w:t>
      </w:r>
      <w:r w:rsidRPr="00BD7BAA">
        <w:rPr>
          <w:rFonts w:ascii="Times New Roman" w:hAnsi="Times New Roman" w:cs="Times New Roman"/>
          <w:iCs/>
          <w:sz w:val="20"/>
          <w:szCs w:val="20"/>
        </w:rPr>
        <w:t xml:space="preserve"> neformálne)  </w:t>
      </w:r>
    </w:p>
    <w:p w:rsidR="005163A1" w:rsidRPr="00B446EF" w:rsidP="002845D3">
      <w:pPr>
        <w:jc w:val="both"/>
        <w:rPr>
          <w:rFonts w:ascii="Times New Roman" w:hAnsi="Times New Roman" w:cs="Times New Roman"/>
          <w:b/>
          <w:iCs/>
          <w:sz w:val="20"/>
          <w:szCs w:val="20"/>
        </w:rPr>
      </w:pPr>
      <w:r w:rsidRPr="00B446EF">
        <w:rPr>
          <w:rFonts w:ascii="Times New Roman" w:hAnsi="Times New Roman" w:cs="Times New Roman"/>
          <w:iCs/>
          <w:sz w:val="20"/>
          <w:szCs w:val="20"/>
        </w:rPr>
        <w:t xml:space="preserve">8/ Rada EÚ pre životné prostredie – </w:t>
      </w:r>
      <w:r w:rsidRPr="0048604F">
        <w:rPr>
          <w:rFonts w:ascii="Times New Roman" w:hAnsi="Times New Roman" w:cs="Times New Roman"/>
          <w:b/>
          <w:iCs/>
          <w:sz w:val="20"/>
          <w:szCs w:val="20"/>
        </w:rPr>
        <w:t>3</w:t>
      </w:r>
      <w:r w:rsidRPr="00B446EF">
        <w:rPr>
          <w:rFonts w:ascii="Times New Roman" w:hAnsi="Times New Roman" w:cs="Times New Roman"/>
          <w:b/>
          <w:iCs/>
          <w:sz w:val="20"/>
          <w:szCs w:val="20"/>
        </w:rPr>
        <w:t xml:space="preserve"> rokovania</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9/ Rada EÚ pre poľnohospodárstvo a rybolov – </w:t>
      </w:r>
      <w:r w:rsidRPr="0048604F">
        <w:rPr>
          <w:rFonts w:ascii="Times New Roman" w:hAnsi="Times New Roman" w:cs="Times New Roman"/>
          <w:b/>
          <w:iCs/>
          <w:sz w:val="20"/>
          <w:szCs w:val="20"/>
        </w:rPr>
        <w:t>11</w:t>
      </w:r>
      <w:r w:rsidRPr="00B446EF">
        <w:rPr>
          <w:rFonts w:ascii="Times New Roman" w:hAnsi="Times New Roman" w:cs="Times New Roman"/>
          <w:b/>
          <w:iCs/>
          <w:sz w:val="20"/>
          <w:szCs w:val="20"/>
        </w:rPr>
        <w:t xml:space="preserve"> rokovaní</w:t>
      </w:r>
      <w:r w:rsidRPr="00B446EF">
        <w:rPr>
          <w:rFonts w:ascii="Times New Roman" w:hAnsi="Times New Roman" w:cs="Times New Roman"/>
          <w:iCs/>
          <w:sz w:val="20"/>
          <w:szCs w:val="20"/>
        </w:rPr>
        <w:t xml:space="preserve">   </w:t>
      </w:r>
    </w:p>
    <w:p w:rsidR="005163A1" w:rsidRPr="00B446EF" w:rsidP="002845D3">
      <w:pPr>
        <w:jc w:val="both"/>
        <w:rPr>
          <w:rFonts w:ascii="Times New Roman" w:hAnsi="Times New Roman" w:cs="Times New Roman"/>
          <w:iCs/>
          <w:sz w:val="20"/>
          <w:szCs w:val="20"/>
        </w:rPr>
      </w:pPr>
      <w:r w:rsidRPr="00B446EF">
        <w:rPr>
          <w:rFonts w:ascii="Times New Roman" w:hAnsi="Times New Roman" w:cs="Times New Roman"/>
          <w:iCs/>
          <w:sz w:val="20"/>
          <w:szCs w:val="20"/>
        </w:rPr>
        <w:t xml:space="preserve">10/ Rada EÚ pre vzdelávanie, mládež a kultúru – </w:t>
      </w:r>
      <w:r w:rsidRPr="0048604F">
        <w:rPr>
          <w:rFonts w:ascii="Times New Roman" w:hAnsi="Times New Roman" w:cs="Times New Roman"/>
          <w:b/>
          <w:iCs/>
          <w:sz w:val="20"/>
          <w:szCs w:val="20"/>
        </w:rPr>
        <w:t>3</w:t>
      </w:r>
      <w:r w:rsidRPr="00B446EF">
        <w:rPr>
          <w:rFonts w:ascii="Times New Roman" w:hAnsi="Times New Roman" w:cs="Times New Roman"/>
          <w:b/>
          <w:iCs/>
          <w:sz w:val="20"/>
          <w:szCs w:val="20"/>
        </w:rPr>
        <w:t xml:space="preserve"> rokovania</w:t>
      </w:r>
      <w:r w:rsidRPr="00B446EF">
        <w:rPr>
          <w:rFonts w:ascii="Times New Roman" w:hAnsi="Times New Roman" w:cs="Times New Roman"/>
          <w:iCs/>
          <w:sz w:val="20"/>
          <w:szCs w:val="20"/>
        </w:rPr>
        <w:t xml:space="preserve"> </w:t>
      </w:r>
    </w:p>
    <w:p>
      <w:pPr>
        <w:pStyle w:val="FootnoteText"/>
        <w:rPr>
          <w:rFonts w:ascii="Times New Roman" w:hAnsi="Times New Roman" w:cs="Times New Roman"/>
        </w:rPr>
      </w:pPr>
      <w:r w:rsidRPr="00B446EF" w:rsidR="005163A1">
        <w:rPr>
          <w:rFonts w:ascii="Times New Roman" w:hAnsi="Times New Roman" w:cs="Times New Roman"/>
        </w:rPr>
        <w:t xml:space="preserve"> </w:t>
      </w:r>
    </w:p>
  </w:footnote>
  <w:footnote w:id="4">
    <w:p w:rsidR="005163A1" w:rsidP="00124C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Výbor na svojej 11. schôdzi prerokoval Legislatívny a pracovný program Európskej komisie na rok 2007, v ktorom boli určené tzv. prioritné návrhy z pohľadu záujmov Slovenskej republiky a po ich predložení do legislatívneho procesu Európskou komisiou si výbor pre európske záležitosti zvyčajne vyžiada odborné stanovisko od príslušných špecializovaných výborov národnej rady.</w:t>
      </w:r>
    </w:p>
    <w:p w:rsidP="00124C0B">
      <w:pPr>
        <w:pStyle w:val="FootnoteText"/>
        <w:jc w:val="both"/>
        <w:rPr>
          <w:rFonts w:ascii="Times New Roman" w:hAnsi="Times New Roman" w:cs="Times New Roman"/>
        </w:rPr>
      </w:pPr>
      <w:r w:rsidR="005163A1">
        <w:rPr>
          <w:rFonts w:ascii="Times New Roman" w:hAnsi="Times New Roman" w:cs="Times New Roman"/>
        </w:rPr>
        <w:t xml:space="preserve">  </w:t>
      </w:r>
    </w:p>
  </w:footnote>
  <w:footnote w:id="5">
    <w:p w:rsidR="005163A1" w:rsidP="00964963">
      <w:pPr>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 </w:t>
      </w:r>
      <w:r w:rsidRPr="00124C0B">
        <w:rPr>
          <w:rFonts w:ascii="Times New Roman" w:hAnsi="Times New Roman" w:cs="Times New Roman"/>
          <w:sz w:val="20"/>
          <w:szCs w:val="20"/>
        </w:rPr>
        <w:t>Išlo o oblasť vnútorného trhu (vrátane problematiky bezpečnosti potravín), oblasť leteckej bezpečnosti, oblasť slobody, bezpečnosti a spravodlivosti a oblasť riadenia fondov EÚ.</w:t>
      </w:r>
    </w:p>
    <w:p w:rsidP="00964963">
      <w:pPr>
        <w:jc w:val="both"/>
        <w:rPr>
          <w:rFonts w:ascii="Times New Roman" w:hAnsi="Times New Roman" w:cs="Times New Roman"/>
        </w:rPr>
      </w:pPr>
    </w:p>
  </w:footnote>
  <w:footnote w:id="6">
    <w:p w:rsidP="00964963">
      <w:pPr>
        <w:pStyle w:val="FootnoteText"/>
        <w:jc w:val="both"/>
        <w:rPr>
          <w:rFonts w:ascii="Times New Roman" w:hAnsi="Times New Roman" w:cs="Times New Roman"/>
        </w:rPr>
      </w:pPr>
      <w:r w:rsidRPr="00124C0B" w:rsidR="005163A1">
        <w:rPr>
          <w:rStyle w:val="FootnoteReference"/>
          <w:rFonts w:ascii="Times New Roman" w:hAnsi="Times New Roman" w:cs="Times New Roman"/>
        </w:rPr>
        <w:footnoteRef/>
      </w:r>
      <w:r w:rsidRPr="00124C0B" w:rsidR="005163A1">
        <w:rPr>
          <w:rFonts w:ascii="Times New Roman" w:hAnsi="Times New Roman" w:cs="Times New Roman"/>
        </w:rPr>
        <w:t xml:space="preserve"> - V tejto stratégii EK venovala osobitný priestor </w:t>
      </w:r>
      <w:r w:rsidRPr="00124C0B" w:rsidR="005163A1">
        <w:rPr>
          <w:rFonts w:ascii="Times New Roman" w:hAnsi="Times New Roman" w:cs="Times New Roman"/>
          <w:b/>
        </w:rPr>
        <w:t xml:space="preserve">Chorvátsku  a Bývalej Juhoslovanskej republike </w:t>
      </w:r>
      <w:r w:rsidRPr="00124C0B" w:rsidR="005163A1">
        <w:rPr>
          <w:rFonts w:ascii="Times New Roman" w:hAnsi="Times New Roman" w:cs="Times New Roman"/>
        </w:rPr>
        <w:t xml:space="preserve"> </w:t>
      </w:r>
      <w:r w:rsidRPr="00124C0B" w:rsidR="005163A1">
        <w:rPr>
          <w:rFonts w:ascii="Times New Roman" w:hAnsi="Times New Roman" w:cs="Times New Roman"/>
          <w:b/>
        </w:rPr>
        <w:t xml:space="preserve">Macedónsko </w:t>
      </w:r>
      <w:r w:rsidRPr="00124C0B" w:rsidR="005163A1">
        <w:rPr>
          <w:rFonts w:ascii="Times New Roman" w:hAnsi="Times New Roman" w:cs="Times New Roman"/>
        </w:rPr>
        <w:t xml:space="preserve">(t.j. štátom ZB, ktoré majú kandidátsky štatút) ako aj tzv. „potenciálnym“ kandidátom na vstup do EÚ: </w:t>
      </w:r>
      <w:r w:rsidRPr="00124C0B" w:rsidR="005163A1">
        <w:rPr>
          <w:rFonts w:ascii="Times New Roman" w:hAnsi="Times New Roman" w:cs="Times New Roman"/>
          <w:b/>
        </w:rPr>
        <w:t xml:space="preserve">Albánsku, Bosne a Hercegovine, Čiernej Hore a Srbsku. </w:t>
      </w:r>
      <w:r w:rsidRPr="00124C0B" w:rsidR="005163A1">
        <w:rPr>
          <w:rFonts w:ascii="Times New Roman" w:hAnsi="Times New Roman" w:cs="Times New Roman"/>
        </w:rPr>
        <w:t xml:space="preserve">(V rámci tejto stratégii bola osobitná časť priestoru vyčlenená aj </w:t>
      </w:r>
      <w:r w:rsidRPr="00124C0B" w:rsidR="005163A1">
        <w:rPr>
          <w:rFonts w:ascii="Times New Roman" w:hAnsi="Times New Roman" w:cs="Times New Roman"/>
          <w:b/>
        </w:rPr>
        <w:t>Kosovu.)</w:t>
      </w:r>
    </w:p>
  </w:footnote>
  <w:footnote w:id="7">
    <w:p w:rsidP="0026228F">
      <w:pPr>
        <w:pStyle w:val="FootnoteText"/>
        <w:jc w:val="both"/>
        <w:rPr>
          <w:rFonts w:ascii="Times New Roman" w:hAnsi="Times New Roman" w:cs="Times New Roman"/>
        </w:rPr>
      </w:pPr>
      <w:r w:rsidR="005163A1">
        <w:rPr>
          <w:rStyle w:val="FootnoteReference"/>
          <w:rFonts w:ascii="Times New Roman" w:hAnsi="Times New Roman" w:cs="Times New Roman"/>
        </w:rPr>
        <w:footnoteRef/>
      </w:r>
      <w:r w:rsidR="005163A1">
        <w:rPr>
          <w:rFonts w:ascii="Times New Roman" w:hAnsi="Times New Roman" w:cs="Times New Roman"/>
        </w:rPr>
        <w:t xml:space="preserve"> V prípade návrhu nariadenia o rozhodnom práve pri rozvodoch s cezhraničným prvkom konštatovali </w:t>
      </w:r>
      <w:r w:rsidRPr="00A945FA" w:rsidR="005163A1">
        <w:rPr>
          <w:rFonts w:ascii="Times New Roman" w:hAnsi="Times New Roman" w:cs="Times New Roman"/>
          <w:b/>
        </w:rPr>
        <w:t>štyri parlamenty</w:t>
      </w:r>
      <w:r w:rsidR="005163A1">
        <w:rPr>
          <w:rFonts w:ascii="Times New Roman" w:hAnsi="Times New Roman" w:cs="Times New Roman"/>
        </w:rPr>
        <w:t xml:space="preserve"> porušenie súladu návrhu s princípom subsidiarity (belgický senát, obidve komory holandského parlamentu, Poslanecká snemovňa Českej republiky a Snemovňa Lordov Spojeného kráľovstva). Pri návrhu smernice o dokončení trhu poštových služieb </w:t>
      </w:r>
      <w:r w:rsidRPr="00A945FA" w:rsidR="005163A1">
        <w:rPr>
          <w:rFonts w:ascii="Times New Roman" w:hAnsi="Times New Roman" w:cs="Times New Roman"/>
          <w:b/>
        </w:rPr>
        <w:t>jediný</w:t>
      </w:r>
      <w:r w:rsidR="005163A1">
        <w:rPr>
          <w:rFonts w:ascii="Times New Roman" w:hAnsi="Times New Roman" w:cs="Times New Roman"/>
        </w:rPr>
        <w:t xml:space="preserve"> luxemburský parlament konštatoval porušenie súladu s princípom subsidiarity. Viac informácií: </w:t>
      </w:r>
      <w:hyperlink r:id="rId1" w:history="1">
        <w:r w:rsidRPr="0090487F" w:rsidR="005163A1">
          <w:rPr>
            <w:rStyle w:val="Hyperlink"/>
            <w:rFonts w:ascii="Times New Roman" w:hAnsi="Times New Roman" w:cs="Times New Roman"/>
          </w:rPr>
          <w:t>http://www.cosac.eu/en/info/earlywarning/</w:t>
        </w:r>
      </w:hyperlink>
      <w:r w:rsidR="005163A1">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7F3"/>
    <w:multiLevelType w:val="multilevel"/>
    <w:tmpl w:val="A1AE3EF8"/>
    <w:lvl w:ilvl="0">
      <w:start w:val="17"/>
      <w:numFmt w:val="bullet"/>
      <w:lvlText w:val="-"/>
      <w:lvlJc w:val="left"/>
      <w:pPr>
        <w:tabs>
          <w:tab w:val="num" w:pos="420"/>
        </w:tabs>
        <w:ind w:left="420" w:hanging="360"/>
      </w:pPr>
      <w:rPr>
        <w:rFonts w:ascii="Arial" w:hAnsi="Arial" w:cs="Aria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EC1D7C"/>
    <w:multiLevelType w:val="hybridMultilevel"/>
    <w:tmpl w:val="ACE457D0"/>
    <w:lvl w:ilvl="0">
      <w:start w:val="1"/>
      <w:numFmt w:val="bullet"/>
      <w:lvlText w:val=""/>
      <w:lvlJc w:val="left"/>
      <w:pPr>
        <w:tabs>
          <w:tab w:val="num" w:pos="720"/>
        </w:tabs>
        <w:ind w:left="720" w:hanging="360"/>
      </w:pPr>
      <w:rPr>
        <w:rFonts w:ascii="Wingdings" w:hAnsi="Wingding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9A2E41"/>
    <w:multiLevelType w:val="hybridMultilevel"/>
    <w:tmpl w:val="4F2A7198"/>
    <w:lvl w:ilvl="0">
      <w:start w:val="0"/>
      <w:numFmt w:val="bullet"/>
      <w:lvlText w:val=""/>
      <w:lvlJc w:val="left"/>
      <w:pPr>
        <w:tabs>
          <w:tab w:val="num" w:pos="720"/>
        </w:tabs>
        <w:ind w:left="720" w:hanging="363"/>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07B85417"/>
    <w:multiLevelType w:val="hybridMultilevel"/>
    <w:tmpl w:val="868AC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4835BE"/>
    <w:multiLevelType w:val="hybridMultilevel"/>
    <w:tmpl w:val="BDA2638C"/>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AF48B4"/>
    <w:multiLevelType w:val="hybridMultilevel"/>
    <w:tmpl w:val="80081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9062F5"/>
    <w:multiLevelType w:val="hybridMultilevel"/>
    <w:tmpl w:val="66A08B5A"/>
    <w:lvl w:ilvl="0">
      <w:start w:val="1"/>
      <w:numFmt w:val="bullet"/>
      <w:lvlText w:val=""/>
      <w:lvlJc w:val="left"/>
      <w:pPr>
        <w:tabs>
          <w:tab w:val="num" w:pos="720"/>
        </w:tabs>
        <w:ind w:left="720" w:hanging="360"/>
      </w:pPr>
      <w:rPr>
        <w:rFonts w:ascii="Symbol" w:hAnsi="Symbol"/>
        <w:color w:val="auto"/>
        <w:rtl w:val="0"/>
      </w:rPr>
    </w:lvl>
    <w:lvl w:ilvl="1">
      <w:start w:val="1"/>
      <w:numFmt w:val="bullet"/>
      <w:lvlText w:val=""/>
      <w:lvlJc w:val="left"/>
      <w:pPr>
        <w:tabs>
          <w:tab w:val="num" w:pos="1440"/>
        </w:tabs>
        <w:ind w:left="1440" w:hanging="360"/>
      </w:pPr>
      <w:rPr>
        <w:rFonts w:ascii="Wingdings" w:hAnsi="Wingdings"/>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19BA3C7E"/>
    <w:multiLevelType w:val="hybridMultilevel"/>
    <w:tmpl w:val="45EAA338"/>
    <w:lvl w:ilvl="0">
      <w:start w:val="1"/>
      <w:numFmt w:val="bullet"/>
      <w:lvlText w:val=""/>
      <w:lvlJc w:val="left"/>
      <w:pPr>
        <w:tabs>
          <w:tab w:val="num" w:pos="720"/>
        </w:tabs>
        <w:ind w:left="720" w:hanging="360"/>
      </w:pPr>
      <w:rPr>
        <w:rFonts w:ascii="Wingdings" w:hAnsi="Wingding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A5F5939"/>
    <w:multiLevelType w:val="multilevel"/>
    <w:tmpl w:val="13F887CA"/>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250F24"/>
    <w:multiLevelType w:val="hybridMultilevel"/>
    <w:tmpl w:val="B2C48B38"/>
    <w:lvl w:ilvl="0">
      <w:start w:val="1"/>
      <w:numFmt w:val="decimal"/>
      <w:lvlText w:val="%1."/>
      <w:lvlJc w:val="left"/>
      <w:pPr>
        <w:tabs>
          <w:tab w:val="num" w:pos="-2580"/>
        </w:tabs>
        <w:ind w:left="-2580" w:hanging="972"/>
      </w:pPr>
    </w:lvl>
    <w:lvl w:ilvl="1">
      <w:start w:val="1"/>
      <w:numFmt w:val="lowerLetter"/>
      <w:lvlText w:val="%2."/>
      <w:lvlJc w:val="left"/>
      <w:pPr>
        <w:tabs>
          <w:tab w:val="num" w:pos="-2472"/>
        </w:tabs>
        <w:ind w:left="-2472" w:hanging="360"/>
      </w:pPr>
    </w:lvl>
    <w:lvl w:ilvl="2">
      <w:start w:val="1"/>
      <w:numFmt w:val="lowerRoman"/>
      <w:lvlText w:val="%3."/>
      <w:lvlJc w:val="right"/>
      <w:pPr>
        <w:tabs>
          <w:tab w:val="num" w:pos="-1752"/>
        </w:tabs>
        <w:ind w:left="-1752" w:hanging="180"/>
      </w:pPr>
    </w:lvl>
    <w:lvl w:ilvl="3">
      <w:start w:val="1"/>
      <w:numFmt w:val="decimal"/>
      <w:lvlText w:val="%4."/>
      <w:lvlJc w:val="left"/>
      <w:pPr>
        <w:tabs>
          <w:tab w:val="num" w:pos="-1032"/>
        </w:tabs>
        <w:ind w:left="-1032" w:hanging="360"/>
      </w:pPr>
    </w:lvl>
    <w:lvl w:ilvl="4">
      <w:start w:val="1"/>
      <w:numFmt w:val="lowerLetter"/>
      <w:lvlText w:val="%5."/>
      <w:lvlJc w:val="left"/>
      <w:pPr>
        <w:tabs>
          <w:tab w:val="num" w:pos="-312"/>
        </w:tabs>
        <w:ind w:left="-312" w:hanging="360"/>
      </w:pPr>
    </w:lvl>
    <w:lvl w:ilvl="5">
      <w:start w:val="1"/>
      <w:numFmt w:val="lowerRoman"/>
      <w:lvlText w:val="%6."/>
      <w:lvlJc w:val="right"/>
      <w:pPr>
        <w:tabs>
          <w:tab w:val="num" w:pos="408"/>
        </w:tabs>
        <w:ind w:left="408" w:hanging="180"/>
      </w:pPr>
    </w:lvl>
    <w:lvl w:ilvl="6">
      <w:start w:val="1"/>
      <w:numFmt w:val="decimal"/>
      <w:lvlText w:val="%7."/>
      <w:lvlJc w:val="left"/>
      <w:pPr>
        <w:tabs>
          <w:tab w:val="num" w:pos="1128"/>
        </w:tabs>
        <w:ind w:left="1128" w:hanging="360"/>
      </w:pPr>
    </w:lvl>
    <w:lvl w:ilvl="7">
      <w:start w:val="1"/>
      <w:numFmt w:val="lowerLetter"/>
      <w:lvlText w:val="%8."/>
      <w:lvlJc w:val="left"/>
      <w:pPr>
        <w:tabs>
          <w:tab w:val="num" w:pos="1848"/>
        </w:tabs>
        <w:ind w:left="1848" w:hanging="360"/>
      </w:pPr>
    </w:lvl>
    <w:lvl w:ilvl="8">
      <w:start w:val="1"/>
      <w:numFmt w:val="lowerRoman"/>
      <w:lvlText w:val="%9."/>
      <w:lvlJc w:val="right"/>
      <w:pPr>
        <w:tabs>
          <w:tab w:val="num" w:pos="2568"/>
        </w:tabs>
        <w:ind w:left="2568" w:hanging="180"/>
      </w:pPr>
    </w:lvl>
  </w:abstractNum>
  <w:abstractNum w:abstractNumId="10">
    <w:nsid w:val="1FA0699B"/>
    <w:multiLevelType w:val="hybridMultilevel"/>
    <w:tmpl w:val="4B7668A8"/>
    <w:lvl w:ilvl="0">
      <w:start w:val="1"/>
      <w:numFmt w:val="bullet"/>
      <w:lvlText w:val=""/>
      <w:lvlJc w:val="left"/>
      <w:pPr>
        <w:tabs>
          <w:tab w:val="num" w:pos="720"/>
        </w:tabs>
        <w:ind w:left="720" w:hanging="360"/>
      </w:pPr>
      <w:rPr>
        <w:rFonts w:ascii="Wingdings" w:hAnsi="Wingding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F62651"/>
    <w:multiLevelType w:val="hybridMultilevel"/>
    <w:tmpl w:val="75E202FC"/>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2F2F5865"/>
    <w:multiLevelType w:val="hybridMultilevel"/>
    <w:tmpl w:val="13F887CA"/>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824224"/>
    <w:multiLevelType w:val="hybridMultilevel"/>
    <w:tmpl w:val="28803B12"/>
    <w:lvl w:ilvl="0">
      <w:start w:val="1"/>
      <w:numFmt w:val="decimal"/>
      <w:lvlText w:val="%1."/>
      <w:lvlJc w:val="left"/>
      <w:pPr>
        <w:tabs>
          <w:tab w:val="num" w:pos="720"/>
        </w:tabs>
        <w:ind w:left="720" w:hanging="360"/>
      </w:pPr>
      <w:rPr>
        <w:rFonts w:cs="Arial"/>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F3AD8"/>
    <w:multiLevelType w:val="multilevel"/>
    <w:tmpl w:val="86EED4FC"/>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8E2D07"/>
    <w:multiLevelType w:val="hybridMultilevel"/>
    <w:tmpl w:val="240A1F82"/>
    <w:lvl w:ilvl="0">
      <w:start w:val="1"/>
      <w:numFmt w:val="bullet"/>
      <w:lvlText w:val=""/>
      <w:lvlJc w:val="left"/>
      <w:pPr>
        <w:tabs>
          <w:tab w:val="num" w:pos="720"/>
        </w:tabs>
        <w:ind w:left="720" w:hanging="360"/>
      </w:pPr>
      <w:rPr>
        <w:rFonts w:ascii="Wingdings" w:hAnsi="Wingding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90B1573"/>
    <w:multiLevelType w:val="hybridMultilevel"/>
    <w:tmpl w:val="A1AE3EF8"/>
    <w:lvl w:ilvl="0">
      <w:start w:val="17"/>
      <w:numFmt w:val="bullet"/>
      <w:lvlText w:val="-"/>
      <w:lvlJc w:val="left"/>
      <w:pPr>
        <w:tabs>
          <w:tab w:val="num" w:pos="420"/>
        </w:tabs>
        <w:ind w:left="420" w:hanging="360"/>
      </w:pPr>
      <w:rPr>
        <w:rFonts w:ascii="Arial" w:hAnsi="Arial" w:cs="Aria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845A3F"/>
    <w:multiLevelType w:val="hybridMultilevel"/>
    <w:tmpl w:val="EE84048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8">
    <w:nsid w:val="425C7ADE"/>
    <w:multiLevelType w:val="hybridMultilevel"/>
    <w:tmpl w:val="CB340E12"/>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9">
    <w:nsid w:val="46091868"/>
    <w:multiLevelType w:val="hybridMultilevel"/>
    <w:tmpl w:val="114E534A"/>
    <w:lvl w:ilvl="0">
      <w:start w:val="1"/>
      <w:numFmt w:val="bullet"/>
      <w:lvlText w:val=""/>
      <w:lvlJc w:val="left"/>
      <w:pPr>
        <w:tabs>
          <w:tab w:val="num" w:pos="720"/>
        </w:tabs>
        <w:ind w:left="720" w:hanging="360"/>
      </w:pPr>
      <w:rPr>
        <w:rFonts w:ascii="Wingdings" w:hAnsi="Wingdings"/>
        <w:rtl w:val="0"/>
      </w:rPr>
    </w:lvl>
    <w:lvl w:ilvl="1">
      <w:start w:val="0"/>
      <w:numFmt w:val="bullet"/>
      <w:lvlText w:val="-"/>
      <w:lvlJc w:val="left"/>
      <w:pPr>
        <w:tabs>
          <w:tab w:val="num" w:pos="1440"/>
        </w:tabs>
        <w:ind w:left="1440" w:hanging="360"/>
      </w:pPr>
      <w:rPr>
        <w:rFonts w:ascii="Times New Roman" w:hAnsi="Times New Roman" w:cs="Times New Roman"/>
        <w:color w:val="auto"/>
        <w:sz w:val="24"/>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0">
    <w:nsid w:val="4693469B"/>
    <w:multiLevelType w:val="multilevel"/>
    <w:tmpl w:val="4F2A7198"/>
    <w:lvl w:ilvl="0">
      <w:start w:val="0"/>
      <w:numFmt w:val="bullet"/>
      <w:lvlText w:val=""/>
      <w:lvlJc w:val="left"/>
      <w:pPr>
        <w:tabs>
          <w:tab w:val="num" w:pos="720"/>
        </w:tabs>
        <w:ind w:left="720" w:hanging="363"/>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1">
    <w:nsid w:val="472943DD"/>
    <w:multiLevelType w:val="hybridMultilevel"/>
    <w:tmpl w:val="F07C474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BFA7695"/>
    <w:multiLevelType w:val="hybridMultilevel"/>
    <w:tmpl w:val="5F12BF8E"/>
    <w:lvl w:ilvl="0">
      <w:start w:val="2"/>
      <w:numFmt w:val="bullet"/>
      <w:lvlText w:val="-"/>
      <w:lvlJc w:val="left"/>
      <w:pPr>
        <w:tabs>
          <w:tab w:val="num" w:pos="360"/>
        </w:tabs>
        <w:ind w:left="360" w:hanging="360"/>
      </w:pPr>
      <w:rPr>
        <w:rFonts w:ascii="Times New Roman" w:hAnsi="Times New Roman" w:cs="Times New Roman"/>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23">
    <w:nsid w:val="52111994"/>
    <w:multiLevelType w:val="hybridMultilevel"/>
    <w:tmpl w:val="86EED4FC"/>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B0753FC"/>
    <w:multiLevelType w:val="multilevel"/>
    <w:tmpl w:val="5F12BF8E"/>
    <w:lvl w:ilvl="0">
      <w:start w:val="2"/>
      <w:numFmt w:val="bullet"/>
      <w:lvlText w:val="-"/>
      <w:lvlJc w:val="left"/>
      <w:pPr>
        <w:tabs>
          <w:tab w:val="num" w:pos="360"/>
        </w:tabs>
        <w:ind w:left="360" w:hanging="360"/>
      </w:pPr>
      <w:rPr>
        <w:rFonts w:ascii="Times New Roman" w:hAnsi="Times New Roman" w:cs="Times New Roman"/>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25">
    <w:nsid w:val="5C5E4D76"/>
    <w:multiLevelType w:val="multilevel"/>
    <w:tmpl w:val="13F887CA"/>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4A5846"/>
    <w:multiLevelType w:val="hybridMultilevel"/>
    <w:tmpl w:val="96B2B73A"/>
    <w:lvl w:ilvl="0">
      <w:start w:val="1"/>
      <w:numFmt w:val="bullet"/>
      <w:lvlText w:val=""/>
      <w:lvlJc w:val="left"/>
      <w:pPr>
        <w:tabs>
          <w:tab w:val="num" w:pos="720"/>
        </w:tabs>
        <w:ind w:left="720" w:hanging="360"/>
      </w:pPr>
      <w:rPr>
        <w:rFonts w:ascii="Wingdings" w:hAnsi="Wingdings"/>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745550"/>
    <w:multiLevelType w:val="multilevel"/>
    <w:tmpl w:val="13F887CA"/>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315EE7"/>
    <w:multiLevelType w:val="multilevel"/>
    <w:tmpl w:val="BDA626E0"/>
    <w:lvl w:ilvl="0">
      <w:start w:val="1"/>
      <w:numFmt w:val="bullet"/>
      <w:lvlText w:val=""/>
      <w:lvlJc w:val="left"/>
      <w:pPr>
        <w:tabs>
          <w:tab w:val="num" w:pos="720"/>
        </w:tabs>
        <w:ind w:left="720" w:hanging="360"/>
      </w:pPr>
      <w:rPr>
        <w:rFonts w:ascii="Symbol" w:hAnsi="Symbol"/>
        <w:rtl w:val="0"/>
      </w:rPr>
    </w:lvl>
    <w:lvl w:ilvl="1">
      <w:start w:val="1"/>
      <w:numFmt w:val="bullet"/>
      <w:lvlText w:val=""/>
      <w:lvlJc w:val="left"/>
      <w:pPr>
        <w:tabs>
          <w:tab w:val="num" w:pos="1440"/>
        </w:tabs>
        <w:ind w:left="1440" w:hanging="360"/>
      </w:pPr>
      <w:rPr>
        <w:rFonts w:ascii="Wingdings" w:hAnsi="Wingdings"/>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9">
    <w:nsid w:val="763A4E75"/>
    <w:multiLevelType w:val="hybridMultilevel"/>
    <w:tmpl w:val="76EE050A"/>
    <w:lvl w:ilvl="0">
      <w:start w:val="13"/>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0">
    <w:nsid w:val="7C947EA0"/>
    <w:multiLevelType w:val="hybridMultilevel"/>
    <w:tmpl w:val="37CAC31A"/>
    <w:lvl w:ilvl="0">
      <w:start w:val="1"/>
      <w:numFmt w:val="bullet"/>
      <w:lvlText w:val=""/>
      <w:lvlJc w:val="left"/>
      <w:pPr>
        <w:tabs>
          <w:tab w:val="num" w:pos="360"/>
        </w:tabs>
        <w:ind w:left="360" w:hanging="360"/>
      </w:pPr>
      <w:rPr>
        <w:rFonts w:ascii="Wingdings" w:hAnsi="Wingdings"/>
        <w:rtl w:val="0"/>
      </w:rPr>
    </w:lvl>
    <w:lvl w:ilvl="1">
      <w:start w:val="1"/>
      <w:numFmt w:val="bullet"/>
      <w:lvlText w:val=""/>
      <w:lvlJc w:val="left"/>
      <w:pPr>
        <w:tabs>
          <w:tab w:val="num" w:pos="1080"/>
        </w:tabs>
        <w:ind w:left="1080" w:hanging="360"/>
      </w:pPr>
      <w:rPr>
        <w:rFonts w:ascii="Wingdings" w:hAnsi="Wingdings"/>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31">
    <w:nsid w:val="7DC12563"/>
    <w:multiLevelType w:val="hybridMultilevel"/>
    <w:tmpl w:val="DC24D4A6"/>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2">
    <w:nsid w:val="7E70620D"/>
    <w:multiLevelType w:val="hybridMultilevel"/>
    <w:tmpl w:val="BA362D98"/>
    <w:lvl w:ilvl="0">
      <w:start w:val="1"/>
      <w:numFmt w:val="bullet"/>
      <w:lvlText w:val=""/>
      <w:lvlJc w:val="left"/>
      <w:pPr>
        <w:tabs>
          <w:tab w:val="num" w:pos="1065"/>
        </w:tabs>
        <w:ind w:left="1065" w:hanging="360"/>
      </w:pPr>
      <w:rPr>
        <w:rFonts w:ascii="Wingdings" w:hAnsi="Wingdings"/>
        <w:rtl w:val="0"/>
      </w:rPr>
    </w:lvl>
    <w:lvl w:ilvl="1">
      <w:start w:val="1"/>
      <w:numFmt w:val="bullet"/>
      <w:lvlText w:val="o"/>
      <w:lvlJc w:val="left"/>
      <w:pPr>
        <w:tabs>
          <w:tab w:val="num" w:pos="1785"/>
        </w:tabs>
        <w:ind w:left="1785" w:hanging="360"/>
      </w:pPr>
      <w:rPr>
        <w:rFonts w:ascii="Courier New" w:hAnsi="Courier New" w:cs="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cs="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cs="Courier New"/>
        <w:rtl w:val="0"/>
      </w:rPr>
    </w:lvl>
    <w:lvl w:ilvl="8">
      <w:start w:val="1"/>
      <w:numFmt w:val="bullet"/>
      <w:lvlText w:val=""/>
      <w:lvlJc w:val="left"/>
      <w:pPr>
        <w:tabs>
          <w:tab w:val="num" w:pos="6825"/>
        </w:tabs>
        <w:ind w:left="6825" w:hanging="360"/>
      </w:pPr>
      <w:rPr>
        <w:rFonts w:ascii="Wingdings" w:hAnsi="Wingdings"/>
        <w:rtl w:val="0"/>
      </w:rPr>
    </w:lvl>
  </w:abstractNum>
  <w:num w:numId="1">
    <w:abstractNumId w:val="3"/>
  </w:num>
  <w:num w:numId="2">
    <w:abstractNumId w:val="13"/>
  </w:num>
  <w:num w:numId="3">
    <w:abstractNumId w:val="32"/>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9"/>
  </w:num>
  <w:num w:numId="8">
    <w:abstractNumId w:val="0"/>
  </w:num>
  <w:num w:numId="9">
    <w:abstractNumId w:val="16"/>
  </w:num>
  <w:num w:numId="10">
    <w:abstractNumId w:val="1"/>
  </w:num>
  <w:num w:numId="11">
    <w:abstractNumId w:val="11"/>
  </w:num>
  <w:num w:numId="12">
    <w:abstractNumId w:val="21"/>
  </w:num>
  <w:num w:numId="13">
    <w:abstractNumId w:val="9"/>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8"/>
  </w:num>
  <w:num w:numId="20">
    <w:abstractNumId w:val="30"/>
  </w:num>
  <w:num w:numId="21">
    <w:abstractNumId w:val="20"/>
  </w:num>
  <w:num w:numId="22">
    <w:abstractNumId w:val="31"/>
  </w:num>
  <w:num w:numId="23">
    <w:abstractNumId w:val="14"/>
  </w:num>
  <w:num w:numId="24">
    <w:abstractNumId w:val="10"/>
  </w:num>
  <w:num w:numId="25">
    <w:abstractNumId w:val="25"/>
  </w:num>
  <w:num w:numId="26">
    <w:abstractNumId w:val="26"/>
  </w:num>
  <w:num w:numId="27">
    <w:abstractNumId w:val="8"/>
  </w:num>
  <w:num w:numId="28">
    <w:abstractNumId w:val="15"/>
  </w:num>
  <w:num w:numId="29">
    <w:abstractNumId w:val="27"/>
  </w:num>
  <w:num w:numId="30">
    <w:abstractNumId w:val="7"/>
  </w:num>
  <w:num w:numId="31">
    <w:abstractNumId w:val="24"/>
  </w:num>
  <w:num w:numId="32">
    <w:abstractNumId w:val="18"/>
  </w:num>
  <w:num w:numId="33">
    <w:abstractNumId w:val="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14BFF"/>
    <w:rsid w:val="00047C14"/>
    <w:rsid w:val="0005180B"/>
    <w:rsid w:val="000B5E68"/>
    <w:rsid w:val="00103B0B"/>
    <w:rsid w:val="00120A55"/>
    <w:rsid w:val="00124C0B"/>
    <w:rsid w:val="00195421"/>
    <w:rsid w:val="001B0964"/>
    <w:rsid w:val="00206165"/>
    <w:rsid w:val="002562D7"/>
    <w:rsid w:val="0026228F"/>
    <w:rsid w:val="00264E97"/>
    <w:rsid w:val="002845D3"/>
    <w:rsid w:val="002A4347"/>
    <w:rsid w:val="002A567E"/>
    <w:rsid w:val="002A7AE8"/>
    <w:rsid w:val="002C2AFE"/>
    <w:rsid w:val="002E1B8F"/>
    <w:rsid w:val="002F1B20"/>
    <w:rsid w:val="00344073"/>
    <w:rsid w:val="00355009"/>
    <w:rsid w:val="003656B0"/>
    <w:rsid w:val="00381BBC"/>
    <w:rsid w:val="003B431D"/>
    <w:rsid w:val="003C1B5B"/>
    <w:rsid w:val="003D4E03"/>
    <w:rsid w:val="003E4938"/>
    <w:rsid w:val="0044253F"/>
    <w:rsid w:val="00456C52"/>
    <w:rsid w:val="0046022A"/>
    <w:rsid w:val="00481A7D"/>
    <w:rsid w:val="00484345"/>
    <w:rsid w:val="0048604F"/>
    <w:rsid w:val="004C3DEA"/>
    <w:rsid w:val="004C4D27"/>
    <w:rsid w:val="004E1BD3"/>
    <w:rsid w:val="005163A1"/>
    <w:rsid w:val="00533E36"/>
    <w:rsid w:val="00562CFF"/>
    <w:rsid w:val="00564366"/>
    <w:rsid w:val="00581A64"/>
    <w:rsid w:val="005B3C65"/>
    <w:rsid w:val="005C26B3"/>
    <w:rsid w:val="005F20D4"/>
    <w:rsid w:val="005F301A"/>
    <w:rsid w:val="006029C2"/>
    <w:rsid w:val="00603378"/>
    <w:rsid w:val="00605DD3"/>
    <w:rsid w:val="006210B8"/>
    <w:rsid w:val="00684997"/>
    <w:rsid w:val="006A066D"/>
    <w:rsid w:val="006A0BAA"/>
    <w:rsid w:val="006B3DB8"/>
    <w:rsid w:val="006B746C"/>
    <w:rsid w:val="00705D52"/>
    <w:rsid w:val="00743419"/>
    <w:rsid w:val="00743730"/>
    <w:rsid w:val="0074427A"/>
    <w:rsid w:val="00765D0F"/>
    <w:rsid w:val="007A5E05"/>
    <w:rsid w:val="0086425D"/>
    <w:rsid w:val="00877161"/>
    <w:rsid w:val="00893846"/>
    <w:rsid w:val="008A2975"/>
    <w:rsid w:val="008B726A"/>
    <w:rsid w:val="008D1EF5"/>
    <w:rsid w:val="008D568D"/>
    <w:rsid w:val="0090487F"/>
    <w:rsid w:val="0092535F"/>
    <w:rsid w:val="0095109A"/>
    <w:rsid w:val="00964963"/>
    <w:rsid w:val="00986AA9"/>
    <w:rsid w:val="009A6285"/>
    <w:rsid w:val="009D2058"/>
    <w:rsid w:val="009F46BA"/>
    <w:rsid w:val="00A00EE5"/>
    <w:rsid w:val="00A5062D"/>
    <w:rsid w:val="00A6703F"/>
    <w:rsid w:val="00A840EA"/>
    <w:rsid w:val="00A904E2"/>
    <w:rsid w:val="00A945FA"/>
    <w:rsid w:val="00AB48B1"/>
    <w:rsid w:val="00B350EB"/>
    <w:rsid w:val="00B446EF"/>
    <w:rsid w:val="00B64E37"/>
    <w:rsid w:val="00B716EB"/>
    <w:rsid w:val="00B73899"/>
    <w:rsid w:val="00B8551B"/>
    <w:rsid w:val="00B859A3"/>
    <w:rsid w:val="00BA7ACD"/>
    <w:rsid w:val="00BD5D70"/>
    <w:rsid w:val="00BD7BAA"/>
    <w:rsid w:val="00C02351"/>
    <w:rsid w:val="00C125B7"/>
    <w:rsid w:val="00C3075F"/>
    <w:rsid w:val="00C360AE"/>
    <w:rsid w:val="00CC34DF"/>
    <w:rsid w:val="00D048FF"/>
    <w:rsid w:val="00D309DF"/>
    <w:rsid w:val="00D40C37"/>
    <w:rsid w:val="00D51C29"/>
    <w:rsid w:val="00D70BCF"/>
    <w:rsid w:val="00D76C22"/>
    <w:rsid w:val="00DA4C94"/>
    <w:rsid w:val="00DE4E68"/>
    <w:rsid w:val="00E5539A"/>
    <w:rsid w:val="00E66E17"/>
    <w:rsid w:val="00E9757C"/>
    <w:rsid w:val="00EC1AEC"/>
    <w:rsid w:val="00F01857"/>
    <w:rsid w:val="00F074AE"/>
    <w:rsid w:val="00F11B6C"/>
    <w:rsid w:val="00F30EA6"/>
    <w:rsid w:val="00F75017"/>
    <w:rsid w:val="00F9624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C2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D76C22"/>
    <w:pPr>
      <w:jc w:val="center"/>
    </w:pPr>
    <w:rPr>
      <w:b/>
      <w:bCs/>
    </w:rPr>
  </w:style>
  <w:style w:type="paragraph" w:styleId="BodyTextIndent2">
    <w:name w:val="Body Text Indent 2"/>
    <w:basedOn w:val="Normal"/>
    <w:rsid w:val="00D76C22"/>
    <w:pPr>
      <w:spacing w:after="120" w:line="480" w:lineRule="auto"/>
      <w:ind w:left="283"/>
      <w:jc w:val="left"/>
    </w:pPr>
  </w:style>
  <w:style w:type="paragraph" w:styleId="FootnoteText">
    <w:name w:val="footnote text"/>
    <w:basedOn w:val="Normal"/>
    <w:semiHidden/>
    <w:rsid w:val="003B431D"/>
    <w:pPr>
      <w:jc w:val="left"/>
    </w:pPr>
    <w:rPr>
      <w:sz w:val="20"/>
      <w:szCs w:val="20"/>
    </w:rPr>
  </w:style>
  <w:style w:type="character" w:styleId="FootnoteReference">
    <w:name w:val="footnote reference"/>
    <w:basedOn w:val="DefaultParagraphFont"/>
    <w:semiHidden/>
    <w:rsid w:val="003B431D"/>
    <w:rPr>
      <w:vertAlign w:val="superscript"/>
    </w:rPr>
  </w:style>
  <w:style w:type="paragraph" w:styleId="NormalWeb">
    <w:name w:val="Normal (Web)"/>
    <w:basedOn w:val="Normal"/>
    <w:rsid w:val="003B431D"/>
    <w:pPr>
      <w:spacing w:before="100" w:beforeAutospacing="1" w:after="100" w:afterAutospacing="1"/>
      <w:jc w:val="left"/>
    </w:pPr>
  </w:style>
  <w:style w:type="paragraph" w:styleId="Footer">
    <w:name w:val="footer"/>
    <w:basedOn w:val="Normal"/>
    <w:rsid w:val="002A567E"/>
    <w:pPr>
      <w:tabs>
        <w:tab w:val="center" w:pos="4536"/>
        <w:tab w:val="right" w:pos="9072"/>
      </w:tabs>
      <w:jc w:val="left"/>
    </w:pPr>
  </w:style>
  <w:style w:type="character" w:styleId="PageNumber">
    <w:name w:val="page number"/>
    <w:basedOn w:val="DefaultParagraphFont"/>
    <w:rsid w:val="002A567E"/>
  </w:style>
  <w:style w:type="character" w:customStyle="1" w:styleId="info1">
    <w:name w:val="info1"/>
    <w:basedOn w:val="DefaultParagraphFont"/>
    <w:rsid w:val="00EC1AEC"/>
    <w:rPr>
      <w:color w:val="899EB6"/>
    </w:rPr>
  </w:style>
  <w:style w:type="character" w:styleId="Emphasis">
    <w:name w:val="Emphasis"/>
    <w:basedOn w:val="DefaultParagraphFont"/>
    <w:qFormat/>
    <w:rsid w:val="0074427A"/>
    <w:rPr>
      <w:i/>
      <w:iCs/>
      <w:rtl w:val="0"/>
    </w:rPr>
  </w:style>
  <w:style w:type="paragraph" w:customStyle="1" w:styleId="CharCharCharCharCharCharCharCharCharCharCharChar1CharCharCharChar">
    <w:name w:val="Char Char Char Char Char Char Char Char Char Char Char Char1 Char Char Char Char"/>
    <w:basedOn w:val="Normal"/>
    <w:rsid w:val="002C2AFE"/>
    <w:pPr>
      <w:jc w:val="left"/>
    </w:pPr>
    <w:rPr>
      <w:lang w:val="pl-PL"/>
    </w:rPr>
  </w:style>
  <w:style w:type="character" w:styleId="Hyperlink">
    <w:name w:val="Hyperlink"/>
    <w:basedOn w:val="DefaultParagraphFont"/>
    <w:rsid w:val="00D51C29"/>
    <w:rPr>
      <w:color w:val="0000FF"/>
      <w:u w:val="single"/>
    </w:rPr>
  </w:style>
  <w:style w:type="table" w:styleId="TableGrid">
    <w:name w:val="Table Grid"/>
    <w:rsid w:val="005C26B3"/>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www.cosac.eu/en/info/earlywar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768</TotalTime>
  <Pages>1</Pages>
  <Words>7301</Words>
  <Characters>41619</Characters>
  <Application>Microsoft Office Word</Application>
  <DocSecurity>0</DocSecurity>
  <Lines>0</Lines>
  <Paragraphs>0</Paragraphs>
  <ScaleCrop>false</ScaleCrop>
  <Company>Kancelaria NR SR</Company>
  <LinksUpToDate>false</LinksUpToDate>
  <CharactersWithSpaces>48823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KicinEva</dc:creator>
  <cp:lastModifiedBy>KicinEva</cp:lastModifiedBy>
  <cp:revision>56</cp:revision>
  <cp:lastPrinted>2007-10-03T10:59:00Z</cp:lastPrinted>
  <dcterms:created xsi:type="dcterms:W3CDTF">2007-05-16T11:01:00Z</dcterms:created>
  <dcterms:modified xsi:type="dcterms:W3CDTF">2007-10-03T11:05:00Z</dcterms:modified>
</cp:coreProperties>
</file>