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7A13" w:rsidRPr="005B7794" w:rsidP="00697A13">
      <w:pPr>
        <w:pStyle w:val="Heading1"/>
        <w:spacing w:after="0"/>
        <w:jc w:val="center"/>
        <w:rPr>
          <w:rFonts w:ascii="Arial Narrow" w:hAnsi="Arial Narrow" w:cs="Arial Narrow"/>
          <w:sz w:val="20"/>
          <w:szCs w:val="24"/>
        </w:rPr>
      </w:pPr>
      <w:r w:rsidRPr="005B7794">
        <w:rPr>
          <w:rFonts w:ascii="Arial Narrow" w:hAnsi="Arial Narrow" w:cs="Arial Narrow"/>
          <w:sz w:val="20"/>
          <w:szCs w:val="24"/>
        </w:rPr>
        <w:t>TABUĽKA  ZHODY</w:t>
      </w:r>
    </w:p>
    <w:p w:rsidR="00697A13" w:rsidP="00697A13">
      <w:pPr>
        <w:pStyle w:val="TABUKA-nadpis"/>
        <w:rPr>
          <w:rFonts w:ascii="Times New Roman" w:hAnsi="Times New Roman" w:cs="Times New Roman"/>
          <w:szCs w:val="24"/>
        </w:rPr>
      </w:pPr>
      <w:r w:rsidRPr="005B7794">
        <w:rPr>
          <w:rFonts w:ascii="Arial Narrow" w:hAnsi="Arial Narrow" w:cs="Arial Narrow"/>
          <w:sz w:val="20"/>
          <w:szCs w:val="24"/>
        </w:rPr>
        <w:t>smernice ES/EÚ s ustanoveniami všetkých všeobecne záväzných právnych predpisov, ktoré danú smernicu preberajú</w:t>
      </w:r>
    </w:p>
    <w:tbl>
      <w:tblPr>
        <w:tblStyle w:val="TableNormal"/>
        <w:tblW w:w="16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96"/>
        <w:gridCol w:w="5458"/>
        <w:gridCol w:w="425"/>
        <w:gridCol w:w="851"/>
        <w:gridCol w:w="992"/>
        <w:gridCol w:w="5386"/>
        <w:gridCol w:w="425"/>
        <w:gridCol w:w="567"/>
        <w:gridCol w:w="1134"/>
        <w:gridCol w:w="424"/>
      </w:tblGrid>
      <w:tr>
        <w:tblPrEx>
          <w:tblW w:w="16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16158" w:type="dxa"/>
            <w:gridSpan w:val="10"/>
            <w:tcBorders>
              <w:top w:val="single" w:sz="4" w:space="0" w:color="auto"/>
              <w:left w:val="single" w:sz="4" w:space="0" w:color="auto"/>
              <w:bottom w:val="single" w:sz="4" w:space="0" w:color="auto"/>
              <w:right w:val="single" w:sz="4" w:space="0" w:color="auto"/>
            </w:tcBorders>
            <w:textDirection w:val="lrTb"/>
            <w:vAlign w:val="top"/>
          </w:tcPr>
          <w:p w:rsidR="00EF04DB" w:rsidRPr="00EF04DB" w:rsidP="00EF04DB">
            <w:pPr>
              <w:pStyle w:val="TABUKA-nadpismal"/>
              <w:jc w:val="both"/>
              <w:rPr>
                <w:rFonts w:ascii="Arial Narrow" w:hAnsi="Arial Narrow" w:cs="Arial Narrow"/>
                <w:sz w:val="20"/>
                <w:szCs w:val="24"/>
              </w:rPr>
            </w:pPr>
            <w:r w:rsidR="00EE31D8">
              <w:rPr>
                <w:rFonts w:ascii="Arial Narrow" w:hAnsi="Arial Narrow" w:cs="Arial Narrow"/>
                <w:sz w:val="20"/>
                <w:szCs w:val="24"/>
              </w:rPr>
              <w:t xml:space="preserve">Názov smernice: </w:t>
            </w:r>
            <w:r w:rsidRPr="00EF04DB">
              <w:rPr>
                <w:rFonts w:ascii="Arial Narrow" w:hAnsi="Arial Narrow" w:cs="Arial Narrow"/>
                <w:sz w:val="20"/>
                <w:szCs w:val="24"/>
                <w:lang w:eastAsia="sk-SK"/>
              </w:rPr>
              <w:t>S</w:t>
            </w:r>
            <w:r w:rsidR="007A4586">
              <w:rPr>
                <w:rFonts w:ascii="Arial Narrow" w:hAnsi="Arial Narrow" w:cs="Arial Narrow"/>
                <w:sz w:val="20"/>
                <w:szCs w:val="24"/>
                <w:lang w:eastAsia="sk-SK"/>
              </w:rPr>
              <w:t>mernica Rady</w:t>
            </w:r>
            <w:r w:rsidRPr="00EF04DB">
              <w:rPr>
                <w:rFonts w:ascii="Arial Narrow" w:hAnsi="Arial Narrow" w:cs="Arial Narrow"/>
                <w:sz w:val="20"/>
                <w:szCs w:val="24"/>
                <w:lang w:eastAsia="sk-SK"/>
              </w:rPr>
              <w:t xml:space="preserve"> 2004/74/ES z 29. apríla 2004, ktorou sa mení dopĺňa smernica 2003/96/ES, pokiaľ ide o možnosť pre niektoré členské štáty uplatniť v súvislosti s energetickými </w:t>
            </w:r>
            <w:r>
              <w:rPr>
                <w:rFonts w:ascii="Arial Narrow" w:hAnsi="Arial Narrow" w:cs="Arial Narrow"/>
                <w:sz w:val="20"/>
                <w:szCs w:val="24"/>
                <w:lang w:eastAsia="sk-SK"/>
              </w:rPr>
              <w:t xml:space="preserve">          </w:t>
            </w:r>
            <w:r w:rsidRPr="00EF04DB">
              <w:rPr>
                <w:rFonts w:ascii="Arial Narrow" w:hAnsi="Arial Narrow" w:cs="Arial Narrow"/>
                <w:sz w:val="20"/>
                <w:szCs w:val="24"/>
                <w:lang w:eastAsia="sk-SK"/>
              </w:rPr>
              <w:t>produktmi a elektrickou energiou dočasné oslobodenie alebo zníženie miery zdanenia</w:t>
            </w:r>
          </w:p>
          <w:p w:rsidR="00697A13" w:rsidRPr="00EE31D8" w:rsidP="00697A13">
            <w:pPr>
              <w:spacing w:after="0"/>
              <w:rPr>
                <w:rFonts w:ascii="Arial Narrow" w:hAnsi="Arial Narrow" w:cs="Arial Narrow"/>
                <w:b/>
                <w:sz w:val="20"/>
                <w:szCs w:val="24"/>
                <w:lang w:val="sk-SK"/>
              </w:rPr>
            </w:pPr>
          </w:p>
          <w:p w:rsidR="00697A13" w:rsidRPr="00697A13" w:rsidP="00CB4D08">
            <w:pPr>
              <w:pStyle w:val="TABUKA-nadpismal"/>
              <w:jc w:val="both"/>
              <w:rPr>
                <w:rFonts w:ascii="Arial Narrow" w:hAnsi="Arial Narrow" w:cs="Arial Narrow"/>
                <w:sz w:val="20"/>
                <w:szCs w:val="24"/>
                <w:u w:val="single"/>
              </w:rPr>
            </w:pPr>
          </w:p>
        </w:tc>
      </w:tr>
      <w:tr>
        <w:tblPrEx>
          <w:tblW w:w="16158" w:type="dxa"/>
          <w:tblInd w:w="-497" w:type="dxa"/>
          <w:tblLayout w:type="fixed"/>
          <w:tblCellMar>
            <w:top w:w="0" w:type="dxa"/>
            <w:left w:w="70" w:type="dxa"/>
            <w:bottom w:w="0" w:type="dxa"/>
            <w:right w:w="70" w:type="dxa"/>
          </w:tblCellMar>
        </w:tblPrEx>
        <w:trPr>
          <w:cantSplit/>
          <w:trHeight w:val="724"/>
        </w:trPr>
        <w:tc>
          <w:tcPr>
            <w:tcW w:w="6379" w:type="dxa"/>
            <w:gridSpan w:val="3"/>
            <w:tcBorders>
              <w:top w:val="single" w:sz="4" w:space="0" w:color="auto"/>
              <w:left w:val="single" w:sz="4" w:space="0" w:color="auto"/>
              <w:bottom w:val="single" w:sz="4" w:space="0" w:color="auto"/>
              <w:right w:val="single" w:sz="4" w:space="0" w:color="auto"/>
            </w:tcBorders>
            <w:textDirection w:val="lrTb"/>
            <w:vAlign w:val="top"/>
          </w:tcPr>
          <w:p w:rsidR="00FC2AB3" w:rsidRPr="00697A13">
            <w:pPr>
              <w:pStyle w:val="TABUKA-nadpismal"/>
              <w:rPr>
                <w:rFonts w:ascii="Arial Narrow" w:hAnsi="Arial Narrow" w:cs="Arial Narrow"/>
                <w:sz w:val="20"/>
                <w:szCs w:val="24"/>
                <w:u w:val="single"/>
              </w:rPr>
            </w:pPr>
            <w:r w:rsidRPr="00697A13">
              <w:rPr>
                <w:rFonts w:ascii="Arial Narrow" w:hAnsi="Arial Narrow" w:cs="Arial Narrow"/>
                <w:sz w:val="20"/>
                <w:szCs w:val="24"/>
                <w:u w:val="single"/>
              </w:rPr>
              <w:t>Právny akt ES/EÚ</w:t>
            </w:r>
          </w:p>
          <w:p w:rsidR="00FC2AB3" w:rsidRPr="00697A13" w:rsidP="00EF04DB">
            <w:pPr>
              <w:pStyle w:val="TABUKA-nadpismal"/>
              <w:jc w:val="both"/>
              <w:rPr>
                <w:rFonts w:ascii="Arial Narrow" w:hAnsi="Arial Narrow" w:cs="Arial Narrow"/>
                <w:sz w:val="20"/>
                <w:szCs w:val="24"/>
              </w:rPr>
            </w:pPr>
          </w:p>
          <w:p w:rsidR="00EF04DB" w:rsidRPr="007A4586" w:rsidP="00EF04DB">
            <w:pPr>
              <w:autoSpaceDE w:val="0"/>
              <w:autoSpaceDN w:val="0"/>
              <w:adjustRightInd w:val="0"/>
              <w:spacing w:after="0"/>
              <w:rPr>
                <w:rFonts w:ascii="Arial Narrow" w:hAnsi="Arial Narrow" w:cs="Arial Narrow"/>
                <w:sz w:val="20"/>
                <w:szCs w:val="24"/>
                <w:lang w:val="sk-SK" w:eastAsia="sk-SK"/>
              </w:rPr>
            </w:pPr>
            <w:r w:rsidRPr="007A4586">
              <w:rPr>
                <w:rFonts w:ascii="Arial Narrow" w:hAnsi="Arial Narrow" w:cs="Arial Narrow"/>
                <w:b/>
                <w:sz w:val="20"/>
                <w:szCs w:val="24"/>
                <w:lang w:val="sk-SK" w:eastAsia="sk-SK"/>
              </w:rPr>
              <w:t>S</w:t>
            </w:r>
            <w:r w:rsidR="007A4586">
              <w:rPr>
                <w:rFonts w:ascii="Arial Narrow" w:hAnsi="Arial Narrow" w:cs="Arial Narrow"/>
                <w:b/>
                <w:sz w:val="20"/>
                <w:szCs w:val="24"/>
                <w:lang w:val="sk-SK" w:eastAsia="sk-SK"/>
              </w:rPr>
              <w:t>mernica Rady</w:t>
            </w:r>
            <w:r w:rsidRPr="007A4586">
              <w:rPr>
                <w:rFonts w:ascii="Arial Narrow" w:hAnsi="Arial Narrow" w:cs="Arial Narrow"/>
                <w:b/>
                <w:sz w:val="20"/>
                <w:szCs w:val="24"/>
                <w:lang w:val="sk-SK" w:eastAsia="sk-SK"/>
              </w:rPr>
              <w:t xml:space="preserve"> 2004/74/ES z 29. apríla 2004, ktorou sa mení dopĺňa smernica 2003/96/ES, pokiaľ ide o možnosť pre niektoré členské štáty uplatniť v súvislosti s energetickými produktmi a elektrickou energiou dočasné oslobodenie alebo zníženie miery zdanenia</w:t>
            </w:r>
          </w:p>
          <w:p w:rsidR="00FC2AB3" w:rsidRPr="00EE31D8" w:rsidP="00EF04DB">
            <w:pPr>
              <w:spacing w:after="0"/>
              <w:rPr>
                <w:rFonts w:ascii="Arial Narrow" w:hAnsi="Arial Narrow" w:cs="Arial Narrow"/>
                <w:sz w:val="20"/>
                <w:szCs w:val="24"/>
                <w:lang w:val="sk-SK"/>
              </w:rPr>
            </w:pPr>
          </w:p>
        </w:tc>
        <w:tc>
          <w:tcPr>
            <w:tcW w:w="9779" w:type="dxa"/>
            <w:gridSpan w:val="7"/>
            <w:tcBorders>
              <w:top w:val="single" w:sz="4" w:space="0" w:color="auto"/>
              <w:left w:val="single" w:sz="4" w:space="0" w:color="auto"/>
              <w:bottom w:val="single" w:sz="4" w:space="0" w:color="auto"/>
              <w:right w:val="single" w:sz="4" w:space="0" w:color="auto"/>
            </w:tcBorders>
            <w:textDirection w:val="lrTb"/>
            <w:vAlign w:val="top"/>
          </w:tcPr>
          <w:p w:rsidR="00FC2AB3" w:rsidRPr="00697A13" w:rsidP="00CB4D08">
            <w:pPr>
              <w:pStyle w:val="TABUKA-nadpismal"/>
              <w:jc w:val="both"/>
              <w:rPr>
                <w:rFonts w:ascii="Arial Narrow" w:hAnsi="Arial Narrow" w:cs="Arial Narrow"/>
                <w:sz w:val="20"/>
                <w:szCs w:val="24"/>
                <w:u w:val="single"/>
              </w:rPr>
            </w:pPr>
            <w:r w:rsidRPr="00697A13">
              <w:rPr>
                <w:rFonts w:ascii="Arial Narrow" w:hAnsi="Arial Narrow" w:cs="Arial Narrow"/>
                <w:sz w:val="20"/>
                <w:szCs w:val="24"/>
                <w:u w:val="single"/>
              </w:rPr>
              <w:t>Všeobecne záväzné právne predpisy SR</w:t>
            </w:r>
          </w:p>
          <w:p w:rsidR="00FC2AB3" w:rsidRPr="00697A13" w:rsidP="00CB4D08">
            <w:pPr>
              <w:pStyle w:val="TABUKA-nadpismal"/>
              <w:jc w:val="both"/>
              <w:rPr>
                <w:rFonts w:ascii="Arial Narrow" w:hAnsi="Arial Narrow" w:cs="Arial Narrow"/>
                <w:sz w:val="20"/>
                <w:szCs w:val="24"/>
              </w:rPr>
            </w:pPr>
          </w:p>
          <w:p w:rsidR="00697A13" w:rsidRPr="00697A13" w:rsidP="00CB4D08">
            <w:pPr>
              <w:pStyle w:val="TABUKA-nadpismal"/>
              <w:spacing w:after="120"/>
              <w:jc w:val="both"/>
              <w:rPr>
                <w:rFonts w:ascii="Arial Narrow" w:hAnsi="Arial Narrow" w:cs="Arial Narrow"/>
                <w:sz w:val="20"/>
                <w:szCs w:val="24"/>
              </w:rPr>
            </w:pPr>
            <w:r>
              <w:rPr>
                <w:rFonts w:ascii="Arial Narrow" w:hAnsi="Arial Narrow" w:cs="Arial Narrow"/>
                <w:sz w:val="20"/>
                <w:szCs w:val="24"/>
              </w:rPr>
              <w:t xml:space="preserve">Návrh zákona o spotrebnej dani z elektriny, uhlia a zemného plynu a o zmene a doplnení zákona č. 98/2004 Z.z. o spotrebnej dani z minerálneho oleja v znení neskorších predpisov (ďalej len </w:t>
            </w:r>
            <w:r w:rsidRPr="00697A13">
              <w:rPr>
                <w:rFonts w:ascii="Arial Narrow" w:hAnsi="Arial Narrow" w:cs="Arial Narrow"/>
                <w:sz w:val="20"/>
                <w:szCs w:val="24"/>
                <w:u w:val="single"/>
              </w:rPr>
              <w:t>„návrh zákona</w:t>
            </w:r>
            <w:r w:rsidRPr="00697A13">
              <w:rPr>
                <w:rFonts w:ascii="Arial Narrow" w:hAnsi="Arial Narrow" w:cs="Arial Narrow"/>
                <w:sz w:val="20"/>
                <w:szCs w:val="24"/>
              </w:rPr>
              <w:t>“)</w:t>
            </w:r>
          </w:p>
          <w:p w:rsidR="00FC2AB3" w:rsidRPr="00697A13" w:rsidP="007A4586">
            <w:pPr>
              <w:pStyle w:val="TABUKA-nadpismal"/>
              <w:jc w:val="both"/>
              <w:rPr>
                <w:rFonts w:ascii="Arial Narrow" w:hAnsi="Arial Narrow" w:cs="Arial Narrow"/>
                <w:sz w:val="20"/>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Čl.</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Spôsob transpozície</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Číslo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Článok</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Text</w:t>
            </w:r>
          </w:p>
          <w:p w:rsidR="00FC2AB3" w:rsidRPr="002B25FE">
            <w:pPr>
              <w:pStyle w:val="TABUKA-nadpisstpcov"/>
              <w:rPr>
                <w:rFonts w:ascii="Arial Narrow" w:hAnsi="Arial Narrow" w:cs="Arial Narrow"/>
                <w:sz w:val="18"/>
                <w:szCs w:val="24"/>
              </w:rPr>
            </w:pPr>
          </w:p>
          <w:p w:rsidR="00FC2AB3" w:rsidRPr="002B25FE">
            <w:pPr>
              <w:pStyle w:val="TABUKA-nadpisstpcov"/>
              <w:rPr>
                <w:rFonts w:ascii="Arial Narrow" w:hAnsi="Arial Narrow" w:cs="Arial Narrow"/>
                <w:sz w:val="18"/>
                <w:szCs w:val="24"/>
              </w:rPr>
            </w:pPr>
          </w:p>
          <w:p w:rsidR="00D716AB" w:rsidRPr="002B25FE">
            <w:pPr>
              <w:pStyle w:val="TABUKA-nadpisstpcov"/>
              <w:rPr>
                <w:rFonts w:ascii="Arial Narrow" w:hAnsi="Arial Narrow" w:cs="Arial Narrow"/>
                <w:sz w:val="18"/>
                <w:szCs w:val="24"/>
              </w:rPr>
            </w:pPr>
          </w:p>
          <w:p w:rsidR="00FC2AB3" w:rsidRPr="00D716AB" w:rsidP="00D716AB">
            <w:pPr>
              <w:tabs>
                <w:tab w:val="left" w:pos="3513"/>
              </w:tabs>
              <w:rPr>
                <w:rFonts w:ascii="Times New Roman" w:hAnsi="Times New Roman" w:cs="Times New Roman"/>
                <w:szCs w:val="24"/>
                <w:lang w:val="sk-SK"/>
              </w:rPr>
            </w:pPr>
            <w:r w:rsidR="00D716AB">
              <w:rPr>
                <w:rFonts w:ascii="Times New Roman" w:hAnsi="Times New Roman" w:cs="Times New Roman"/>
                <w:szCs w:val="24"/>
                <w:lang w:val="sk-SK"/>
              </w:rPr>
              <w:tab/>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Zhoda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Administratívna infraštruktúra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Poznámky</w:t>
            </w: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Štádium legislatívneho procesu</w:t>
            </w: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rsidP="008B5520">
            <w:pPr>
              <w:pStyle w:val="TABUKA-textsmernice"/>
              <w:jc w:val="left"/>
              <w:rPr>
                <w:rFonts w:ascii="Arial Narrow" w:hAnsi="Arial Narrow" w:cs="Arial Narrow"/>
                <w:sz w:val="18"/>
                <w:szCs w:val="24"/>
              </w:rPr>
            </w:pPr>
            <w:r>
              <w:rPr>
                <w:rFonts w:ascii="Arial Narrow" w:hAnsi="Arial Narrow" w:cs="Arial Narrow"/>
                <w:sz w:val="18"/>
                <w:szCs w:val="24"/>
              </w:rPr>
              <w:t>Čl. 1 bod 1</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8B5520" w:rsidRPr="008B5520" w:rsidP="008B5520">
            <w:pPr>
              <w:autoSpaceDE w:val="0"/>
              <w:autoSpaceDN w:val="0"/>
              <w:adjustRightInd w:val="0"/>
              <w:spacing w:after="0"/>
              <w:rPr>
                <w:rFonts w:ascii="Arial Narrow" w:hAnsi="Arial Narrow" w:cs="Arial Narrow"/>
                <w:b/>
                <w:sz w:val="18"/>
                <w:szCs w:val="24"/>
                <w:u w:val="single"/>
                <w:lang w:val="sk-SK" w:eastAsia="sk-SK"/>
              </w:rPr>
            </w:pPr>
            <w:r w:rsidRPr="008B5520">
              <w:rPr>
                <w:rFonts w:ascii="Arial Narrow" w:hAnsi="Arial Narrow" w:cs="Arial Narrow"/>
                <w:b/>
                <w:sz w:val="18"/>
                <w:szCs w:val="24"/>
                <w:u w:val="single"/>
                <w:lang w:val="sk-SK" w:eastAsia="sk-SK"/>
              </w:rPr>
              <w:t>Smernica 2003/96/ES sa týmto mení a dopĺňa takto:</w:t>
            </w:r>
          </w:p>
          <w:p w:rsidR="008B5520" w:rsidRPr="008B5520" w:rsidP="008B5520">
            <w:pPr>
              <w:autoSpaceDE w:val="0"/>
              <w:autoSpaceDN w:val="0"/>
              <w:adjustRightInd w:val="0"/>
              <w:spacing w:after="0"/>
              <w:rPr>
                <w:rFonts w:ascii="Arial Narrow" w:hAnsi="Arial Narrow" w:cs="Arial Narrow"/>
                <w:sz w:val="18"/>
                <w:szCs w:val="24"/>
                <w:lang w:val="sk-SK" w:eastAsia="sk-SK"/>
              </w:rPr>
            </w:pPr>
          </w:p>
          <w:p w:rsidR="008B5520" w:rsidRPr="008B5520" w:rsidP="008B5520">
            <w:pPr>
              <w:autoSpaceDE w:val="0"/>
              <w:autoSpaceDN w:val="0"/>
              <w:adjustRightInd w:val="0"/>
              <w:spacing w:after="0"/>
              <w:rPr>
                <w:rFonts w:ascii="Arial Narrow" w:hAnsi="Arial Narrow" w:cs="Arial Narrow"/>
                <w:sz w:val="18"/>
                <w:szCs w:val="24"/>
                <w:u w:val="single"/>
                <w:lang w:val="sk-SK" w:eastAsia="sk-SK"/>
              </w:rPr>
            </w:pPr>
            <w:r w:rsidRPr="008B5520">
              <w:rPr>
                <w:rFonts w:ascii="Arial Narrow" w:hAnsi="Arial Narrow" w:cs="Arial Narrow"/>
                <w:sz w:val="18"/>
                <w:szCs w:val="24"/>
                <w:u w:val="single"/>
                <w:lang w:val="sk-SK" w:eastAsia="sk-SK"/>
              </w:rPr>
              <w:t>1. Článok 18 sa týmto mení a dopĺňa takto:</w:t>
            </w:r>
          </w:p>
          <w:p w:rsidR="008B5520" w:rsidRPr="008B5520" w:rsidP="008B5520">
            <w:pPr>
              <w:autoSpaceDE w:val="0"/>
              <w:autoSpaceDN w:val="0"/>
              <w:adjustRightInd w:val="0"/>
              <w:spacing w:after="0"/>
              <w:rPr>
                <w:rFonts w:ascii="Arial Narrow" w:hAnsi="Arial Narrow" w:cs="Arial Narrow"/>
                <w:sz w:val="18"/>
                <w:szCs w:val="24"/>
                <w:lang w:val="sk-SK" w:eastAsia="sk-SK"/>
              </w:rPr>
            </w:pPr>
          </w:p>
          <w:p w:rsidR="008B5520" w:rsidRPr="008B5520" w:rsidP="008B5520">
            <w:pPr>
              <w:autoSpaceDE w:val="0"/>
              <w:autoSpaceDN w:val="0"/>
              <w:adjustRightInd w:val="0"/>
              <w:spacing w:after="0"/>
              <w:rPr>
                <w:rFonts w:ascii="Arial Narrow" w:hAnsi="Arial Narrow" w:cs="Arial Narrow"/>
                <w:sz w:val="18"/>
                <w:szCs w:val="24"/>
                <w:lang w:val="sk-SK" w:eastAsia="sk-SK"/>
              </w:rPr>
            </w:pPr>
            <w:r w:rsidRPr="008B5520">
              <w:rPr>
                <w:rFonts w:ascii="Arial Narrow" w:hAnsi="Arial Narrow" w:cs="Arial Narrow"/>
                <w:sz w:val="18"/>
                <w:szCs w:val="24"/>
                <w:lang w:val="sk-SK" w:eastAsia="sk-SK"/>
              </w:rPr>
              <w:t>a) v odseku 1 sa prvý pododsek nahrádza takto: „Odchylne od ustanovení tejto smernice je členským štátom uvedeným v prílohe povolené ďalej uplatňovať zníženia úrovní zdanenia alebo oslobodenia stanovené v tejto prílohe“;</w:t>
            </w:r>
          </w:p>
          <w:p w:rsidR="008B5520" w:rsidRPr="008B5520" w:rsidP="008B5520">
            <w:pPr>
              <w:autoSpaceDE w:val="0"/>
              <w:autoSpaceDN w:val="0"/>
              <w:adjustRightInd w:val="0"/>
              <w:spacing w:after="0"/>
              <w:rPr>
                <w:rFonts w:ascii="Arial Narrow" w:hAnsi="Arial Narrow" w:cs="Arial Narrow"/>
                <w:sz w:val="18"/>
                <w:szCs w:val="24"/>
                <w:lang w:val="sk-SK" w:eastAsia="sk-SK"/>
              </w:rPr>
            </w:pPr>
          </w:p>
          <w:p w:rsidR="008B5520" w:rsidRPr="008B5520" w:rsidP="008B5520">
            <w:pPr>
              <w:autoSpaceDE w:val="0"/>
              <w:autoSpaceDN w:val="0"/>
              <w:adjustRightInd w:val="0"/>
              <w:spacing w:after="0"/>
              <w:rPr>
                <w:rFonts w:ascii="Arial Narrow" w:hAnsi="Arial Narrow" w:cs="Arial Narrow"/>
                <w:sz w:val="18"/>
                <w:szCs w:val="24"/>
                <w:lang w:val="sk-SK" w:eastAsia="sk-SK"/>
              </w:rPr>
            </w:pPr>
            <w:r w:rsidRPr="008B5520">
              <w:rPr>
                <w:rFonts w:ascii="Arial Narrow" w:hAnsi="Arial Narrow" w:cs="Arial Narrow"/>
                <w:sz w:val="18"/>
                <w:szCs w:val="24"/>
                <w:lang w:val="sk-SK" w:eastAsia="sk-SK"/>
              </w:rPr>
              <w:t>b) v odseku 2 sa text „v odsekoch 3 až 12“ nahrádza textom „v odsekoch 3 až 13“;</w:t>
            </w:r>
          </w:p>
          <w:p w:rsidR="008B5520" w:rsidRPr="008B5520" w:rsidP="008B5520">
            <w:pPr>
              <w:autoSpaceDE w:val="0"/>
              <w:autoSpaceDN w:val="0"/>
              <w:adjustRightInd w:val="0"/>
              <w:spacing w:after="0"/>
              <w:rPr>
                <w:rFonts w:ascii="Arial Narrow" w:hAnsi="Arial Narrow" w:cs="Arial Narrow"/>
                <w:sz w:val="18"/>
                <w:szCs w:val="24"/>
                <w:lang w:val="sk-SK" w:eastAsia="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102FC5">
              <w:rPr>
                <w:rFonts w:ascii="Arial Narrow" w:hAnsi="Arial Narrow" w:cs="Arial Narrow"/>
                <w:sz w:val="18"/>
                <w:szCs w:val="24"/>
              </w:rPr>
              <w:t>D</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rsidP="00614BE8">
            <w:pPr>
              <w:pStyle w:val="TABUKA-textsmernice"/>
              <w:jc w:val="left"/>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102FC5">
              <w:rPr>
                <w:rFonts w:ascii="Arial Narrow" w:hAnsi="Arial Narrow" w:cs="Arial Narrow"/>
                <w:sz w:val="18"/>
                <w:szCs w:val="24"/>
              </w:rPr>
              <w:t>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rsidP="008B5520">
            <w:pPr>
              <w:pStyle w:val="TABUKA-textsmernice"/>
              <w:jc w:val="left"/>
              <w:rPr>
                <w:rFonts w:ascii="Arial Narrow" w:hAnsi="Arial Narrow" w:cs="Arial Narrow"/>
                <w:sz w:val="18"/>
                <w:szCs w:val="24"/>
              </w:rPr>
            </w:pPr>
            <w:r w:rsidRPr="008834AA">
              <w:rPr>
                <w:rFonts w:ascii="Arial Narrow" w:hAnsi="Arial Narrow" w:cs="Arial Narrow"/>
                <w:sz w:val="18"/>
                <w:szCs w:val="24"/>
              </w:rPr>
              <w:t>Čl. 1</w:t>
            </w:r>
            <w:r>
              <w:rPr>
                <w:rFonts w:ascii="Arial Narrow" w:hAnsi="Arial Narrow" w:cs="Arial Narrow"/>
                <w:sz w:val="18"/>
                <w:szCs w:val="24"/>
              </w:rPr>
              <w:t xml:space="preserve"> bod 2</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8B5520" w:rsidRPr="00D716AB" w:rsidP="008B5520">
            <w:pPr>
              <w:spacing w:after="0"/>
              <w:rPr>
                <w:rFonts w:ascii="Arial Narrow" w:hAnsi="Arial Narrow" w:cs="Arial Narrow"/>
                <w:sz w:val="18"/>
                <w:szCs w:val="24"/>
                <w:u w:val="single"/>
                <w:lang w:val="pt-PT"/>
              </w:rPr>
            </w:pPr>
            <w:r w:rsidRPr="00D716AB">
              <w:rPr>
                <w:rFonts w:ascii="Arial Narrow" w:hAnsi="Arial Narrow" w:cs="Arial Narrow"/>
                <w:sz w:val="18"/>
                <w:szCs w:val="24"/>
                <w:u w:val="single"/>
                <w:lang w:val="pt-PT"/>
              </w:rPr>
              <w:t>2. Vkladá sa tento článok:</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b/>
                <w:sz w:val="18"/>
                <w:szCs w:val="24"/>
                <w:lang w:val="pt-PT"/>
              </w:rPr>
            </w:pPr>
            <w:r w:rsidRPr="00D716AB">
              <w:rPr>
                <w:rFonts w:ascii="Arial Narrow" w:hAnsi="Arial Narrow" w:cs="Arial Narrow"/>
                <w:b/>
                <w:i/>
                <w:sz w:val="18"/>
                <w:szCs w:val="24"/>
                <w:lang w:val="pt-PT"/>
              </w:rPr>
              <w:t>Článok 18a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1.</w:t>
              <w:tab/>
              <w:t>Odchylne od ustanovení tejto smernice je členským štátom uvedeným v prílohe povolené ďalej uplatňovať zníženia úrovní zdanenia alebo oslobodenia stanovené v tejto prílohe.</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Po predchádzajúcom preskúmaní Radou na základe návrhu Komisie sa platnosť tohto povolenia skončí 31. decembra 2006 alebo v deň stanovený v prílohe III.</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2.</w:t>
              <w:tab/>
              <w:t>Napriek obdobiam stanoveným v odsekoch 3 až 11 a za predpokladu, že to významne neporuší hospodársku súťaž, je členským štátom, ktoré majú ťažkosti so zavádzaním nových minimálnych sadzieb zdanenia, povolené prechodné obdobie do 1. januára 2007, najmä s cieľom vyhnúť sa ohrozeniu stability cien.</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3.</w:t>
              <w:tab/>
              <w:t xml:space="preserve">Česká republika môže uplatňovať úplné alebo čiastočné oslobodenia alebo zníženia miery zdanenia elektrickej energie, tuhých palív a zemného plynu do 1. januára 2008. </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4.</w:t>
              <w:tab/>
              <w:t>Estónska republika môže do 1. januára 2010 uplatňovať prechodné obdobie na prispôsobenie vnútroštátnej miery zdanenia plynového oleja používaného ako palivo na novú minimálnu úroveň 330 EUR za 1 000 litrov. Miera zdanenia plynového oleja používaného ako palivo však nesmie byť od 1. mája 2004 nižšia ako 245 EUR za 1 000 litrov.</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Estónska republika môže do 1. januára 2010 uplatňovať prechodné obdobie na prispôsobenie vnútroštátnej miery zdanenia bezolovnatého benzínu používaného ako palivo na novú minimálnu úroveň 359 EUR za 1 000 litrov. Miera zdanenia bezolovnatého benzínu používaného ako palivo nesmie byť od 1. mája 2004 nižšia ako 287 EUR za 1 000 litrov.</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Estónska republika môže do 1. januára 2009 uplatňovať úplné oslobodenie od zdanenia roponosnej bridlice. Do 1. januára 2013 môže naviac uplatňovať zníženú úroveň zdanenia roponosnej bridlice za predpokladu, že to od 1. januára 2011 nespôsobí zdanenie nižšie ako 50 % príslušnej minimálnej sadzby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Estónska republika môže do 1. januára 2010 uplatňovať prechodné obdobie na prispôsobenie vnútroštátnej miery zdanenia roponosnej bridlice, používanej na účely diaľkového vykurovania, minimálnej miere zdanenia.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Estónska republika môže do 1. januára 2010 uplatňovať prechodné obdobie na zmenu súčasného vstupného systému zdanenia elektrickej energie na výstupný systém zdanenia elektrickej energie.</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5.</w:t>
              <w:tab/>
              <w:t>Lotyšská republika môže do 1. januára 2011 uplatňovať prechodné obdobie na prispôsobenie vnútroštátnej miery zdanenia plynového oleja a kerozínu používaného ako palivo na novú minimálnu úroveň 302 EUR za 1 000 litrov a na dosiahnutie úrovne 330 EUR do 1. januára 2013. Miera zdanenia plynového oleja a kerozínu však nesmie byť od 1. mája 2004 nižšia ako 245 EUR za 1 000 litrov a ako 274 EUR za 1 000 litrov od 1.januára 2008.</w:t>
            </w: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ab/>
            </w: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Lotyšská republika môže do 1. januára 2011 uplatňovať prechodné obdobie na prispôsobenie vnútroštátnej miery zdanenia bezolovnatého benzínu používaného ako palivo na novú minimálnu úroveň 359 EUR za 1 000 litrov. Miera zdanenia bezolovnatého benzínu však nesmie byť od 1. mája 2004 nižšia ako 287 EUR za 1 000 litrov a ako 323 EUR za 1 000 litrov od 1.januára 2008.</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Lotyšská republika môže do 1. januára 2010 uplatňovať prechodné obdobie na prispôsobenie vnútroštátnej miery zdanenia ťažkých palív používaných na účely diaľkového vykurovania minimálnej miere zdanenia.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Lotyšská republika môže do 1. januára 2010 uplatňovať prechodné obdobie na prispôsobenie vnútroštátnej miery zdanenia elektrickej energie minimálnej miere zdanenia. Miera zdanenia elektrickej energie však nesmie byť od 1. januára 2007 nižšia ako 50 % príslušných sadzieb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Lotyšská republika môže do 1. januára 2010 uplatňovať prechodné obdobie na prispôsobenie vnútroštátnej miery zdanenia uhlia a koksu minimálnej miere zdanenia. Miera zdanenia uhlia a koksu však nesmie byť od 1. januára 2007 nižšia ako 50 % príslušných sadzieb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6.</w:t>
              <w:tab/>
              <w:t>Litovská republika môže do 1. januára 2011 uplatňovať prechodné obdobie na prispôsobenie vnútroštátnej miery zdanenia plynového oleja a kerozínu používaného ako palivo na novú minimálnu úroveň 302 EUR za 1 000 litrov a na dosiahnutie úrovne 330 EUR do 1. januára 2013. Miera zdanenia plynového oleja a kerozínu však nesmie byť od 1. mája 2004 nižšia ako 245 EUR za 1 000 litrov a ako 274 EUR za 1 000 litrov od 1.januára 2008.</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Litovská republika môže do 1. januára 2011 uplatňovať prechodné obdobie na prispôsobenie vnútroštátnej miery zdanenia bezolovnatého benzínu používaného ako palivo na novú minimálnu úroveň 359 EUR za 1 000 litrov. Miera zdanenia bezolovnatého benzínu však nesmie byť od 1. mája 2004 nižšia ako 287 EUR za 1 000 litrov a ako 323 EUR za 1 000 litrov od 1.januára 2008.</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7.</w:t>
              <w:tab/>
              <w:t>Maďarská republika môže do 1. januára 2010 uplatňovať prechodné obdobie na prispôsobenie vnútroštátnej miery zdanenia elektrickej energie, zemného plynu, uhlia a koksu, používaných na účely diaľkového vykurovania príslušným minimálnym mieram zdanenia.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8.</w:t>
              <w:tab/>
              <w:t>Maltská republika môže do 1. januára 2010 uplatňovať prechodné obdobie na prispôsobenie vnútroštátnej miery zdanenia elektrickej energie minimálnej miere zdanenia. Miera zdanenia elektrickej energie však nesmie byť od 1. januára 2007 nižšia ako 50 % príslušných sadzieb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Maltská republika môže do 1. januára 2010 uplatňovať prechodné obdobie na prispôsobenie vnútroštátnej miery zdanenia plynového oleja a kerozínu používaného ako palivo na novú minimálnu úroveň 330 EUR za 1 000 litrov. Miera zdanenia plynového oleja a kerozínu však nesmie byť od 1. mája 2004 nižšia ako 245 EUR za 1 000 litrov.</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Maltská republika môže do 1. januára 2010 uplatňovať prechodné obdobie na prispôsobenie vnútroštátnej miery zdanenia bezolovnatého a olovnatého benzínu používaného ako palivo na príslušné minimálne úrovne zdanenia. Miery zdanenia bezolovnatého a olovnatého benzínu však nesmú byť od 1. mája 2004 nižšie ako 287 EUR za 1 000 litrov 337 EUR za 1 000 litrov.</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Maltská republika môže do 1. januára 2010 uplatňovať prechodné obdobie na prispôsobenie vnútroštátnej miery zdanenia zemného plynu používaného na vykurovanie minimálnej miere zdanenia. Skutočné daňové sadzby uplatňované na zemný plyn však nemôžu byť od 1. januára 2007 nižšie ako 50 % príslušných sadzieb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Maltská republika môže do 1. januára 2009 uplatňovať prechodné obdobie na prispôsobenie vnútroštátnej miery zdanenia tuhých palív príslušným minimálnym mieram zdanenia. Skutočné daňové sadzby uplatňované na príslušné energetické produkty však nemôžu byť od 1. januára 2007 nižšie ako 50 % príslušných sadzieb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9.</w:t>
              <w:tab/>
              <w:t>Poľská republika môže do 1. januára 2009 uplatňovať prechodné obdobie na prispôsobenie vnútroštátnej miery zdanenia bezolovnatého benzínu používaného ako palivo na novú minimálnu úroveň 359 EUR za 1 000 litrov. Miera zdanenia bezolovnatého benzínu používaného ako palivo nesmie byť od 1. mája 2004 nižšia ako 287 EUR za 1 000 litrov.</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Poľská republika môže do 1. januára 2010 uplatňovať prechodné obdobie na prispôsobenie vnútroštátnej miery zdanenia plynového oleja a kerozínu používaného ako palivo na novú minimálnu úroveň 302 EUR za 1 000 litrov a na dosiahnutie úrovne 330 EUR do 1. januára 2013. Miera zdanenia plynového oleja a kerozínu však nesmie byť od 1. mája 2004 nižšia ako 245 EUR za 1 000 litrov a ako 274 EUR za 1 000 litrov od 1.januára 2008.</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Poľská republika môže do 1. januára 2008 uplatňovať prechodné obdobie na prispôsobenie vnútroštátnej miery zdanenia olejov ťažkých palív novej minimálnej sadzbe 15 EUR za 1 000 kg. Miera zdanenia olejov ťažkých palív však od 1. mája 2004 nesmie byť nižšia ako 13 EUR za 1 000 kg.</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Poľská republika môže do 1. januára 2012 uplatňovať prechodné obdobie na prispôsobenie vnútroštátnej miery zdanenia uhlia a koksu používaných na účely diaľkového vykurovania príslušným minimálnym mieram zdanenia.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Poľská republika môže do 1. januára 2012 uplatňovať prechodné obdobie na prispôsobenie vnútroštátnej miery zdanenia uhlia a koksu používaných na účely iného ako diaľkového vykurovania príslušným minimálnym mieram zdanenia.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Poľská republika môže do 1. januára 2008 uplatňovať úplné alebo čiastočné oslobodenie pre plynový olej používaný na vykurovanie školami, materskými školami a inými verejnými službami v súvislosti s činnosťami alebo transakciami, na ktorých sa podieľajú ako verejné orgány.</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Poľská republika môže do 1. januára 2006 uplatňovať prechodné obdobie na zosúladenie systému zdaňovania elektrickej energie s rámcom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10.</w:t>
              <w:tab/>
              <w:t>Slovinská republika môže, na základe fiškálnej kontroly, uplatňovať úplné alebo čiastočné oslobodenie alebo zníženie miery zdanenia zemného plynu. Úplné alebo čiastočné oslobodenie alebo zníženie sa môže uplatňovať do mája 2014, alebo kým podiel zemného plynu na celkovej vnútroštátnej spotrebe energie nedosiahne 25 %, podľa toho, čo nastane skôr. Keď však podiel zemného plynu na celkovej vnútroštátnej spotrebe energie dosiahne 20 %, uplatní prísne pozitívnu mieru zdanenie, ktorá sa bude každoročne zvyšovať, aby sa do konca vyššieuvedeného obdobia dosiahla aspoň minimálna miera.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11.</w:t>
              <w:tab/>
            </w:r>
            <w:r w:rsidRPr="00D716AB">
              <w:rPr>
                <w:rFonts w:ascii="Arial Narrow" w:hAnsi="Arial Narrow" w:cs="Arial Narrow"/>
                <w:b/>
                <w:sz w:val="18"/>
                <w:szCs w:val="24"/>
                <w:lang w:val="pt-PT"/>
              </w:rPr>
              <w:t>Slovenská republika</w:t>
            </w:r>
            <w:r w:rsidRPr="00D716AB">
              <w:rPr>
                <w:rFonts w:ascii="Arial Narrow" w:hAnsi="Arial Narrow" w:cs="Arial Narrow"/>
                <w:sz w:val="18"/>
                <w:szCs w:val="24"/>
                <w:lang w:val="pt-PT"/>
              </w:rPr>
              <w:t xml:space="preserve"> môže do 1. januára 2010 uplatňovať prechodné obdobie na prispôsobenie vnútroštátnej miery zdanenia elektrickej energie a zemného plynu používaného ako palivo príslušným minimálnym mieram zdanenia. Miera zdanenia elektrickej energie a zemného plynu používaného ako palivo však nesmie byť od 1. januára 2007 nižšia ako 50 % príslušných sadzieb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b/>
                <w:sz w:val="18"/>
                <w:szCs w:val="24"/>
                <w:lang w:val="pt-PT"/>
              </w:rPr>
              <w:t>Slovenská republika</w:t>
            </w:r>
            <w:r w:rsidRPr="00D716AB">
              <w:rPr>
                <w:rFonts w:ascii="Arial Narrow" w:hAnsi="Arial Narrow" w:cs="Arial Narrow"/>
                <w:sz w:val="18"/>
                <w:szCs w:val="24"/>
                <w:lang w:val="pt-PT"/>
              </w:rPr>
              <w:t xml:space="preserve"> môže do 1. januára 2009 uplatňovať prechodné obdobie na prispôsobenie vnútroštátnej miery zdanenia tuhých palív príslušným minimálnym mieram zdanenia. Miera zdanenia tuhých palív však nesmie byť od 1. januára 2007 nižšia ako 50 % príslušných sadzieb spoločenstva.</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12.</w:t>
              <w:tab/>
              <w:t>V rámci stanovených prechodných období členské štáty postupne znižujú svoje rozdiely vzhľadom na nové minimálne miery zdanenia. Avšak, tam kde rozdiel medzi vnútroštátnou sadzbou a minimálnou sadzbou nepresahuje 3 % tej minimálnej sadzby, môže príslušný členský štát s prispôsobením svojej vnútroštátnej sadzby počkať do konca obdobia.“</w:t>
            </w:r>
          </w:p>
          <w:p w:rsidR="008B5520" w:rsidRPr="00D716AB" w:rsidP="008B5520">
            <w:pPr>
              <w:spacing w:after="0"/>
              <w:rPr>
                <w:rFonts w:ascii="Arial Narrow" w:hAnsi="Arial Narrow" w:cs="Arial Narrow"/>
                <w:sz w:val="18"/>
                <w:szCs w:val="24"/>
                <w:lang w:val="pt-PT"/>
              </w:rPr>
            </w:pPr>
          </w:p>
          <w:p w:rsidR="008B5520" w:rsidRPr="008B5520" w:rsidP="008B5520">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pPr>
              <w:pStyle w:val="TABUKA-textsmernice"/>
              <w:rPr>
                <w:rFonts w:ascii="Arial Narrow" w:hAnsi="Arial Narrow" w:cs="Arial Narrow"/>
                <w:sz w:val="18"/>
                <w:szCs w:val="24"/>
              </w:rPr>
            </w:pPr>
            <w:r w:rsidR="00A01A39">
              <w:rPr>
                <w:rFonts w:ascii="Arial Narrow" w:hAnsi="Arial Narrow" w:cs="Arial Narrow"/>
                <w:sz w:val="18"/>
                <w:szCs w:val="24"/>
              </w:rPr>
              <w:t>N</w:t>
            </w: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r>
              <w:rPr>
                <w:rFonts w:ascii="Arial Narrow" w:hAnsi="Arial Narrow" w:cs="Arial Narrow"/>
                <w:sz w:val="18"/>
                <w:szCs w:val="24"/>
              </w:rPr>
              <w:t>N</w:t>
            </w: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r>
              <w:rPr>
                <w:rFonts w:ascii="Arial Narrow" w:hAnsi="Arial Narrow" w:cs="Arial Narrow"/>
                <w:sz w:val="18"/>
                <w:szCs w:val="24"/>
              </w:rPr>
              <w:t>N</w:t>
            </w:r>
          </w:p>
          <w:p w:rsidR="00A01A39">
            <w:pPr>
              <w:pStyle w:val="TABUKA-textsmernice"/>
              <w:rPr>
                <w:rFonts w:ascii="Arial Narrow" w:hAnsi="Arial Narrow" w:cs="Arial Narrow"/>
                <w:sz w:val="18"/>
                <w:szCs w:val="24"/>
              </w:rPr>
            </w:pPr>
          </w:p>
          <w:p w:rsidR="00A01A39"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rsidP="00614BE8">
            <w:pPr>
              <w:pStyle w:val="TABUKA-textsmernice"/>
              <w:jc w:val="left"/>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pPr>
              <w:pStyle w:val="TABUKA-textsmernice"/>
              <w:rPr>
                <w:rFonts w:ascii="Arial Narrow" w:hAnsi="Arial Narrow" w:cs="Arial Narrow"/>
                <w:sz w:val="18"/>
                <w:szCs w:val="24"/>
              </w:rPr>
            </w:pPr>
            <w:r w:rsidR="00A01A39">
              <w:rPr>
                <w:rFonts w:ascii="Arial Narrow" w:hAnsi="Arial Narrow" w:cs="Arial Narrow"/>
                <w:sz w:val="18"/>
                <w:szCs w:val="24"/>
              </w:rPr>
              <w:t>Č</w:t>
            </w: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r>
              <w:rPr>
                <w:rFonts w:ascii="Arial Narrow" w:hAnsi="Arial Narrow" w:cs="Arial Narrow"/>
                <w:sz w:val="18"/>
                <w:szCs w:val="24"/>
              </w:rPr>
              <w:t>Ć</w:t>
            </w: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p>
          <w:p w:rsidR="00A01A39">
            <w:pPr>
              <w:pStyle w:val="TABUKA-textsmernice"/>
              <w:rPr>
                <w:rFonts w:ascii="Arial Narrow" w:hAnsi="Arial Narrow" w:cs="Arial Narrow"/>
                <w:sz w:val="18"/>
                <w:szCs w:val="24"/>
              </w:rPr>
            </w:pPr>
            <w:r>
              <w:rPr>
                <w:rFonts w:ascii="Arial Narrow" w:hAnsi="Arial Narrow" w:cs="Arial Narrow"/>
                <w:sz w:val="18"/>
                <w:szCs w:val="24"/>
              </w:rPr>
              <w:t>Č</w:t>
            </w:r>
          </w:p>
          <w:p w:rsidR="00A01A39">
            <w:pPr>
              <w:pStyle w:val="TABUKA-textsmernice"/>
              <w:rPr>
                <w:rFonts w:ascii="Arial Narrow" w:hAnsi="Arial Narrow" w:cs="Arial Narrow"/>
                <w:sz w:val="18"/>
                <w:szCs w:val="24"/>
              </w:rPr>
            </w:pPr>
          </w:p>
          <w:p w:rsidR="00A01A39"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5520">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pPr>
              <w:pStyle w:val="TABUKA-textsmernice"/>
              <w:rPr>
                <w:rFonts w:ascii="Arial Narrow" w:hAnsi="Arial Narrow" w:cs="Arial Narrow"/>
                <w:sz w:val="18"/>
                <w:szCs w:val="24"/>
              </w:rPr>
            </w:pPr>
          </w:p>
          <w:p w:rsidR="00102FC5" w:rsidRPr="00102FC5">
            <w:pPr>
              <w:pStyle w:val="TABUKA-textsmernice"/>
              <w:rPr>
                <w:rFonts w:ascii="Arial Narrow" w:hAnsi="Arial Narrow" w:cs="Arial Narrow"/>
                <w:sz w:val="18"/>
                <w:szCs w:val="24"/>
              </w:rPr>
            </w:pPr>
          </w:p>
          <w:p w:rsidR="00102FC5" w:rsidRPr="00102FC5" w:rsidP="00102FC5">
            <w:pPr>
              <w:pStyle w:val="TABUKA-textsmernice"/>
              <w:jc w:val="left"/>
              <w:rPr>
                <w:rFonts w:ascii="Arial Narrow" w:hAnsi="Arial Narrow" w:cs="Arial Narrow"/>
                <w:sz w:val="18"/>
                <w:szCs w:val="24"/>
              </w:rPr>
            </w:pPr>
            <w:r w:rsidRPr="00102FC5">
              <w:rPr>
                <w:rFonts w:ascii="Arial Narrow" w:hAnsi="Arial Narrow" w:cs="Arial Narrow"/>
                <w:sz w:val="18"/>
                <w:szCs w:val="24"/>
              </w:rPr>
              <w:t>SR uplatňuje prechodné obdobie poskytnuté touto smernicou.</w:t>
            </w:r>
          </w:p>
          <w:p w:rsidR="00102FC5" w:rsidRPr="00102FC5">
            <w:pPr>
              <w:pStyle w:val="TABUKA-textsmernice"/>
              <w:rPr>
                <w:rFonts w:ascii="Arial Narrow" w:hAnsi="Arial Narrow" w:cs="Arial Narrow"/>
                <w:sz w:val="18"/>
                <w:szCs w:val="24"/>
              </w:rPr>
            </w:pPr>
          </w:p>
          <w:p w:rsidR="00102FC5" w:rsidRPr="00102FC5">
            <w:pPr>
              <w:pStyle w:val="TABUKA-textsmernice"/>
              <w:rPr>
                <w:rFonts w:ascii="Arial Narrow" w:hAnsi="Arial Narrow" w:cs="Arial Narrow"/>
                <w:sz w:val="18"/>
                <w:szCs w:val="24"/>
              </w:rPr>
            </w:pPr>
          </w:p>
          <w:p w:rsidR="00102FC5"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Pr="008834AA">
              <w:rPr>
                <w:rFonts w:ascii="Arial Narrow" w:hAnsi="Arial Narrow" w:cs="Arial Narrow"/>
                <w:sz w:val="18"/>
                <w:szCs w:val="24"/>
              </w:rPr>
              <w:t>Čl. 2</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8B5520" w:rsidRPr="008B5520" w:rsidP="008B5520">
            <w:pPr>
              <w:autoSpaceDE w:val="0"/>
              <w:autoSpaceDN w:val="0"/>
              <w:adjustRightInd w:val="0"/>
              <w:spacing w:after="0"/>
              <w:rPr>
                <w:rFonts w:ascii="Arial Narrow" w:hAnsi="Arial Narrow" w:cs="Arial Narrow"/>
                <w:sz w:val="18"/>
                <w:szCs w:val="24"/>
                <w:lang w:val="sk-SK" w:eastAsia="sk-SK"/>
              </w:rPr>
            </w:pPr>
            <w:r w:rsidRPr="008B5520">
              <w:rPr>
                <w:rFonts w:ascii="Arial Narrow" w:hAnsi="Arial Narrow" w:cs="Arial Narrow"/>
                <w:sz w:val="18"/>
                <w:szCs w:val="24"/>
                <w:lang w:val="sk-SK" w:eastAsia="sk-SK"/>
              </w:rPr>
              <w:t>1. Členské štáty uvedú do účinnosti zákony, iné právne predpisy</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a správne opatrenia potrebné na dosiahnutie súladu s touto smernicou</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od 1. mája 2004. Bezodkladne oznámia Komisii znenie</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týchto ustanovení spolu s tabuľkou zhody, ktorá uvádza, ako sa</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ustanovenia tejto smernice zhodujú s prijatými vnútroštátnymi</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ustanoveniami.</w:t>
            </w:r>
          </w:p>
          <w:p w:rsidR="00093B76" w:rsidP="008B5520">
            <w:pPr>
              <w:autoSpaceDE w:val="0"/>
              <w:autoSpaceDN w:val="0"/>
              <w:adjustRightInd w:val="0"/>
              <w:spacing w:after="0"/>
              <w:rPr>
                <w:rFonts w:ascii="Arial Narrow" w:hAnsi="Arial Narrow" w:cs="Arial Narrow"/>
                <w:sz w:val="18"/>
                <w:szCs w:val="24"/>
                <w:lang w:val="sk-SK" w:eastAsia="sk-SK"/>
              </w:rPr>
            </w:pPr>
          </w:p>
          <w:p w:rsidR="008B5520" w:rsidRPr="008B5520" w:rsidP="008B5520">
            <w:pPr>
              <w:autoSpaceDE w:val="0"/>
              <w:autoSpaceDN w:val="0"/>
              <w:adjustRightInd w:val="0"/>
              <w:spacing w:after="0"/>
              <w:rPr>
                <w:rFonts w:ascii="Arial Narrow" w:hAnsi="Arial Narrow" w:cs="Arial Narrow"/>
                <w:sz w:val="18"/>
                <w:szCs w:val="24"/>
                <w:lang w:val="sk-SK" w:eastAsia="sk-SK"/>
              </w:rPr>
            </w:pPr>
            <w:r w:rsidRPr="008B5520">
              <w:rPr>
                <w:rFonts w:ascii="Arial Narrow" w:hAnsi="Arial Narrow" w:cs="Arial Narrow"/>
                <w:sz w:val="18"/>
                <w:szCs w:val="24"/>
                <w:lang w:val="sk-SK" w:eastAsia="sk-SK"/>
              </w:rPr>
              <w:t>Členské štáty uvedú priamo v prijatých ustanoveniach alebo pri</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ich úradnom uverejnení odkaz na túto smernicu. Podrobnosti</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o odkaze upravia členské štáty.</w:t>
            </w:r>
          </w:p>
          <w:p w:rsidR="00093B76" w:rsidP="008B5520">
            <w:pPr>
              <w:autoSpaceDE w:val="0"/>
              <w:autoSpaceDN w:val="0"/>
              <w:adjustRightInd w:val="0"/>
              <w:spacing w:after="0"/>
              <w:rPr>
                <w:rFonts w:ascii="Arial Narrow" w:hAnsi="Arial Narrow" w:cs="Arial Narrow"/>
                <w:sz w:val="18"/>
                <w:szCs w:val="24"/>
                <w:lang w:val="sk-SK" w:eastAsia="sk-SK"/>
              </w:rPr>
            </w:pPr>
          </w:p>
          <w:p w:rsidR="008B5520" w:rsidRPr="008B5520" w:rsidP="008B5520">
            <w:pPr>
              <w:autoSpaceDE w:val="0"/>
              <w:autoSpaceDN w:val="0"/>
              <w:adjustRightInd w:val="0"/>
              <w:spacing w:after="0"/>
              <w:rPr>
                <w:rFonts w:ascii="Arial Narrow" w:hAnsi="Arial Narrow" w:cs="Arial Narrow"/>
                <w:sz w:val="18"/>
                <w:szCs w:val="24"/>
                <w:lang w:val="sk-SK" w:eastAsia="sk-SK"/>
              </w:rPr>
            </w:pPr>
            <w:r w:rsidRPr="008B5520">
              <w:rPr>
                <w:rFonts w:ascii="Arial Narrow" w:hAnsi="Arial Narrow" w:cs="Arial Narrow"/>
                <w:sz w:val="18"/>
                <w:szCs w:val="24"/>
                <w:lang w:val="sk-SK" w:eastAsia="sk-SK"/>
              </w:rPr>
              <w:t>2. Členské štáty oznámia Komisii znenie hlavných ustanovení</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vnútroštátnych právnych predpisov, ktoré prijmú v oblasti pôsobnosti</w:t>
            </w:r>
            <w:r w:rsidR="00093B76">
              <w:rPr>
                <w:rFonts w:ascii="Arial Narrow" w:hAnsi="Arial Narrow" w:cs="Arial Narrow"/>
                <w:sz w:val="18"/>
                <w:szCs w:val="24"/>
                <w:lang w:val="sk-SK" w:eastAsia="sk-SK"/>
              </w:rPr>
              <w:t xml:space="preserve"> </w:t>
            </w:r>
            <w:r w:rsidRPr="008B5520">
              <w:rPr>
                <w:rFonts w:ascii="Arial Narrow" w:hAnsi="Arial Narrow" w:cs="Arial Narrow"/>
                <w:sz w:val="18"/>
                <w:szCs w:val="24"/>
                <w:lang w:val="sk-SK" w:eastAsia="sk-SK"/>
              </w:rPr>
              <w:t>tejto smernice.</w:t>
            </w:r>
          </w:p>
          <w:p w:rsidR="008B5520" w:rsidRPr="008B5520" w:rsidP="008B5520">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595780">
              <w:rPr>
                <w:rFonts w:ascii="Arial Narrow" w:hAnsi="Arial Narrow" w:cs="Arial Narrow"/>
                <w:sz w:val="18"/>
                <w:szCs w:val="24"/>
              </w:rPr>
              <w:t>N</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B5520" w:rsidRPr="00595780">
            <w:pPr>
              <w:pStyle w:val="TABUKA-textsmernice"/>
              <w:rPr>
                <w:rFonts w:ascii="Arial Narrow" w:hAnsi="Arial Narrow" w:cs="Arial Narrow"/>
                <w:b/>
                <w:sz w:val="18"/>
                <w:szCs w:val="24"/>
              </w:rPr>
            </w:pPr>
            <w:r w:rsidRPr="00595780" w:rsidR="00595780">
              <w:rPr>
                <w:rFonts w:ascii="Arial Narrow" w:hAnsi="Arial Narrow" w:cs="Arial Narrow"/>
                <w:b/>
                <w:sz w:val="18"/>
                <w:szCs w:val="24"/>
              </w:rPr>
              <w:t>Návrh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4C5C42">
              <w:rPr>
                <w:rFonts w:ascii="Arial Narrow" w:hAnsi="Arial Narrow" w:cs="Arial Narrow"/>
                <w:sz w:val="18"/>
                <w:szCs w:val="24"/>
              </w:rPr>
              <w:t>Čl. IV</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C5C42" w:rsidRPr="00595780" w:rsidP="004C5C42">
            <w:pPr>
              <w:pStyle w:val="Zkladntext"/>
              <w:jc w:val="both"/>
              <w:rPr>
                <w:rFonts w:ascii="Arial Narrow" w:hAnsi="Arial Narrow" w:cs="Arial Narrow"/>
                <w:b/>
                <w:sz w:val="18"/>
                <w:szCs w:val="24"/>
              </w:rPr>
            </w:pPr>
            <w:r w:rsidRPr="00595780">
              <w:rPr>
                <w:rFonts w:ascii="Arial Narrow" w:hAnsi="Arial Narrow" w:cs="Arial Narrow"/>
                <w:b/>
                <w:sz w:val="18"/>
                <w:szCs w:val="24"/>
              </w:rPr>
              <w:t>Tento zákon</w:t>
            </w:r>
            <w:r w:rsidR="004C358D">
              <w:rPr>
                <w:rFonts w:ascii="Arial Narrow" w:hAnsi="Arial Narrow" w:cs="Arial Narrow"/>
                <w:b/>
                <w:sz w:val="18"/>
                <w:szCs w:val="24"/>
              </w:rPr>
              <w:t xml:space="preserve"> nadobúda účinnosť 1.  januára 2008</w:t>
            </w:r>
            <w:r w:rsidRPr="00595780">
              <w:rPr>
                <w:rFonts w:ascii="Arial Narrow" w:hAnsi="Arial Narrow" w:cs="Arial Narrow"/>
                <w:b/>
                <w:sz w:val="18"/>
                <w:szCs w:val="24"/>
              </w:rPr>
              <w:t xml:space="preserve">,  okrem  ustanovení čl. I § 1 až 46, čl. II </w:t>
            </w:r>
            <w:r w:rsidR="00E31652">
              <w:rPr>
                <w:rFonts w:ascii="Arial Narrow" w:hAnsi="Arial Narrow" w:cs="Arial Narrow"/>
                <w:b/>
                <w:sz w:val="18"/>
                <w:szCs w:val="24"/>
              </w:rPr>
              <w:t>bodov 1 až 7, 9 až 23</w:t>
            </w:r>
            <w:r w:rsidRPr="00595780">
              <w:rPr>
                <w:rFonts w:ascii="Arial Narrow" w:hAnsi="Arial Narrow" w:cs="Arial Narrow"/>
                <w:b/>
                <w:sz w:val="18"/>
                <w:szCs w:val="24"/>
              </w:rPr>
              <w:t>, ktoré</w:t>
            </w:r>
            <w:r w:rsidR="004C358D">
              <w:rPr>
                <w:rFonts w:ascii="Arial Narrow" w:hAnsi="Arial Narrow" w:cs="Arial Narrow"/>
                <w:b/>
                <w:sz w:val="18"/>
                <w:szCs w:val="24"/>
              </w:rPr>
              <w:t xml:space="preserve"> nadobúdajú účinnosť  1. júla  2008</w:t>
            </w:r>
            <w:r w:rsidRPr="00595780">
              <w:rPr>
                <w:rFonts w:ascii="Arial Narrow" w:hAnsi="Arial Narrow" w:cs="Arial Narrow"/>
                <w:b/>
                <w:sz w:val="18"/>
                <w:szCs w:val="24"/>
              </w:rPr>
              <w:t>.</w:t>
            </w:r>
          </w:p>
          <w:p w:rsidR="008B5520" w:rsidRPr="004C5C42" w:rsidP="00780243">
            <w:pPr>
              <w:pStyle w:val="TABUKA-textsmernice"/>
              <w:tabs>
                <w:tab w:val="left" w:pos="337"/>
              </w:tabs>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595780">
              <w:rPr>
                <w:rFonts w:ascii="Arial Narrow" w:hAnsi="Arial Narrow" w:cs="Arial Narrow"/>
                <w:sz w:val="18"/>
                <w:szCs w:val="24"/>
              </w:rPr>
              <w:t>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5520">
            <w:pPr>
              <w:pStyle w:val="TABUKA-textsmernice"/>
              <w:jc w:val="left"/>
              <w:rPr>
                <w:rFonts w:ascii="Arial Narrow" w:hAnsi="Arial Narrow" w:cs="Arial Narrow"/>
                <w:sz w:val="18"/>
                <w:szCs w:val="24"/>
              </w:rPr>
            </w:pPr>
          </w:p>
          <w:p w:rsidR="004C5C42">
            <w:pPr>
              <w:pStyle w:val="TABUKA-textsmernice"/>
              <w:jc w:val="left"/>
              <w:rPr>
                <w:rFonts w:ascii="Arial Narrow" w:hAnsi="Arial Narrow" w:cs="Arial Narrow"/>
                <w:sz w:val="18"/>
                <w:szCs w:val="24"/>
              </w:rPr>
            </w:pPr>
          </w:p>
          <w:p w:rsidR="004C5C42">
            <w:pPr>
              <w:pStyle w:val="TABUKA-textsmernice"/>
              <w:jc w:val="left"/>
              <w:rPr>
                <w:rFonts w:ascii="Arial Narrow" w:hAnsi="Arial Narrow" w:cs="Arial Narrow"/>
                <w:sz w:val="18"/>
                <w:szCs w:val="24"/>
              </w:rPr>
            </w:pPr>
          </w:p>
          <w:p w:rsidR="004C5C42">
            <w:pPr>
              <w:pStyle w:val="TABUKA-textsmernice"/>
              <w:jc w:val="left"/>
              <w:rPr>
                <w:rFonts w:ascii="Arial Narrow" w:hAnsi="Arial Narrow" w:cs="Arial Narrow"/>
                <w:sz w:val="18"/>
                <w:szCs w:val="24"/>
              </w:rPr>
            </w:pPr>
          </w:p>
          <w:p w:rsidR="004C5C42">
            <w:pPr>
              <w:pStyle w:val="TABUKA-textsmernice"/>
              <w:jc w:val="left"/>
              <w:rPr>
                <w:rFonts w:ascii="Arial Narrow" w:hAnsi="Arial Narrow" w:cs="Arial Narrow"/>
                <w:sz w:val="18"/>
                <w:szCs w:val="24"/>
              </w:rPr>
            </w:pPr>
          </w:p>
          <w:p w:rsidR="004C5C42">
            <w:pPr>
              <w:pStyle w:val="TABUKA-textsmernice"/>
              <w:jc w:val="left"/>
              <w:rPr>
                <w:rFonts w:ascii="Arial Narrow" w:hAnsi="Arial Narrow" w:cs="Arial Narrow"/>
                <w:sz w:val="18"/>
                <w:szCs w:val="24"/>
              </w:rPr>
            </w:pPr>
          </w:p>
          <w:p w:rsidR="004C5C42">
            <w:pPr>
              <w:pStyle w:val="TABUKA-textsmernice"/>
              <w:jc w:val="left"/>
              <w:rPr>
                <w:rFonts w:ascii="Arial Narrow" w:hAnsi="Arial Narrow" w:cs="Arial Narrow"/>
                <w:sz w:val="18"/>
                <w:szCs w:val="24"/>
              </w:rPr>
            </w:pPr>
          </w:p>
          <w:p w:rsidR="004C5C42">
            <w:pPr>
              <w:pStyle w:val="TABUKA-textsmernice"/>
              <w:jc w:val="left"/>
              <w:rPr>
                <w:rFonts w:ascii="Arial Narrow" w:hAnsi="Arial Narrow" w:cs="Arial Narrow"/>
                <w:sz w:val="18"/>
                <w:szCs w:val="24"/>
              </w:rPr>
            </w:pPr>
          </w:p>
          <w:p w:rsidR="004C5C42" w:rsidRPr="004C5C42">
            <w:pPr>
              <w:pStyle w:val="TABUKA-textsmernice"/>
              <w:jc w:val="left"/>
              <w:rPr>
                <w:rFonts w:ascii="Arial Narrow" w:hAnsi="Arial Narrow" w:cs="Arial Narrow"/>
                <w:sz w:val="18"/>
                <w:szCs w:val="24"/>
              </w:rPr>
            </w:pPr>
          </w:p>
          <w:p w:rsidR="004C5C42" w:rsidRPr="004C5C42" w:rsidP="004C5C42">
            <w:pPr>
              <w:pStyle w:val="TABUKA-textsmernice"/>
              <w:rPr>
                <w:rFonts w:ascii="Arial Narrow" w:hAnsi="Arial Narrow" w:cs="Arial Narrow"/>
                <w:sz w:val="18"/>
                <w:szCs w:val="24"/>
              </w:rPr>
            </w:pPr>
            <w:r w:rsidRPr="004C5C42">
              <w:rPr>
                <w:rFonts w:ascii="Arial Narrow" w:hAnsi="Arial Narrow" w:cs="Arial Narrow"/>
                <w:sz w:val="18"/>
                <w:szCs w:val="24"/>
              </w:rPr>
              <w:t>SR informuje Komisiu prostredníctvom notifikácie.</w:t>
            </w:r>
          </w:p>
          <w:p w:rsidR="004C5C42" w:rsidRPr="008834AA">
            <w:pPr>
              <w:pStyle w:val="TABUKA-textsmernice"/>
              <w:jc w:val="left"/>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Pr="008834AA">
              <w:rPr>
                <w:rFonts w:ascii="Arial Narrow" w:hAnsi="Arial Narrow" w:cs="Arial Narrow"/>
                <w:sz w:val="18"/>
                <w:szCs w:val="24"/>
              </w:rPr>
              <w:t>Čl. 3</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8B5520" w:rsidRPr="008B5520" w:rsidP="008B5520">
            <w:pPr>
              <w:autoSpaceDE w:val="0"/>
              <w:autoSpaceDN w:val="0"/>
              <w:adjustRightInd w:val="0"/>
              <w:spacing w:after="0"/>
              <w:rPr>
                <w:rFonts w:ascii="Arial Narrow" w:hAnsi="Arial Narrow" w:cs="Arial Narrow"/>
                <w:sz w:val="18"/>
                <w:szCs w:val="24"/>
                <w:lang w:val="sk-SK" w:eastAsia="sk-SK"/>
              </w:rPr>
            </w:pPr>
            <w:r w:rsidRPr="008B5520">
              <w:rPr>
                <w:rFonts w:ascii="Arial Narrow" w:hAnsi="Arial Narrow" w:cs="Arial Narrow"/>
                <w:sz w:val="18"/>
                <w:szCs w:val="24"/>
                <w:lang w:val="sk-SK" w:eastAsia="sk-SK"/>
              </w:rPr>
              <w:t>Táto smernica nadobúda účinnosť 1. mája 2004.</w:t>
            </w:r>
          </w:p>
          <w:p w:rsidR="008B5520" w:rsidRPr="008B5520" w:rsidP="008B5520">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093B76">
              <w:rPr>
                <w:rFonts w:ascii="Arial Narrow" w:hAnsi="Arial Narrow" w:cs="Arial Narrow"/>
                <w:sz w:val="18"/>
                <w:szCs w:val="24"/>
              </w:rPr>
              <w:t>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093B76">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Pr="008834AA">
              <w:rPr>
                <w:rFonts w:ascii="Arial Narrow" w:hAnsi="Arial Narrow" w:cs="Arial Narrow"/>
                <w:sz w:val="18"/>
                <w:szCs w:val="24"/>
              </w:rPr>
              <w:t>Čl. 4</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8B5520" w:rsidRPr="008B5520" w:rsidP="008B5520">
            <w:pPr>
              <w:autoSpaceDE w:val="0"/>
              <w:autoSpaceDN w:val="0"/>
              <w:adjustRightInd w:val="0"/>
              <w:spacing w:after="0"/>
              <w:rPr>
                <w:rFonts w:ascii="Arial Narrow" w:hAnsi="Arial Narrow" w:cs="Arial Narrow"/>
                <w:sz w:val="18"/>
                <w:szCs w:val="24"/>
                <w:lang w:val="sk-SK" w:eastAsia="sk-SK"/>
              </w:rPr>
            </w:pPr>
            <w:r w:rsidRPr="008B5520">
              <w:rPr>
                <w:rFonts w:ascii="Arial Narrow" w:hAnsi="Arial Narrow" w:cs="Arial Narrow"/>
                <w:sz w:val="18"/>
                <w:szCs w:val="24"/>
                <w:lang w:val="sk-SK" w:eastAsia="sk-SK"/>
              </w:rPr>
              <w:t>Táto smernica je určená členským štátom.</w:t>
            </w:r>
          </w:p>
          <w:p w:rsidR="008B5520" w:rsidRPr="008B5520" w:rsidP="008B5520">
            <w:pPr>
              <w:autoSpaceDE w:val="0"/>
              <w:autoSpaceDN w:val="0"/>
              <w:adjustRightInd w:val="0"/>
              <w:spacing w:after="0"/>
              <w:rPr>
                <w:rFonts w:ascii="Arial Narrow" w:hAnsi="Arial Narrow" w:cs="Arial Narrow"/>
                <w:sz w:val="18"/>
                <w:szCs w:val="24"/>
                <w:lang w:val="sk-SK" w:eastAsia="sk-SK"/>
              </w:rPr>
            </w:pPr>
            <w:r w:rsidRPr="008B5520">
              <w:rPr>
                <w:rFonts w:ascii="Arial Narrow" w:hAnsi="Arial Narrow" w:cs="Arial Narrow"/>
                <w:sz w:val="18"/>
                <w:szCs w:val="24"/>
                <w:lang w:val="sk-SK" w:eastAsia="sk-SK"/>
              </w:rPr>
              <w:t>V Luxemburgu 29. apríla 2004</w:t>
            </w:r>
          </w:p>
          <w:p w:rsidR="008B5520" w:rsidRPr="008B5520" w:rsidP="008B5520">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093B76">
              <w:rPr>
                <w:rFonts w:ascii="Arial Narrow" w:hAnsi="Arial Narrow" w:cs="Arial Narrow"/>
                <w:sz w:val="18"/>
                <w:szCs w:val="24"/>
              </w:rPr>
              <w:t>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B5520" w:rsidRPr="00992002" w:rsidP="00992002">
            <w:pPr>
              <w:spacing w:after="0"/>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093B76">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Pr>
                <w:rFonts w:ascii="Arial Narrow" w:hAnsi="Arial Narrow" w:cs="Arial Narrow"/>
                <w:sz w:val="18"/>
                <w:szCs w:val="24"/>
              </w:rPr>
              <w:t>Príloha</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8B5520" w:rsidRPr="00EE31D8" w:rsidP="008B5520">
            <w:pPr>
              <w:spacing w:after="0"/>
              <w:rPr>
                <w:rFonts w:ascii="Arial Narrow" w:hAnsi="Arial Narrow" w:cs="Arial Narrow"/>
                <w:sz w:val="18"/>
                <w:szCs w:val="24"/>
                <w:u w:val="single"/>
                <w:lang w:val="sk-SK"/>
              </w:rPr>
            </w:pPr>
            <w:r w:rsidRPr="00EE31D8">
              <w:rPr>
                <w:rFonts w:ascii="Arial Narrow" w:hAnsi="Arial Narrow" w:cs="Arial Narrow"/>
                <w:i/>
                <w:sz w:val="18"/>
                <w:szCs w:val="24"/>
                <w:u w:val="single"/>
                <w:lang w:val="sk-SK"/>
              </w:rPr>
              <w:t>PRÍLOHA III</w:t>
            </w:r>
          </w:p>
          <w:p w:rsidR="008B5520" w:rsidRPr="00EE31D8" w:rsidP="008B5520">
            <w:pPr>
              <w:spacing w:after="0"/>
              <w:rPr>
                <w:rFonts w:ascii="Arial Narrow" w:hAnsi="Arial Narrow" w:cs="Arial Narrow"/>
                <w:sz w:val="18"/>
                <w:szCs w:val="24"/>
                <w:lang w:val="sk-SK"/>
              </w:rPr>
            </w:pPr>
          </w:p>
          <w:p w:rsidR="008B5520" w:rsidRPr="00EE31D8" w:rsidP="008B5520">
            <w:pPr>
              <w:spacing w:after="0"/>
              <w:rPr>
                <w:rFonts w:ascii="Arial Narrow" w:hAnsi="Arial Narrow" w:cs="Arial Narrow"/>
                <w:sz w:val="18"/>
                <w:szCs w:val="24"/>
                <w:lang w:val="sk-SK"/>
              </w:rPr>
            </w:pPr>
            <w:r w:rsidRPr="00EE31D8">
              <w:rPr>
                <w:rFonts w:ascii="Arial Narrow" w:hAnsi="Arial Narrow" w:cs="Arial Narrow"/>
                <w:sz w:val="18"/>
                <w:szCs w:val="24"/>
                <w:lang w:val="sk-SK"/>
              </w:rPr>
              <w:t>Znížené sadzby zdanenia a oslobodenia od takého zdanenia uvedené v článku 18a ods. 1:</w:t>
            </w:r>
          </w:p>
          <w:p w:rsidR="008B5520" w:rsidRPr="00EE31D8" w:rsidP="008B5520">
            <w:pPr>
              <w:spacing w:after="0"/>
              <w:rPr>
                <w:rFonts w:ascii="Arial Narrow" w:hAnsi="Arial Narrow" w:cs="Arial Narrow"/>
                <w:sz w:val="18"/>
                <w:szCs w:val="24"/>
                <w:lang w:val="sk-SK"/>
              </w:rPr>
            </w:pPr>
          </w:p>
          <w:p w:rsidR="008B5520" w:rsidRPr="00EE31D8" w:rsidP="008B5520">
            <w:pPr>
              <w:spacing w:after="0"/>
              <w:rPr>
                <w:rFonts w:ascii="Arial Narrow" w:hAnsi="Arial Narrow" w:cs="Arial Narrow"/>
                <w:sz w:val="18"/>
                <w:szCs w:val="24"/>
                <w:lang w:val="sk-SK"/>
              </w:rPr>
            </w:pPr>
            <w:r w:rsidRPr="00EE31D8">
              <w:rPr>
                <w:rFonts w:ascii="Arial Narrow" w:hAnsi="Arial Narrow" w:cs="Arial Narrow"/>
                <w:sz w:val="18"/>
                <w:szCs w:val="24"/>
                <w:lang w:val="sk-SK"/>
              </w:rPr>
              <w:t>1.</w:t>
              <w:tab/>
            </w:r>
            <w:r w:rsidRPr="00EE31D8">
              <w:rPr>
                <w:rFonts w:ascii="Arial Narrow" w:hAnsi="Arial Narrow" w:cs="Arial Narrow"/>
                <w:b/>
                <w:sz w:val="18"/>
                <w:szCs w:val="24"/>
                <w:lang w:val="sk-SK"/>
              </w:rPr>
              <w:t>Lotyšsko</w:t>
            </w:r>
          </w:p>
          <w:p w:rsidR="008B5520" w:rsidRPr="00EE31D8" w:rsidP="008B5520">
            <w:pPr>
              <w:spacing w:after="0"/>
              <w:rPr>
                <w:rFonts w:ascii="Arial Narrow" w:hAnsi="Arial Narrow" w:cs="Arial Narrow"/>
                <w:sz w:val="18"/>
                <w:szCs w:val="24"/>
                <w:lang w:val="sk-SK"/>
              </w:rPr>
            </w:pPr>
            <w:r w:rsidRPr="00EE31D8">
              <w:rPr>
                <w:rFonts w:ascii="Arial Narrow" w:hAnsi="Arial Narrow" w:cs="Arial Narrow"/>
                <w:sz w:val="18"/>
                <w:szCs w:val="24"/>
                <w:lang w:val="sk-SK"/>
              </w:rPr>
              <w:t>-</w:t>
              <w:tab/>
              <w:t>pre energetické produkty a elektrickú energiu používanú vo vozidlách miestnej verejnej osobnej dopravy;</w:t>
            </w:r>
          </w:p>
          <w:p w:rsidR="008B5520" w:rsidRPr="00EE31D8" w:rsidP="008B5520">
            <w:pPr>
              <w:spacing w:after="0"/>
              <w:rPr>
                <w:rFonts w:ascii="Arial Narrow" w:hAnsi="Arial Narrow" w:cs="Arial Narrow"/>
                <w:sz w:val="18"/>
                <w:szCs w:val="24"/>
                <w:lang w:val="sk-SK"/>
              </w:rPr>
            </w:pPr>
          </w:p>
          <w:p w:rsidR="008B5520" w:rsidRPr="00EE31D8" w:rsidP="008B5520">
            <w:pPr>
              <w:spacing w:after="0"/>
              <w:rPr>
                <w:rFonts w:ascii="Arial Narrow" w:hAnsi="Arial Narrow" w:cs="Arial Narrow"/>
                <w:sz w:val="18"/>
                <w:szCs w:val="24"/>
                <w:lang w:val="sk-SK"/>
              </w:rPr>
            </w:pPr>
            <w:r w:rsidRPr="00EE31D8">
              <w:rPr>
                <w:rFonts w:ascii="Arial Narrow" w:hAnsi="Arial Narrow" w:cs="Arial Narrow"/>
                <w:sz w:val="18"/>
                <w:szCs w:val="24"/>
                <w:lang w:val="sk-SK"/>
              </w:rPr>
              <w:t>2.</w:t>
              <w:tab/>
            </w:r>
            <w:r w:rsidRPr="00EE31D8">
              <w:rPr>
                <w:rFonts w:ascii="Arial Narrow" w:hAnsi="Arial Narrow" w:cs="Arial Narrow"/>
                <w:b/>
                <w:sz w:val="18"/>
                <w:szCs w:val="24"/>
                <w:lang w:val="sk-SK"/>
              </w:rPr>
              <w:t>Litva</w:t>
            </w:r>
          </w:p>
          <w:p w:rsidR="008B5520" w:rsidRPr="00EE31D8" w:rsidP="008B5520">
            <w:pPr>
              <w:spacing w:after="0"/>
              <w:rPr>
                <w:rFonts w:ascii="Arial Narrow" w:hAnsi="Arial Narrow" w:cs="Arial Narrow"/>
                <w:sz w:val="18"/>
                <w:szCs w:val="24"/>
                <w:lang w:val="sk-SK"/>
              </w:rPr>
            </w:pPr>
            <w:r w:rsidRPr="00EE31D8">
              <w:rPr>
                <w:rFonts w:ascii="Arial Narrow" w:hAnsi="Arial Narrow" w:cs="Arial Narrow"/>
                <w:sz w:val="18"/>
                <w:szCs w:val="24"/>
                <w:lang w:val="sk-SK"/>
              </w:rPr>
              <w:t>-</w:t>
              <w:tab/>
              <w:t>pre uhlie, koks a hnedé uhlie, do 1. januára 2007,</w:t>
            </w:r>
          </w:p>
          <w:p w:rsidR="008B5520" w:rsidRPr="00EE31D8" w:rsidP="008B5520">
            <w:pPr>
              <w:spacing w:after="0"/>
              <w:rPr>
                <w:rFonts w:ascii="Arial Narrow" w:hAnsi="Arial Narrow" w:cs="Arial Narrow"/>
                <w:sz w:val="18"/>
                <w:szCs w:val="24"/>
                <w:lang w:val="sk-SK"/>
              </w:rPr>
            </w:pPr>
            <w:r w:rsidRPr="00EE31D8">
              <w:rPr>
                <w:rFonts w:ascii="Arial Narrow" w:hAnsi="Arial Narrow" w:cs="Arial Narrow"/>
                <w:sz w:val="18"/>
                <w:szCs w:val="24"/>
                <w:lang w:val="sk-SK"/>
              </w:rPr>
              <w:t>-</w:t>
              <w:tab/>
              <w:t>pre zemný plyn a elektrickú energiu, do 1. januára 2010,</w:t>
            </w:r>
          </w:p>
          <w:p w:rsidR="008B5520" w:rsidRPr="00EE31D8" w:rsidP="008B5520">
            <w:pPr>
              <w:spacing w:after="0"/>
              <w:rPr>
                <w:rFonts w:ascii="Arial Narrow" w:hAnsi="Arial Narrow" w:cs="Arial Narrow"/>
                <w:sz w:val="18"/>
                <w:szCs w:val="24"/>
                <w:lang w:val="sk-SK"/>
              </w:rPr>
            </w:pPr>
            <w:r w:rsidRPr="00EE31D8">
              <w:rPr>
                <w:rFonts w:ascii="Arial Narrow" w:hAnsi="Arial Narrow" w:cs="Arial Narrow"/>
                <w:sz w:val="18"/>
                <w:szCs w:val="24"/>
                <w:lang w:val="sk-SK"/>
              </w:rPr>
              <w:t>-</w:t>
              <w:tab/>
              <w:t>pre orimulsion používanú na iné účely ako je výroba elektrickej energie do 1. januára 2010,</w:t>
            </w:r>
          </w:p>
          <w:p w:rsidR="008B5520" w:rsidRPr="00EE31D8" w:rsidP="008B5520">
            <w:pPr>
              <w:spacing w:after="0"/>
              <w:rPr>
                <w:rFonts w:ascii="Arial Narrow" w:hAnsi="Arial Narrow" w:cs="Arial Narrow"/>
                <w:sz w:val="18"/>
                <w:szCs w:val="24"/>
                <w:lang w:val="sk-SK"/>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3.</w:t>
              <w:tab/>
            </w:r>
            <w:r w:rsidRPr="00D716AB">
              <w:rPr>
                <w:rFonts w:ascii="Arial Narrow" w:hAnsi="Arial Narrow" w:cs="Arial Narrow"/>
                <w:b/>
                <w:sz w:val="18"/>
                <w:szCs w:val="24"/>
                <w:lang w:val="pt-PT"/>
              </w:rPr>
              <w:t>Maďarsko</w:t>
            </w: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w:t>
              <w:tab/>
              <w:t>pre uhlie a koks, do 1. januára 2009,</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4.</w:t>
              <w:tab/>
            </w:r>
            <w:r w:rsidRPr="00D716AB">
              <w:rPr>
                <w:rFonts w:ascii="Arial Narrow" w:hAnsi="Arial Narrow" w:cs="Arial Narrow"/>
                <w:b/>
                <w:sz w:val="18"/>
                <w:szCs w:val="24"/>
                <w:lang w:val="pt-PT"/>
              </w:rPr>
              <w:t>Malta</w:t>
            </w: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w:t>
              <w:tab/>
              <w:t>pre navigáciu v súkromných výletných plavidlách,</w:t>
            </w: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w:t>
              <w:tab/>
              <w:t>pre vzdušnú navigáciu inú ako je zahrnutá v článku 14 ods. 1 písm. b) smernice 2003/96/ES;</w:t>
            </w:r>
          </w:p>
          <w:p w:rsidR="008B5520" w:rsidRPr="00D716AB" w:rsidP="008B5520">
            <w:pPr>
              <w:spacing w:after="0"/>
              <w:rPr>
                <w:rFonts w:ascii="Arial Narrow" w:hAnsi="Arial Narrow" w:cs="Arial Narrow"/>
                <w:sz w:val="18"/>
                <w:szCs w:val="24"/>
                <w:lang w:val="pt-PT"/>
              </w:rPr>
            </w:pP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5.</w:t>
              <w:tab/>
            </w:r>
            <w:r w:rsidRPr="00D716AB">
              <w:rPr>
                <w:rFonts w:ascii="Arial Narrow" w:hAnsi="Arial Narrow" w:cs="Arial Narrow"/>
                <w:b/>
                <w:sz w:val="18"/>
                <w:szCs w:val="24"/>
                <w:lang w:val="pt-PT"/>
              </w:rPr>
              <w:t>Poľsko</w:t>
            </w: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w:t>
              <w:tab/>
              <w:t>pre letecké palivo a palivá pre turbospaľovacie motory a motorové oleje pre letecké motory, predávané výrobcom takých palív na objednávku ministra národnej obrany alebo príslušného ministra vnútra, na účely leteckého priemyslu, alebo úradu pre hmotné rezervy na doplnenie štátnych rezerv, alebo organizačných jednotiek zdravotného letectva na účely takých jednotiek,</w:t>
            </w: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w:t>
              <w:tab/>
              <w:t>plynový olej pre lodné motory a motory pre morské technológie a motorové oleje pre lodné motory a motory pre morské technológie predávané výrobcom takého paliva na objednávku úradu pre hmotné rezervy na doplnenie štátnych rezerv, alebo ministra národnej obrany na účely námorníctva, alebo na objednávku príslušného ministra vnútra na použitie v námornom strojníctve,</w:t>
            </w:r>
          </w:p>
          <w:p w:rsidR="008B5520" w:rsidRPr="00D716AB" w:rsidP="008B5520">
            <w:pPr>
              <w:spacing w:after="0"/>
              <w:rPr>
                <w:rFonts w:ascii="Arial Narrow" w:hAnsi="Arial Narrow" w:cs="Arial Narrow"/>
                <w:sz w:val="18"/>
                <w:szCs w:val="24"/>
                <w:lang w:val="pt-PT"/>
              </w:rPr>
            </w:pPr>
            <w:r w:rsidRPr="00D716AB">
              <w:rPr>
                <w:rFonts w:ascii="Arial Narrow" w:hAnsi="Arial Narrow" w:cs="Arial Narrow"/>
                <w:sz w:val="18"/>
                <w:szCs w:val="24"/>
                <w:lang w:val="pt-PT"/>
              </w:rPr>
              <w:t>-</w:t>
              <w:tab/>
              <w:t>letecké palivo, palivo pre turbospaľovacie motory a plynový olej pre lodné motory a motory pre morské technológie a oleje pre letecké motory, lodné motory a motory pre morské technológie predávané úradom pre hmotné rezervy na objednávku ministra národnej obrany alebo príslušného ministra vnútra.“</w:t>
            </w:r>
          </w:p>
          <w:p w:rsidR="008B5520" w:rsidRPr="00D716AB" w:rsidP="008B5520">
            <w:pPr>
              <w:spacing w:after="0"/>
              <w:outlineLvl w:val="0"/>
              <w:rPr>
                <w:rFonts w:ascii="Arial Narrow" w:hAnsi="Arial Narrow" w:cs="Arial Narrow"/>
                <w:sz w:val="18"/>
                <w:szCs w:val="24"/>
                <w:lang w:val="pt-PT"/>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093B76">
              <w:rPr>
                <w:rFonts w:ascii="Arial Narrow" w:hAnsi="Arial Narrow" w:cs="Arial Narrow"/>
                <w:sz w:val="18"/>
                <w:szCs w:val="24"/>
              </w:rPr>
              <w:t>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B5520" w:rsidRPr="00992002" w:rsidP="00992002">
            <w:pPr>
              <w:spacing w:after="0"/>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r w:rsidR="00093B76">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8B5520" w:rsidRPr="008834AA">
            <w:pPr>
              <w:pStyle w:val="TABUKA-textsmernice"/>
              <w:rPr>
                <w:rFonts w:ascii="Arial Narrow" w:hAnsi="Arial Narrow" w:cs="Arial Narrow"/>
                <w:sz w:val="18"/>
                <w:szCs w:val="24"/>
              </w:rPr>
            </w:pPr>
          </w:p>
        </w:tc>
      </w:tr>
    </w:tbl>
    <w:p w:rsidR="00697A13" w:rsidRPr="00D80FDF" w:rsidP="00697A13">
      <w:pPr>
        <w:rPr>
          <w:rFonts w:ascii="Arial Narrow" w:hAnsi="Arial Narrow" w:cs="Arial Narrow"/>
          <w:sz w:val="18"/>
          <w:szCs w:val="24"/>
        </w:rPr>
      </w:pPr>
    </w:p>
    <w:p w:rsidR="00697A13" w:rsidRPr="00D80FDF" w:rsidP="00697A13">
      <w:pPr>
        <w:rPr>
          <w:rFonts w:ascii="Arial Narrow" w:hAnsi="Arial Narrow" w:cs="Arial Narrow"/>
          <w:sz w:val="18"/>
          <w:szCs w:val="24"/>
        </w:rPr>
      </w:pPr>
      <w:r w:rsidRPr="00D80FDF">
        <w:rPr>
          <w:rFonts w:ascii="Arial Narrow" w:hAnsi="Arial Narrow" w:cs="Arial Narrow"/>
          <w:sz w:val="18"/>
          <w:szCs w:val="24"/>
        </w:rPr>
        <w:t>LEGENDA:</w:t>
      </w:r>
    </w:p>
    <w:tbl>
      <w:tblPr>
        <w:tblStyle w:val="TableNormal"/>
        <w:tblW w:w="15730" w:type="dxa"/>
        <w:tblInd w:w="0" w:type="dxa"/>
        <w:tblCellMar>
          <w:top w:w="0" w:type="dxa"/>
          <w:left w:w="70" w:type="dxa"/>
          <w:bottom w:w="0" w:type="dxa"/>
          <w:right w:w="70" w:type="dxa"/>
        </w:tblCellMar>
      </w:tblPr>
      <w:tblGrid>
        <w:gridCol w:w="2410"/>
        <w:gridCol w:w="4140"/>
        <w:gridCol w:w="2410"/>
        <w:gridCol w:w="6770"/>
      </w:tblGrid>
      <w:tr>
        <w:tblPrEx>
          <w:tblW w:w="15730" w:type="dxa"/>
          <w:tblInd w:w="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697A13" w:rsidRPr="00D80FDF" w:rsidP="003861EE">
            <w:pPr>
              <w:pStyle w:val="Normlny"/>
              <w:autoSpaceDE/>
              <w:autoSpaceDN/>
              <w:spacing w:after="60"/>
              <w:rPr>
                <w:rFonts w:ascii="Arial Narrow" w:hAnsi="Arial Narrow" w:cs="Arial Narrow"/>
                <w:sz w:val="18"/>
                <w:szCs w:val="24"/>
                <w:lang w:eastAsia="sk-SK"/>
              </w:rPr>
            </w:pPr>
            <w:r w:rsidRPr="00D80FDF">
              <w:rPr>
                <w:rFonts w:ascii="Arial Narrow" w:hAnsi="Arial Narrow" w:cs="Arial Narrow"/>
                <w:sz w:val="18"/>
                <w:szCs w:val="24"/>
                <w:lang w:eastAsia="sk-SK"/>
              </w:rPr>
              <w:t>V stĺpci (1):</w:t>
            </w:r>
          </w:p>
          <w:p w:rsidR="00697A13" w:rsidRPr="00D80FDF" w:rsidP="003861EE">
            <w:pPr>
              <w:rPr>
                <w:rFonts w:ascii="Arial Narrow" w:hAnsi="Arial Narrow" w:cs="Arial Narrow"/>
                <w:sz w:val="18"/>
                <w:szCs w:val="24"/>
              </w:rPr>
            </w:pPr>
            <w:r w:rsidRPr="00D80FDF">
              <w:rPr>
                <w:rFonts w:ascii="Arial Narrow" w:hAnsi="Arial Narrow" w:cs="Arial Narrow"/>
                <w:sz w:val="18"/>
                <w:szCs w:val="24"/>
              </w:rPr>
              <w:t>Č – článok</w:t>
            </w:r>
          </w:p>
          <w:p w:rsidR="00697A13" w:rsidRPr="00D80FDF" w:rsidP="003861EE">
            <w:pPr>
              <w:rPr>
                <w:rFonts w:ascii="Arial Narrow" w:hAnsi="Arial Narrow" w:cs="Arial Narrow"/>
                <w:sz w:val="18"/>
                <w:szCs w:val="24"/>
              </w:rPr>
            </w:pPr>
            <w:r w:rsidRPr="00D80FDF">
              <w:rPr>
                <w:rFonts w:ascii="Arial Narrow" w:hAnsi="Arial Narrow" w:cs="Arial Narrow"/>
                <w:sz w:val="18"/>
                <w:szCs w:val="24"/>
              </w:rPr>
              <w:t>O – odsek</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V – veta</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P – písmeno (číslo)</w:t>
            </w:r>
          </w:p>
          <w:p w:rsidR="00697A13" w:rsidRPr="00D716AB" w:rsidP="003861EE">
            <w:pPr>
              <w:rPr>
                <w:rFonts w:ascii="Arial Narrow" w:hAnsi="Arial Narrow" w:cs="Arial Narrow"/>
                <w:sz w:val="18"/>
                <w:szCs w:val="24"/>
                <w:lang w:val="pt-PT"/>
              </w:rPr>
            </w:pPr>
          </w:p>
        </w:tc>
        <w:tc>
          <w:tcPr>
            <w:tcW w:w="4140" w:type="dxa"/>
            <w:tcBorders>
              <w:top w:val="nil"/>
              <w:left w:val="nil"/>
              <w:bottom w:val="nil"/>
              <w:right w:val="nil"/>
            </w:tcBorders>
            <w:textDirection w:val="lrTb"/>
            <w:vAlign w:val="top"/>
          </w:tcPr>
          <w:p w:rsidR="00697A13" w:rsidRPr="00D80FDF" w:rsidP="003861EE">
            <w:pPr>
              <w:pStyle w:val="Normlny"/>
              <w:autoSpaceDE/>
              <w:autoSpaceDN/>
              <w:spacing w:after="60"/>
              <w:rPr>
                <w:rFonts w:ascii="Arial Narrow" w:hAnsi="Arial Narrow" w:cs="Arial Narrow"/>
                <w:sz w:val="18"/>
                <w:szCs w:val="24"/>
                <w:lang w:eastAsia="sk-SK"/>
              </w:rPr>
            </w:pPr>
            <w:r w:rsidRPr="00D80FDF">
              <w:rPr>
                <w:rFonts w:ascii="Arial Narrow" w:hAnsi="Arial Narrow" w:cs="Arial Narrow"/>
                <w:sz w:val="18"/>
                <w:szCs w:val="24"/>
                <w:lang w:eastAsia="sk-SK"/>
              </w:rPr>
              <w:t>V stĺpci (3):</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N – bežná transpozícia</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O – transpozícia s možnosťou voľby</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D – transpozícia podľa úvahy (dobrovoľná)</w:t>
            </w:r>
          </w:p>
          <w:p w:rsidR="00697A13" w:rsidRPr="00EE31D8" w:rsidP="003861EE">
            <w:pPr>
              <w:rPr>
                <w:rFonts w:ascii="Arial Narrow" w:hAnsi="Arial Narrow" w:cs="Arial Narrow"/>
                <w:sz w:val="18"/>
                <w:szCs w:val="24"/>
                <w:lang w:val="fr-FR"/>
              </w:rPr>
            </w:pPr>
            <w:r w:rsidRPr="00EE31D8">
              <w:rPr>
                <w:rFonts w:ascii="Arial Narrow" w:hAnsi="Arial Narrow" w:cs="Arial Narrow"/>
                <w:sz w:val="18"/>
                <w:szCs w:val="24"/>
                <w:lang w:val="fr-FR"/>
              </w:rPr>
              <w:t>n.a. – transpozícia sa neuskutočňuje</w:t>
            </w:r>
          </w:p>
        </w:tc>
        <w:tc>
          <w:tcPr>
            <w:tcW w:w="2410" w:type="dxa"/>
            <w:tcBorders>
              <w:top w:val="nil"/>
              <w:left w:val="nil"/>
              <w:bottom w:val="nil"/>
              <w:right w:val="nil"/>
            </w:tcBorders>
            <w:textDirection w:val="lrTb"/>
            <w:vAlign w:val="top"/>
          </w:tcPr>
          <w:p w:rsidR="00697A13" w:rsidRPr="00D80FDF" w:rsidP="003861EE">
            <w:pPr>
              <w:pStyle w:val="Normlny"/>
              <w:autoSpaceDE/>
              <w:autoSpaceDN/>
              <w:spacing w:after="60"/>
              <w:rPr>
                <w:rFonts w:ascii="Arial Narrow" w:hAnsi="Arial Narrow" w:cs="Arial Narrow"/>
                <w:sz w:val="18"/>
                <w:szCs w:val="24"/>
                <w:lang w:eastAsia="sk-SK"/>
              </w:rPr>
            </w:pPr>
            <w:r w:rsidRPr="00D80FDF">
              <w:rPr>
                <w:rFonts w:ascii="Arial Narrow" w:hAnsi="Arial Narrow" w:cs="Arial Narrow"/>
                <w:sz w:val="18"/>
                <w:szCs w:val="24"/>
                <w:lang w:eastAsia="sk-SK"/>
              </w:rPr>
              <w:t>V stĺpci (5):</w:t>
            </w:r>
          </w:p>
          <w:p w:rsidR="00697A13" w:rsidRPr="00D716AB" w:rsidP="003861EE">
            <w:pPr>
              <w:rPr>
                <w:rFonts w:ascii="Arial Narrow" w:hAnsi="Arial Narrow" w:cs="Arial Narrow"/>
                <w:sz w:val="18"/>
                <w:szCs w:val="24"/>
                <w:lang w:val="fr-FR"/>
              </w:rPr>
            </w:pPr>
            <w:r w:rsidRPr="00D716AB">
              <w:rPr>
                <w:rFonts w:ascii="Arial Narrow" w:hAnsi="Arial Narrow" w:cs="Arial Narrow"/>
                <w:sz w:val="18"/>
                <w:szCs w:val="24"/>
                <w:lang w:val="fr-FR"/>
              </w:rPr>
              <w:t>Č – článok</w:t>
            </w:r>
          </w:p>
          <w:p w:rsidR="00697A13" w:rsidRPr="00D716AB" w:rsidP="003861EE">
            <w:pPr>
              <w:rPr>
                <w:rFonts w:ascii="Arial Narrow" w:hAnsi="Arial Narrow" w:cs="Arial Narrow"/>
                <w:sz w:val="18"/>
                <w:szCs w:val="24"/>
                <w:lang w:val="fr-FR"/>
              </w:rPr>
            </w:pPr>
            <w:r w:rsidRPr="00D716AB">
              <w:rPr>
                <w:rFonts w:ascii="Arial Narrow" w:hAnsi="Arial Narrow" w:cs="Arial Narrow"/>
                <w:sz w:val="18"/>
                <w:szCs w:val="24"/>
                <w:lang w:val="fr-FR"/>
              </w:rPr>
              <w:t>§ – paragraf</w:t>
            </w:r>
          </w:p>
          <w:p w:rsidR="00697A13" w:rsidRPr="00D716AB" w:rsidP="003861EE">
            <w:pPr>
              <w:rPr>
                <w:rFonts w:ascii="Arial Narrow" w:hAnsi="Arial Narrow" w:cs="Arial Narrow"/>
                <w:sz w:val="18"/>
                <w:szCs w:val="24"/>
                <w:lang w:val="fr-FR"/>
              </w:rPr>
            </w:pPr>
            <w:r w:rsidRPr="00D716AB">
              <w:rPr>
                <w:rFonts w:ascii="Arial Narrow" w:hAnsi="Arial Narrow" w:cs="Arial Narrow"/>
                <w:sz w:val="18"/>
                <w:szCs w:val="24"/>
                <w:lang w:val="fr-FR"/>
              </w:rPr>
              <w:t>O – odsek</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V – veta</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P – písmeno (číslo)</w:t>
            </w:r>
          </w:p>
        </w:tc>
        <w:tc>
          <w:tcPr>
            <w:tcW w:w="6770" w:type="dxa"/>
            <w:tcBorders>
              <w:top w:val="nil"/>
              <w:left w:val="nil"/>
              <w:bottom w:val="nil"/>
              <w:right w:val="nil"/>
            </w:tcBorders>
            <w:textDirection w:val="lrTb"/>
            <w:vAlign w:val="top"/>
          </w:tcPr>
          <w:p w:rsidR="00697A13" w:rsidRPr="00D80FDF" w:rsidP="003861EE">
            <w:pPr>
              <w:pStyle w:val="Normlny"/>
              <w:autoSpaceDE/>
              <w:autoSpaceDN/>
              <w:spacing w:after="60"/>
              <w:rPr>
                <w:rFonts w:ascii="Arial Narrow" w:hAnsi="Arial Narrow" w:cs="Arial Narrow"/>
                <w:sz w:val="18"/>
                <w:szCs w:val="24"/>
                <w:lang w:eastAsia="sk-SK"/>
              </w:rPr>
            </w:pPr>
            <w:r w:rsidRPr="00D80FDF">
              <w:rPr>
                <w:rFonts w:ascii="Arial Narrow" w:hAnsi="Arial Narrow" w:cs="Arial Narrow"/>
                <w:sz w:val="18"/>
                <w:szCs w:val="24"/>
                <w:lang w:eastAsia="sk-SK"/>
              </w:rPr>
              <w:t>V stĺpci (7):</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Ú – úplná zhoda</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Č – čiastočná zhoda</w:t>
            </w:r>
          </w:p>
          <w:p w:rsidR="00697A13" w:rsidRPr="00D716AB" w:rsidP="003861EE">
            <w:pPr>
              <w:rPr>
                <w:rFonts w:ascii="Arial Narrow" w:hAnsi="Arial Narrow" w:cs="Arial Narrow"/>
                <w:sz w:val="18"/>
                <w:szCs w:val="24"/>
                <w:lang w:val="pt-PT"/>
              </w:rPr>
            </w:pPr>
            <w:r w:rsidRPr="00D716AB">
              <w:rPr>
                <w:rFonts w:ascii="Arial Narrow" w:hAnsi="Arial Narrow" w:cs="Arial Narrow"/>
                <w:sz w:val="18"/>
                <w:szCs w:val="24"/>
                <w:lang w:val="pt-PT"/>
              </w:rPr>
              <w:t>R – rozpor (v príp., že zatiaľ nedošlo k transp., ale príde k nej v budúcnosti</w:t>
            </w:r>
          </w:p>
          <w:p w:rsidR="00697A13" w:rsidRPr="00D80FDF" w:rsidP="003861EE">
            <w:pPr>
              <w:rPr>
                <w:rFonts w:ascii="Arial Narrow" w:hAnsi="Arial Narrow" w:cs="Arial Narrow"/>
                <w:sz w:val="18"/>
                <w:szCs w:val="24"/>
              </w:rPr>
            </w:pPr>
            <w:r w:rsidRPr="00D80FDF">
              <w:rPr>
                <w:rFonts w:ascii="Arial Narrow" w:hAnsi="Arial Narrow" w:cs="Arial Narrow"/>
                <w:sz w:val="18"/>
                <w:szCs w:val="24"/>
              </w:rPr>
              <w:t>n.a. – neaplikovateľné</w:t>
            </w:r>
          </w:p>
        </w:tc>
      </w:tr>
    </w:tbl>
    <w:p w:rsidR="00697A13" w:rsidRPr="00D80FDF" w:rsidP="00697A13">
      <w:pPr>
        <w:rPr>
          <w:rFonts w:ascii="Arial Narrow" w:hAnsi="Arial Narrow" w:cs="Arial Narrow"/>
          <w:sz w:val="18"/>
          <w:szCs w:val="24"/>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697A13" w:rsidRPr="00D80FDF" w:rsidP="003861EE">
            <w:pPr>
              <w:pStyle w:val="Heading2"/>
              <w:rPr>
                <w:rFonts w:ascii="Arial Narrow" w:hAnsi="Arial Narrow" w:cs="Arial Narrow"/>
                <w:sz w:val="18"/>
                <w:szCs w:val="24"/>
              </w:rPr>
            </w:pPr>
            <w:r w:rsidRPr="00D80FDF">
              <w:rPr>
                <w:rFonts w:ascii="Arial Narrow" w:hAnsi="Arial Narrow" w:cs="Arial Narrow"/>
                <w:sz w:val="18"/>
                <w:szCs w:val="24"/>
              </w:rPr>
              <w:t>Zoznam všeobecne záväzných právnych predpisov preberajúcich smernicu: (uveďte číslo smernice)</w:t>
            </w:r>
          </w:p>
          <w:p w:rsidR="00697A13" w:rsidRPr="00D80FDF" w:rsidP="003861EE">
            <w:pPr>
              <w:jc w:val="center"/>
              <w:rPr>
                <w:rFonts w:ascii="Arial Narrow" w:hAnsi="Arial Narrow" w:cs="Arial Narrow"/>
                <w:sz w:val="18"/>
                <w:szCs w:val="24"/>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697A13" w:rsidRPr="00D80FDF" w:rsidP="003861EE">
            <w:pPr>
              <w:spacing w:before="120"/>
              <w:jc w:val="center"/>
              <w:rPr>
                <w:rFonts w:ascii="Arial Narrow" w:hAnsi="Arial Narrow" w:cs="Arial Narrow"/>
                <w:sz w:val="18"/>
                <w:szCs w:val="24"/>
              </w:rPr>
            </w:pPr>
            <w:r w:rsidRPr="00D80FDF">
              <w:rPr>
                <w:rFonts w:ascii="Arial Narrow" w:hAnsi="Arial Narrow" w:cs="Arial Narrow"/>
                <w:sz w:val="18"/>
                <w:szCs w:val="24"/>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697A13" w:rsidRPr="00D80FDF" w:rsidP="003861EE">
            <w:pPr>
              <w:pStyle w:val="Normlny"/>
              <w:rPr>
                <w:rFonts w:ascii="Arial Narrow" w:hAnsi="Arial Narrow" w:cs="Arial Narrow"/>
                <w:sz w:val="18"/>
                <w:szCs w:val="24"/>
                <w:lang w:eastAsia="sk-SK"/>
              </w:rPr>
            </w:pPr>
            <w:r w:rsidRPr="00D80FDF">
              <w:rPr>
                <w:rFonts w:ascii="Arial Narrow" w:hAnsi="Arial Narrow" w:cs="Arial Narrow"/>
                <w:sz w:val="18"/>
                <w:szCs w:val="24"/>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697A13" w:rsidRPr="00D80FDF" w:rsidP="00697A13">
            <w:pPr>
              <w:numPr>
                <w:numId w:val="18"/>
              </w:numPr>
              <w:autoSpaceDE w:val="0"/>
              <w:autoSpaceDN w:val="0"/>
              <w:spacing w:after="0"/>
              <w:jc w:val="center"/>
              <w:rPr>
                <w:rFonts w:ascii="Arial Narrow" w:hAnsi="Arial Narrow" w:cs="Arial Narrow"/>
                <w:sz w:val="18"/>
                <w:szCs w:val="24"/>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697A13" w:rsidRPr="00D80FDF" w:rsidP="003861EE">
            <w:pPr>
              <w:pStyle w:val="abc"/>
              <w:widowControl/>
              <w:tabs>
                <w:tab w:val="clear" w:pos="360"/>
                <w:tab w:val="clear" w:pos="680"/>
              </w:tabs>
              <w:rPr>
                <w:rFonts w:ascii="Arial Narrow" w:hAnsi="Arial Narrow" w:cs="Arial Narrow"/>
                <w:sz w:val="18"/>
                <w:szCs w:val="24"/>
                <w:lang w:eastAsia="sk-SK"/>
              </w:rPr>
            </w:pPr>
          </w:p>
        </w:tc>
      </w:tr>
    </w:tbl>
    <w:p w:rsidR="00697A13" w:rsidRPr="00D80FDF" w:rsidP="00697A13">
      <w:pPr>
        <w:rPr>
          <w:rFonts w:ascii="Arial Narrow" w:hAnsi="Arial Narrow" w:cs="Arial Narrow"/>
          <w:sz w:val="18"/>
          <w:szCs w:val="24"/>
        </w:rPr>
      </w:pPr>
    </w:p>
    <w:p w:rsidR="00FC2AB3">
      <w:pPr>
        <w:pStyle w:val="TABUKA-textsmernice"/>
        <w:rPr>
          <w:rFonts w:ascii="Times New Roman" w:hAnsi="Times New Roman" w:cs="Times New Roman"/>
          <w:sz w:val="18"/>
          <w:szCs w:val="24"/>
        </w:rPr>
      </w:pPr>
    </w:p>
    <w:p w:rsidR="00697A13">
      <w:pPr>
        <w:pStyle w:val="TABUKA-textsmernice"/>
        <w:rPr>
          <w:rFonts w:ascii="Times New Roman" w:hAnsi="Times New Roman" w:cs="Times New Roman"/>
          <w:sz w:val="18"/>
          <w:szCs w:val="24"/>
        </w:rPr>
      </w:pPr>
    </w:p>
    <w:sectPr w:rsidSect="00D716AB">
      <w:footerReference w:type="default" r:id="rId4"/>
      <w:pgSz w:w="16840" w:h="11907" w:orient="landscape" w:code="9"/>
      <w:pgMar w:top="851" w:right="851" w:bottom="851" w:left="851" w:header="397" w:footer="397"/>
      <w:lnNumType w:distance="0"/>
      <w:pgNumType w:start="57"/>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Arial Narrow">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AB" w:rsidRPr="0094189F" w:rsidP="003D6F76">
    <w:pPr>
      <w:pStyle w:val="Footer"/>
      <w:framePr w:vAnchor="text" w:hAnchor="margin" w:xAlign="right"/>
      <w:rPr>
        <w:rStyle w:val="PageNumber"/>
        <w:rFonts w:ascii="Arial Narrow" w:hAnsi="Arial Narrow" w:cs="Arial Narrow"/>
        <w:sz w:val="20"/>
        <w:szCs w:val="24"/>
      </w:rPr>
    </w:pPr>
    <w:r w:rsidRPr="0094189F">
      <w:rPr>
        <w:rStyle w:val="PageNumber"/>
        <w:rFonts w:ascii="Arial Narrow" w:hAnsi="Arial Narrow" w:cs="Arial Narrow"/>
        <w:sz w:val="20"/>
        <w:szCs w:val="24"/>
      </w:rPr>
      <w:fldChar w:fldCharType="begin"/>
    </w:r>
    <w:r w:rsidRPr="0094189F">
      <w:rPr>
        <w:rStyle w:val="PageNumber"/>
        <w:rFonts w:ascii="Arial Narrow" w:hAnsi="Arial Narrow" w:cs="Arial Narrow"/>
        <w:sz w:val="20"/>
        <w:szCs w:val="24"/>
      </w:rPr>
      <w:instrText xml:space="preserve">PAGE  </w:instrText>
    </w:r>
    <w:r w:rsidRPr="0094189F">
      <w:rPr>
        <w:rStyle w:val="PageNumber"/>
        <w:rFonts w:ascii="Arial Narrow" w:hAnsi="Arial Narrow" w:cs="Arial Narrow"/>
        <w:sz w:val="20"/>
        <w:szCs w:val="24"/>
      </w:rPr>
      <w:fldChar w:fldCharType="separate"/>
    </w:r>
    <w:r w:rsidR="0094189F">
      <w:rPr>
        <w:rStyle w:val="PageNumber"/>
        <w:rFonts w:ascii="Arial Narrow" w:hAnsi="Arial Narrow" w:cs="Arial Narrow"/>
        <w:noProof/>
        <w:sz w:val="20"/>
        <w:szCs w:val="24"/>
      </w:rPr>
      <w:t>58</w:t>
    </w:r>
    <w:r w:rsidRPr="0094189F">
      <w:rPr>
        <w:rStyle w:val="PageNumber"/>
        <w:rFonts w:ascii="Arial Narrow" w:hAnsi="Arial Narrow" w:cs="Arial Narrow"/>
        <w:sz w:val="20"/>
        <w:szCs w:val="24"/>
      </w:rPr>
      <w:fldChar w:fldCharType="end"/>
    </w:r>
  </w:p>
  <w:p w:rsidR="00F25816" w:rsidP="00F25816">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37F"/>
    <w:multiLevelType w:val="hybridMultilevel"/>
    <w:tmpl w:val="DD22F7DE"/>
    <w:lvl w:ilvl="0">
      <w:start w:val="1"/>
      <w:numFmt w:val="none"/>
      <w:lvlText w:val="a)"/>
      <w:lvlJc w:val="left"/>
      <w:pPr>
        <w:tabs>
          <w:tab w:val="num" w:pos="780"/>
        </w:tabs>
        <w:ind w:left="78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AD2289"/>
    <w:multiLevelType w:val="hybridMultilevel"/>
    <w:tmpl w:val="97C26A9E"/>
    <w:lvl w:ilvl="0">
      <w:start w:val="1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416F5A"/>
    <w:multiLevelType w:val="hybridMultilevel"/>
    <w:tmpl w:val="94DC417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C66291"/>
    <w:multiLevelType w:val="hybridMultilevel"/>
    <w:tmpl w:val="8AC87BF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4DD4740"/>
    <w:multiLevelType w:val="hybridMultilevel"/>
    <w:tmpl w:val="4EBE328C"/>
    <w:lvl w:ilvl="0">
      <w:start w:val="1"/>
      <w:numFmt w:val="lowerLetter"/>
      <w:lvlText w:val="%1"/>
      <w:lvlJc w:val="left"/>
      <w:pPr>
        <w:tabs>
          <w:tab w:val="num" w:pos="780"/>
        </w:tabs>
        <w:ind w:left="780" w:hanging="360"/>
      </w:pPr>
      <w:rPr>
        <w:rFonts w:ascii="Times New Roman" w:hAnsi="Times New Roman"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F55493"/>
    <w:multiLevelType w:val="hybridMultilevel"/>
    <w:tmpl w:val="867A724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6E72A7"/>
    <w:multiLevelType w:val="hybridMultilevel"/>
    <w:tmpl w:val="A3CC5D8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E12787"/>
    <w:multiLevelType w:val="hybridMultilevel"/>
    <w:tmpl w:val="D6900C9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F021D"/>
    <w:multiLevelType w:val="hybridMultilevel"/>
    <w:tmpl w:val="E126ED7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21"/>
        </w:tabs>
        <w:ind w:left="1137"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6C11C2E"/>
    <w:multiLevelType w:val="hybridMultilevel"/>
    <w:tmpl w:val="706EAB7A"/>
    <w:lvl w:ilvl="0">
      <w:start w:val="1"/>
      <w:numFmt w:val="decimal"/>
      <w:lvlText w:val="(%1)"/>
      <w:lvlJc w:val="left"/>
      <w:pPr>
        <w:tabs>
          <w:tab w:val="num" w:pos="340"/>
        </w:tabs>
        <w:ind w:left="340"/>
      </w:pPr>
      <w:rPr>
        <w:rFonts w:hint="default"/>
      </w:rPr>
    </w:lvl>
    <w:lvl w:ilvl="1">
      <w:start w:val="1"/>
      <w:numFmt w:val="lowerLetter"/>
      <w:lvlText w:val="%2)"/>
      <w:lvlJc w:val="left"/>
      <w:pPr>
        <w:tabs>
          <w:tab w:val="num" w:pos="0"/>
        </w:tabs>
        <w:ind w:left="340" w:hanging="340"/>
      </w:pPr>
      <w:rPr>
        <w:rFonts w:hint="default"/>
      </w:rPr>
    </w:lvl>
    <w:lvl w:ilvl="2">
      <w:start w:val="1"/>
      <w:numFmt w:val="decimal"/>
      <w:lvlText w:val="%3."/>
      <w:lvlJc w:val="left"/>
      <w:pPr>
        <w:tabs>
          <w:tab w:val="num" w:pos="680"/>
        </w:tabs>
        <w:ind w:left="68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355CDE"/>
    <w:multiLevelType w:val="hybridMultilevel"/>
    <w:tmpl w:val="1708F868"/>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859370D"/>
    <w:multiLevelType w:val="hybridMultilevel"/>
    <w:tmpl w:val="A3963088"/>
    <w:lvl w:ilvl="0">
      <w:start w:val="1"/>
      <w:numFmt w:val="lowerLetter"/>
      <w:lvlText w:val="%1)"/>
      <w:lvlJc w:val="left"/>
      <w:pPr>
        <w:tabs>
          <w:tab w:val="num" w:pos="623"/>
        </w:tabs>
        <w:ind w:left="623" w:hanging="340"/>
      </w:pPr>
      <w:rPr>
        <w:rFonts w:hint="default"/>
      </w:rPr>
    </w:lvl>
    <w:lvl w:ilvl="1">
      <w:start w:val="1"/>
      <w:numFmt w:val="lowerLetter"/>
      <w:lvlText w:val="%2)"/>
      <w:lvlJc w:val="left"/>
      <w:pPr>
        <w:tabs>
          <w:tab w:val="num" w:pos="1723"/>
        </w:tabs>
        <w:ind w:left="1723" w:hanging="360"/>
      </w:pPr>
      <w:rPr>
        <w:rFonts w:hint="default"/>
      </w:r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3">
    <w:nsid w:val="1F460363"/>
    <w:multiLevelType w:val="hybridMultilevel"/>
    <w:tmpl w:val="4D80A76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4202260"/>
    <w:multiLevelType w:val="multilevel"/>
    <w:tmpl w:val="DD22F7DE"/>
    <w:lvl w:ilvl="0">
      <w:start w:val="1"/>
      <w:numFmt w:val="none"/>
      <w:lvlText w:val="a)"/>
      <w:lvlJc w:val="left"/>
      <w:pPr>
        <w:tabs>
          <w:tab w:val="num" w:pos="780"/>
        </w:tabs>
        <w:ind w:left="78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4D36A6"/>
    <w:multiLevelType w:val="multilevel"/>
    <w:tmpl w:val="4EBE328C"/>
    <w:lvl w:ilvl="0">
      <w:start w:val="1"/>
      <w:numFmt w:val="lowerLetter"/>
      <w:lvlText w:val="%1"/>
      <w:lvlJc w:val="left"/>
      <w:pPr>
        <w:tabs>
          <w:tab w:val="num" w:pos="780"/>
        </w:tabs>
        <w:ind w:left="780" w:hanging="360"/>
      </w:pPr>
      <w:rPr>
        <w:rFonts w:ascii="Times New Roman" w:hAnsi="Times New Roman"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56D6E55"/>
    <w:multiLevelType w:val="hybridMultilevel"/>
    <w:tmpl w:val="CFE06EF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62E6348"/>
    <w:multiLevelType w:val="hybridMultilevel"/>
    <w:tmpl w:val="2ACAF972"/>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63C11CD"/>
    <w:multiLevelType w:val="hybridMultilevel"/>
    <w:tmpl w:val="17300B0E"/>
    <w:lvl w:ilvl="0">
      <w:start w:val="18"/>
      <w:numFmt w:val="lowerLetter"/>
      <w:lvlText w:val="%1)"/>
      <w:lvlJc w:val="left"/>
      <w:pPr>
        <w:tabs>
          <w:tab w:val="num" w:pos="780"/>
        </w:tabs>
        <w:ind w:left="7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F15062"/>
    <w:multiLevelType w:val="hybridMultilevel"/>
    <w:tmpl w:val="0BF2C156"/>
    <w:lvl w:ilvl="0">
      <w:start w:val="8"/>
      <w:numFmt w:val="low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9432047"/>
    <w:multiLevelType w:val="hybridMultilevel"/>
    <w:tmpl w:val="1884DAE4"/>
    <w:lvl w:ilvl="0">
      <w:start w:val="1"/>
      <w:numFmt w:val="lowerLetter"/>
      <w:lvlText w:val="%1)"/>
      <w:lvlJc w:val="left"/>
      <w:pPr>
        <w:tabs>
          <w:tab w:val="num" w:pos="340"/>
        </w:tabs>
        <w:ind w:left="340" w:hanging="34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22">
    <w:nsid w:val="3AD52A69"/>
    <w:multiLevelType w:val="hybridMultilevel"/>
    <w:tmpl w:val="80F230D0"/>
    <w:lvl w:ilvl="0">
      <w:start w:val="1"/>
      <w:numFmt w:val="lowerLetter"/>
      <w:lvlText w:val="%1)"/>
      <w:lvlJc w:val="left"/>
      <w:pPr>
        <w:tabs>
          <w:tab w:val="num" w:pos="780"/>
        </w:tabs>
        <w:ind w:left="780" w:hanging="360"/>
      </w:pPr>
      <w:rPr>
        <w:rFonts w:ascii="Times New Roman" w:hAnsi="Times New Roman"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401185"/>
    <w:multiLevelType w:val="hybridMultilevel"/>
    <w:tmpl w:val="B05E7B1C"/>
    <w:lvl w:ilvl="0">
      <w:start w:val="2"/>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640F0E"/>
    <w:multiLevelType w:val="hybridMultilevel"/>
    <w:tmpl w:val="9342CA8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0345C46"/>
    <w:multiLevelType w:val="hybridMultilevel"/>
    <w:tmpl w:val="7A8CD986"/>
    <w:lvl w:ilvl="0">
      <w:start w:val="8"/>
      <w:numFmt w:val="lowerLetter"/>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
    <w:nsid w:val="4C801078"/>
    <w:multiLevelType w:val="hybridMultilevel"/>
    <w:tmpl w:val="8334F7B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340"/>
        </w:tabs>
        <w:ind w:left="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264687"/>
    <w:multiLevelType w:val="hybridMultilevel"/>
    <w:tmpl w:val="99CEF048"/>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AF4D66"/>
    <w:multiLevelType w:val="hybridMultilevel"/>
    <w:tmpl w:val="45E618A6"/>
    <w:lvl w:ilvl="0">
      <w:start w:val="1"/>
      <w:numFmt w:val="lowerLetter"/>
      <w:lvlText w:val="%1)"/>
      <w:lvlJc w:val="left"/>
      <w:pPr>
        <w:tabs>
          <w:tab w:val="num" w:pos="700"/>
        </w:tabs>
        <w:ind w:left="700" w:hanging="340"/>
      </w:pPr>
      <w:rPr>
        <w:rFonts w:hint="default"/>
      </w:rPr>
    </w:lvl>
    <w:lvl w:ilvl="1">
      <w:start w:val="1"/>
      <w:numFmt w:val="decimal"/>
      <w:lvlText w:val="%2."/>
      <w:lvlJc w:val="left"/>
      <w:pPr>
        <w:tabs>
          <w:tab w:val="num" w:pos="1077"/>
        </w:tabs>
        <w:ind w:left="1077" w:hanging="283"/>
      </w:pPr>
      <w:rPr>
        <w:rFonts w:hint="default"/>
      </w:rPr>
    </w:lvl>
    <w:lvl w:ilvl="2">
      <w:start w:val="1"/>
      <w:numFmt w:val="decimal"/>
      <w:lvlText w:val="%3."/>
      <w:lvlJc w:val="left"/>
      <w:pPr>
        <w:tabs>
          <w:tab w:val="num" w:pos="1077"/>
        </w:tabs>
        <w:ind w:left="1077" w:hanging="34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4F9953F8"/>
    <w:multiLevelType w:val="hybridMultilevel"/>
    <w:tmpl w:val="6D6E9AF6"/>
    <w:lvl w:ilvl="0">
      <w:start w:val="1"/>
      <w:numFmt w:val="decimal"/>
      <w:lvlText w:val="(%1)"/>
      <w:lvlJc w:val="left"/>
      <w:pPr>
        <w:tabs>
          <w:tab w:val="num" w:pos="454"/>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C352DC"/>
    <w:multiLevelType w:val="multilevel"/>
    <w:tmpl w:val="0BF2C156"/>
    <w:lvl w:ilvl="0">
      <w:start w:val="8"/>
      <w:numFmt w:val="low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BD5123"/>
    <w:multiLevelType w:val="hybridMultilevel"/>
    <w:tmpl w:val="F63AA436"/>
    <w:lvl w:ilvl="0">
      <w:start w:val="11"/>
      <w:numFmt w:val="lowerLetter"/>
      <w:lvlText w:val="%1)"/>
      <w:lvlJc w:val="left"/>
      <w:pPr>
        <w:tabs>
          <w:tab w:val="num" w:pos="780"/>
        </w:tabs>
        <w:ind w:left="7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04433C2"/>
    <w:multiLevelType w:val="hybridMultilevel"/>
    <w:tmpl w:val="DAE63418"/>
    <w:lvl w:ilvl="0">
      <w:start w:val="1"/>
      <w:numFmt w:val="lowerLetter"/>
      <w:lvlText w:val="%1)"/>
      <w:lvlJc w:val="left"/>
      <w:pPr>
        <w:tabs>
          <w:tab w:val="num" w:pos="750"/>
        </w:tabs>
        <w:ind w:left="75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3">
    <w:nsid w:val="78BD2AEF"/>
    <w:multiLevelType w:val="hybridMultilevel"/>
    <w:tmpl w:val="9E5E23C6"/>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12"/>
  </w:num>
  <w:num w:numId="3">
    <w:abstractNumId w:val="28"/>
  </w:num>
  <w:num w:numId="4">
    <w:abstractNumId w:val="17"/>
  </w:num>
  <w:num w:numId="5">
    <w:abstractNumId w:val="32"/>
  </w:num>
  <w:num w:numId="6">
    <w:abstractNumId w:val="25"/>
  </w:num>
  <w:num w:numId="7">
    <w:abstractNumId w:val="31"/>
  </w:num>
  <w:num w:numId="8">
    <w:abstractNumId w:val="1"/>
  </w:num>
  <w:num w:numId="9">
    <w:abstractNumId w:val="18"/>
  </w:num>
  <w:num w:numId="10">
    <w:abstractNumId w:val="19"/>
  </w:num>
  <w:num w:numId="11">
    <w:abstractNumId w:val="30"/>
  </w:num>
  <w:num w:numId="12">
    <w:abstractNumId w:val="0"/>
  </w:num>
  <w:num w:numId="13">
    <w:abstractNumId w:val="14"/>
  </w:num>
  <w:num w:numId="14">
    <w:abstractNumId w:val="4"/>
  </w:num>
  <w:num w:numId="15">
    <w:abstractNumId w:val="15"/>
  </w:num>
  <w:num w:numId="16">
    <w:abstractNumId w:val="22"/>
  </w:num>
  <w:num w:numId="17">
    <w:abstractNumId w:val="3"/>
  </w:num>
  <w:num w:numId="18">
    <w:abstractNumId w:val="5"/>
  </w:num>
  <w:num w:numId="19">
    <w:abstractNumId w:val="10"/>
  </w:num>
  <w:num w:numId="20">
    <w:abstractNumId w:val="24"/>
  </w:num>
  <w:num w:numId="21">
    <w:abstractNumId w:val="29"/>
  </w:num>
  <w:num w:numId="22">
    <w:abstractNumId w:val="6"/>
  </w:num>
  <w:num w:numId="23">
    <w:abstractNumId w:val="33"/>
  </w:num>
  <w:num w:numId="24">
    <w:abstractNumId w:val="16"/>
  </w:num>
  <w:num w:numId="25">
    <w:abstractNumId w:val="23"/>
  </w:num>
  <w:num w:numId="26">
    <w:abstractNumId w:val="11"/>
  </w:num>
  <w:num w:numId="27">
    <w:abstractNumId w:val="20"/>
  </w:num>
  <w:num w:numId="28">
    <w:abstractNumId w:val="2"/>
  </w:num>
  <w:num w:numId="29">
    <w:abstractNumId w:val="27"/>
  </w:num>
  <w:num w:numId="30">
    <w:abstractNumId w:val="13"/>
  </w:num>
  <w:num w:numId="31">
    <w:abstractNumId w:val="9"/>
  </w:num>
  <w:num w:numId="32">
    <w:abstractNumId w:val="7"/>
  </w:num>
  <w:num w:numId="33">
    <w:abstractNumId w:val="8"/>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isplayHorizontalDrawingGridEvery w:val="0"/>
  <w:displayVerticalDrawingGridEvery w:val="0"/>
  <w:characterSpacingControl w:val="doNotCompress"/>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918AB"/>
    <w:rsid w:val="00035377"/>
    <w:rsid w:val="00050ACF"/>
    <w:rsid w:val="000924F3"/>
    <w:rsid w:val="00093B76"/>
    <w:rsid w:val="000962EA"/>
    <w:rsid w:val="000A2C66"/>
    <w:rsid w:val="000C424F"/>
    <w:rsid w:val="000E460E"/>
    <w:rsid w:val="000E61D3"/>
    <w:rsid w:val="0010006E"/>
    <w:rsid w:val="00102FC5"/>
    <w:rsid w:val="001120B0"/>
    <w:rsid w:val="001274D5"/>
    <w:rsid w:val="001540A1"/>
    <w:rsid w:val="00154AC5"/>
    <w:rsid w:val="001672E4"/>
    <w:rsid w:val="001721AD"/>
    <w:rsid w:val="00173D54"/>
    <w:rsid w:val="001C1646"/>
    <w:rsid w:val="001D69F0"/>
    <w:rsid w:val="001F62CD"/>
    <w:rsid w:val="0020736F"/>
    <w:rsid w:val="0022205D"/>
    <w:rsid w:val="0022246B"/>
    <w:rsid w:val="002538F7"/>
    <w:rsid w:val="00283D0A"/>
    <w:rsid w:val="002942C3"/>
    <w:rsid w:val="002A010B"/>
    <w:rsid w:val="002B25FE"/>
    <w:rsid w:val="002B3776"/>
    <w:rsid w:val="002D03D1"/>
    <w:rsid w:val="00320FCB"/>
    <w:rsid w:val="00346ACC"/>
    <w:rsid w:val="00355F08"/>
    <w:rsid w:val="003640A6"/>
    <w:rsid w:val="00374CDC"/>
    <w:rsid w:val="003861EE"/>
    <w:rsid w:val="00396E9B"/>
    <w:rsid w:val="00397486"/>
    <w:rsid w:val="003A16F4"/>
    <w:rsid w:val="003A2F34"/>
    <w:rsid w:val="003B6C21"/>
    <w:rsid w:val="003C5E1B"/>
    <w:rsid w:val="003C6302"/>
    <w:rsid w:val="003D6F76"/>
    <w:rsid w:val="00436686"/>
    <w:rsid w:val="00454E00"/>
    <w:rsid w:val="004669CF"/>
    <w:rsid w:val="00467C0B"/>
    <w:rsid w:val="004C358D"/>
    <w:rsid w:val="004C5C42"/>
    <w:rsid w:val="004E1CE5"/>
    <w:rsid w:val="004F2106"/>
    <w:rsid w:val="005040B5"/>
    <w:rsid w:val="00524E0A"/>
    <w:rsid w:val="0053454D"/>
    <w:rsid w:val="00550D20"/>
    <w:rsid w:val="00565465"/>
    <w:rsid w:val="005701A3"/>
    <w:rsid w:val="00586932"/>
    <w:rsid w:val="005909D3"/>
    <w:rsid w:val="00595780"/>
    <w:rsid w:val="00597530"/>
    <w:rsid w:val="005B7794"/>
    <w:rsid w:val="005C7820"/>
    <w:rsid w:val="005D3CF3"/>
    <w:rsid w:val="005F5AE1"/>
    <w:rsid w:val="00614BE8"/>
    <w:rsid w:val="00614E49"/>
    <w:rsid w:val="00617B14"/>
    <w:rsid w:val="00620072"/>
    <w:rsid w:val="006859F3"/>
    <w:rsid w:val="00693E21"/>
    <w:rsid w:val="00697A13"/>
    <w:rsid w:val="006A6557"/>
    <w:rsid w:val="006B4000"/>
    <w:rsid w:val="006F56F7"/>
    <w:rsid w:val="0074486C"/>
    <w:rsid w:val="00744B76"/>
    <w:rsid w:val="0075274E"/>
    <w:rsid w:val="00767F59"/>
    <w:rsid w:val="00780243"/>
    <w:rsid w:val="00783134"/>
    <w:rsid w:val="00786C5C"/>
    <w:rsid w:val="007A4586"/>
    <w:rsid w:val="007B10E6"/>
    <w:rsid w:val="007D53CA"/>
    <w:rsid w:val="007E1DC9"/>
    <w:rsid w:val="007F6C34"/>
    <w:rsid w:val="0081730B"/>
    <w:rsid w:val="00840D39"/>
    <w:rsid w:val="0085503B"/>
    <w:rsid w:val="008834AA"/>
    <w:rsid w:val="008918AB"/>
    <w:rsid w:val="008966BF"/>
    <w:rsid w:val="008A5B3D"/>
    <w:rsid w:val="008B16A3"/>
    <w:rsid w:val="008B5520"/>
    <w:rsid w:val="008B7C91"/>
    <w:rsid w:val="008D707E"/>
    <w:rsid w:val="008E6456"/>
    <w:rsid w:val="00903AE6"/>
    <w:rsid w:val="00907872"/>
    <w:rsid w:val="00916CE6"/>
    <w:rsid w:val="0094189F"/>
    <w:rsid w:val="00946246"/>
    <w:rsid w:val="009707EB"/>
    <w:rsid w:val="00977373"/>
    <w:rsid w:val="00980940"/>
    <w:rsid w:val="00984308"/>
    <w:rsid w:val="0098631D"/>
    <w:rsid w:val="00992002"/>
    <w:rsid w:val="00993914"/>
    <w:rsid w:val="00996EA2"/>
    <w:rsid w:val="00997ADE"/>
    <w:rsid w:val="009A4373"/>
    <w:rsid w:val="009F17ED"/>
    <w:rsid w:val="00A01A39"/>
    <w:rsid w:val="00A01CAF"/>
    <w:rsid w:val="00A06D8C"/>
    <w:rsid w:val="00A10295"/>
    <w:rsid w:val="00A1358F"/>
    <w:rsid w:val="00A354B0"/>
    <w:rsid w:val="00A56026"/>
    <w:rsid w:val="00A813F8"/>
    <w:rsid w:val="00A94F2A"/>
    <w:rsid w:val="00AC3EBB"/>
    <w:rsid w:val="00AE6F4B"/>
    <w:rsid w:val="00AF7233"/>
    <w:rsid w:val="00B118BC"/>
    <w:rsid w:val="00B256FF"/>
    <w:rsid w:val="00B26DCC"/>
    <w:rsid w:val="00B412A9"/>
    <w:rsid w:val="00B73217"/>
    <w:rsid w:val="00B9109C"/>
    <w:rsid w:val="00B93190"/>
    <w:rsid w:val="00C00842"/>
    <w:rsid w:val="00C0112D"/>
    <w:rsid w:val="00C13B52"/>
    <w:rsid w:val="00C426A9"/>
    <w:rsid w:val="00C46FEA"/>
    <w:rsid w:val="00C743EB"/>
    <w:rsid w:val="00CA6CBE"/>
    <w:rsid w:val="00CB4D08"/>
    <w:rsid w:val="00CB6BAE"/>
    <w:rsid w:val="00CB7D90"/>
    <w:rsid w:val="00CE7821"/>
    <w:rsid w:val="00CF0CFB"/>
    <w:rsid w:val="00D716AB"/>
    <w:rsid w:val="00D80FDF"/>
    <w:rsid w:val="00D929EF"/>
    <w:rsid w:val="00DE2495"/>
    <w:rsid w:val="00E1550C"/>
    <w:rsid w:val="00E31652"/>
    <w:rsid w:val="00E40CD1"/>
    <w:rsid w:val="00E75ADD"/>
    <w:rsid w:val="00E75EBF"/>
    <w:rsid w:val="00E96000"/>
    <w:rsid w:val="00EA0248"/>
    <w:rsid w:val="00EB378E"/>
    <w:rsid w:val="00EE31D8"/>
    <w:rsid w:val="00EF04DB"/>
    <w:rsid w:val="00EF4A35"/>
    <w:rsid w:val="00F034FD"/>
    <w:rsid w:val="00F0738A"/>
    <w:rsid w:val="00F25816"/>
    <w:rsid w:val="00F348DE"/>
    <w:rsid w:val="00F52347"/>
    <w:rsid w:val="00F978B7"/>
    <w:rsid w:val="00FC2AB3"/>
    <w:rsid w:val="00FC577E"/>
    <w:rsid w:val="00FE0071"/>
    <w:rsid w:val="00FE3C5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lnyWWW"/>
    <w:uiPriority w:val="99"/>
    <w:pPr>
      <w:widowControl/>
      <w:autoSpaceDE/>
      <w:autoSpaceDN/>
      <w:adjustRightInd/>
      <w:spacing w:after="120"/>
      <w:ind w:left="0" w:right="0"/>
      <w:jc w:val="both"/>
      <w:textAlignment w:val="auto"/>
    </w:pPr>
    <w:rPr>
      <w:sz w:val="24"/>
      <w:lang w:val="en-US" w:eastAsia="cs-CZ"/>
    </w:rPr>
  </w:style>
  <w:style w:type="paragraph" w:styleId="Heading1">
    <w:name w:val="heading 1"/>
    <w:basedOn w:val="Normal"/>
    <w:next w:val="Normal"/>
    <w:uiPriority w:val="99"/>
    <w:pPr>
      <w:keepNext/>
      <w:jc w:val="both"/>
      <w:outlineLvl w:val="0"/>
    </w:pPr>
    <w:rPr>
      <w:b/>
      <w:lang w:val="sk-SK"/>
    </w:rPr>
  </w:style>
  <w:style w:type="paragraph" w:styleId="Heading2">
    <w:name w:val="heading 2"/>
    <w:basedOn w:val="Normal"/>
    <w:next w:val="Normal"/>
    <w:uiPriority w:val="99"/>
    <w:pPr>
      <w:keepNext/>
      <w:jc w:val="center"/>
      <w:outlineLvl w:val="1"/>
    </w:pPr>
    <w:rPr>
      <w:b/>
      <w:lang w:val="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customStyle="1" w:styleId="TABUKA-nadpis">
    <w:name w:val="TABUĽKA-nadpis"/>
    <w:uiPriority w:val="99"/>
    <w:pPr>
      <w:widowControl/>
      <w:autoSpaceDE/>
      <w:autoSpaceDN/>
      <w:adjustRightInd/>
      <w:ind w:left="0" w:right="0"/>
      <w:jc w:val="center"/>
      <w:textAlignment w:val="auto"/>
    </w:pPr>
    <w:rPr>
      <w:b/>
      <w:sz w:val="24"/>
      <w:lang w:val="sk-SK" w:eastAsia="cs-CZ"/>
    </w:rPr>
  </w:style>
  <w:style w:type="paragraph" w:customStyle="1" w:styleId="NormlnyWWW">
    <w:name w:val="Normálny (WWW)"/>
    <w:basedOn w:val="Normal"/>
    <w:uiPriority w:val="99"/>
    <w:pPr>
      <w:jc w:val="both"/>
    </w:pPr>
  </w:style>
  <w:style w:type="paragraph" w:customStyle="1" w:styleId="TABUKA-nadpismal">
    <w:name w:val="TABUĽKA-nadpis malý"/>
    <w:uiPriority w:val="99"/>
    <w:pPr>
      <w:widowControl/>
      <w:autoSpaceDE/>
      <w:autoSpaceDN/>
      <w:adjustRightInd/>
      <w:ind w:left="0" w:right="0"/>
      <w:jc w:val="left"/>
      <w:textAlignment w:val="auto"/>
    </w:pPr>
    <w:rPr>
      <w:b/>
      <w:sz w:val="24"/>
      <w:lang w:val="sk-SK" w:eastAsia="cs-CZ"/>
    </w:rPr>
  </w:style>
  <w:style w:type="paragraph" w:styleId="Title">
    <w:name w:val="Title"/>
    <w:basedOn w:val="Normal"/>
    <w:uiPriority w:val="99"/>
    <w:pPr>
      <w:spacing w:after="0"/>
      <w:jc w:val="center"/>
    </w:pPr>
    <w:rPr>
      <w:b/>
      <w:lang w:val="sk-SK" w:eastAsia="sk-SK"/>
    </w:rPr>
  </w:style>
  <w:style w:type="paragraph" w:styleId="Footer">
    <w:name w:val="footer"/>
    <w:basedOn w:val="Normal"/>
    <w:uiPriority w:val="99"/>
    <w:pPr>
      <w:tabs>
        <w:tab w:val="center" w:pos="4536"/>
        <w:tab w:val="right" w:pos="9072"/>
      </w:tabs>
      <w:jc w:val="both"/>
    </w:pPr>
  </w:style>
  <w:style w:type="character" w:styleId="PageNumber">
    <w:name w:val="page number"/>
    <w:basedOn w:val="DefaultParagraphFont"/>
    <w:uiPriority w:val="99"/>
  </w:style>
  <w:style w:type="paragraph" w:customStyle="1" w:styleId="TABUKA-nadpisstpcov">
    <w:name w:val="TABUĽKA-nadpis stĺpcov"/>
    <w:uiPriority w:val="99"/>
    <w:pPr>
      <w:widowControl/>
      <w:autoSpaceDE/>
      <w:autoSpaceDN/>
      <w:adjustRightInd/>
      <w:ind w:left="0" w:right="0"/>
      <w:jc w:val="left"/>
      <w:textAlignment w:val="auto"/>
    </w:pPr>
    <w:rPr>
      <w:b/>
      <w:sz w:val="24"/>
      <w:lang w:val="sk-SK" w:eastAsia="cs-CZ"/>
    </w:rPr>
  </w:style>
  <w:style w:type="paragraph" w:customStyle="1" w:styleId="TABUKA-textsmernice">
    <w:name w:val="TABUĽKA-text smernice"/>
    <w:uiPriority w:val="99"/>
    <w:pPr>
      <w:widowControl/>
      <w:autoSpaceDE/>
      <w:autoSpaceDN/>
      <w:adjustRightInd/>
      <w:ind w:left="0" w:right="0"/>
      <w:jc w:val="both"/>
      <w:textAlignment w:val="auto"/>
    </w:pPr>
    <w:rPr>
      <w:sz w:val="20"/>
      <w:lang w:val="sk-SK" w:eastAsia="cs-CZ"/>
    </w:rPr>
  </w:style>
  <w:style w:type="paragraph" w:styleId="FootnoteText">
    <w:name w:val="footnote text"/>
    <w:basedOn w:val="Normal"/>
    <w:uiPriority w:val="99"/>
    <w:semiHidden/>
    <w:pPr>
      <w:spacing w:after="0"/>
      <w:jc w:val="left"/>
    </w:pPr>
    <w:rPr>
      <w:sz w:val="20"/>
      <w:lang w:val="sk-SK" w:eastAsia="sk-SK"/>
    </w:rPr>
  </w:style>
  <w:style w:type="character" w:styleId="FootnoteReference">
    <w:name w:val="footnote reference"/>
    <w:basedOn w:val="DefaultParagraphFont"/>
    <w:uiPriority w:val="99"/>
    <w:semiHidden/>
    <w:rPr>
      <w:vertAlign w:val="superscript"/>
    </w:rPr>
  </w:style>
  <w:style w:type="character" w:customStyle="1" w:styleId="DONOTTRANSLATE">
    <w:name w:val="DO_NOT_TRANSLATE"/>
    <w:uiPriority w:val="99"/>
    <w:rPr>
      <w:rFonts w:ascii="Courier New" w:hAnsi="Courier New" w:cs="Courier New"/>
      <w:noProof/>
      <w:color w:val="800000"/>
    </w:rPr>
  </w:style>
  <w:style w:type="paragraph" w:styleId="BodyTextIndent2">
    <w:name w:val="Body Text Indent 2"/>
    <w:basedOn w:val="Normal"/>
    <w:uiPriority w:val="99"/>
    <w:pPr>
      <w:spacing w:after="0"/>
      <w:ind w:hanging="180"/>
      <w:jc w:val="both"/>
    </w:pPr>
    <w:rPr>
      <w:lang w:val="sk-SK" w:eastAsia="sk-SK"/>
    </w:rPr>
  </w:style>
  <w:style w:type="paragraph" w:styleId="BodyTextIndent3">
    <w:name w:val="Body Text Indent 3"/>
    <w:basedOn w:val="Normal"/>
    <w:uiPriority w:val="99"/>
    <w:pPr>
      <w:ind w:left="283"/>
      <w:jc w:val="both"/>
    </w:pPr>
    <w:rPr>
      <w:sz w:val="16"/>
    </w:rPr>
  </w:style>
  <w:style w:type="paragraph" w:styleId="BodyText">
    <w:name w:val="Body Text"/>
    <w:basedOn w:val="Normal"/>
    <w:uiPriority w:val="99"/>
    <w:pPr>
      <w:jc w:val="both"/>
    </w:pPr>
  </w:style>
  <w:style w:type="paragraph" w:styleId="BodyText2">
    <w:name w:val="Body Text 2"/>
    <w:basedOn w:val="Normal"/>
    <w:uiPriority w:val="99"/>
    <w:pPr>
      <w:spacing w:after="0"/>
      <w:jc w:val="both"/>
    </w:pPr>
    <w:rPr>
      <w:sz w:val="18"/>
    </w:rPr>
  </w:style>
  <w:style w:type="paragraph" w:customStyle="1" w:styleId="Normlny">
    <w:name w:val="_Normálny"/>
    <w:basedOn w:val="Normal"/>
    <w:uiPriority w:val="99"/>
    <w:rsid w:val="00697A13"/>
    <w:pPr>
      <w:autoSpaceDE w:val="0"/>
      <w:autoSpaceDN w:val="0"/>
      <w:spacing w:after="0"/>
      <w:jc w:val="left"/>
    </w:pPr>
    <w:rPr>
      <w:sz w:val="20"/>
      <w:lang w:val="sk-SK" w:eastAsia="en-US"/>
    </w:rPr>
  </w:style>
  <w:style w:type="paragraph" w:customStyle="1" w:styleId="abc">
    <w:name w:val="abc"/>
    <w:basedOn w:val="Normal"/>
    <w:uiPriority w:val="99"/>
    <w:rsid w:val="00697A13"/>
    <w:pPr>
      <w:widowControl w:val="0"/>
      <w:tabs>
        <w:tab w:val="left" w:pos="360"/>
        <w:tab w:val="left" w:pos="680"/>
      </w:tabs>
      <w:autoSpaceDE w:val="0"/>
      <w:autoSpaceDN w:val="0"/>
      <w:spacing w:after="0"/>
      <w:jc w:val="both"/>
    </w:pPr>
    <w:rPr>
      <w:sz w:val="20"/>
      <w:lang w:val="sk-SK" w:eastAsia="en-US"/>
    </w:rPr>
  </w:style>
  <w:style w:type="paragraph" w:styleId="BodyText3">
    <w:name w:val="Body Text 3"/>
    <w:basedOn w:val="Normal"/>
    <w:uiPriority w:val="99"/>
    <w:rsid w:val="00697A13"/>
    <w:pPr>
      <w:jc w:val="both"/>
    </w:pPr>
    <w:rPr>
      <w:sz w:val="16"/>
    </w:rPr>
  </w:style>
  <w:style w:type="paragraph" w:customStyle="1" w:styleId="Zkladntext">
    <w:name w:val="Základní text"/>
    <w:uiPriority w:val="99"/>
    <w:rsid w:val="005C7820"/>
    <w:pPr>
      <w:widowControl w:val="0"/>
      <w:autoSpaceDE w:val="0"/>
      <w:autoSpaceDN w:val="0"/>
      <w:adjustRightInd/>
      <w:ind w:left="0" w:right="0"/>
      <w:jc w:val="left"/>
      <w:textAlignment w:val="auto"/>
    </w:pPr>
    <w:rPr>
      <w:color w:val="000000"/>
      <w:sz w:val="24"/>
      <w:lang w:val="sk-SK" w:eastAsia="sk-SK"/>
    </w:rPr>
  </w:style>
  <w:style w:type="paragraph" w:styleId="Header">
    <w:name w:val="header"/>
    <w:basedOn w:val="Normal"/>
    <w:uiPriority w:val="99"/>
    <w:rsid w:val="00D716AB"/>
    <w:pPr>
      <w:tabs>
        <w:tab w:val="center" w:pos="4536"/>
        <w:tab w:val="right" w:pos="9072"/>
      </w:tabs>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2295</Words>
  <Characters>13083</Characters>
  <Application>Microsoft Office Word</Application>
  <DocSecurity>0</DocSecurity>
  <Lines>0</Lines>
  <Paragraphs>0</Paragraphs>
  <ScaleCrop>false</ScaleCrop>
  <Company>Ministry of Finance</Company>
  <LinksUpToDate>false</LinksUpToDate>
  <CharactersWithSpaces>15348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cp:lastModifiedBy>
  <cp:revision>4</cp:revision>
  <cp:lastPrinted>2007-05-17T14:13:00Z</cp:lastPrinted>
  <dcterms:created xsi:type="dcterms:W3CDTF">2007-09-12T12:35:00Z</dcterms:created>
  <dcterms:modified xsi:type="dcterms:W3CDTF">2007-09-19T10:44:00Z</dcterms:modified>
</cp:coreProperties>
</file>