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41136" w:rsidP="00841136">
      <w:pPr>
        <w:pStyle w:val="Title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DOLOŽKA  ZLUČITEĽNOSTI</w:t>
      </w:r>
    </w:p>
    <w:p w:rsidR="00841136" w:rsidP="00841136">
      <w:pPr>
        <w:jc w:val="center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návrhu zákona o spotrebnej dani z elektriny, uhlia a zemného plynu a o zmene a doplnení zákona</w:t>
      </w:r>
    </w:p>
    <w:p w:rsidR="00841136" w:rsidP="00841136">
      <w:pPr>
        <w:jc w:val="center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č. 98/2004 Z. z. o spotrebnej dani z minerálneho oleja v znení neskorších predpisov</w:t>
      </w:r>
    </w:p>
    <w:p w:rsidR="00841136" w:rsidP="00841136">
      <w:pPr>
        <w:pStyle w:val="BodyText"/>
        <w:pBdr>
          <w:bottom w:val="single" w:sz="12" w:space="1" w:color="auto"/>
        </w:pBdr>
        <w:jc w:val="center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 právom Európskych spoločenstiev a právom Európskej ú</w:t>
      </w:r>
      <w:r>
        <w:rPr>
          <w:rFonts w:ascii="Arial Narrow" w:hAnsi="Arial Narrow" w:cs="Arial Narrow"/>
          <w:sz w:val="22"/>
          <w:szCs w:val="22"/>
        </w:rPr>
        <w:t>nie</w:t>
      </w:r>
    </w:p>
    <w:p w:rsidR="00841136" w:rsidP="00841136">
      <w:pPr>
        <w:pStyle w:val="Zkladntext"/>
        <w:tabs>
          <w:tab w:val="left" w:pos="284"/>
        </w:tabs>
        <w:spacing w:before="120"/>
        <w:rPr>
          <w:rFonts w:ascii="Arial Narrow" w:hAnsi="Arial Narrow" w:cs="Arial Narrow"/>
          <w:b/>
          <w:bCs/>
          <w:sz w:val="22"/>
          <w:szCs w:val="22"/>
        </w:rPr>
      </w:pPr>
    </w:p>
    <w:p w:rsidR="00841136" w:rsidP="00841136">
      <w:pPr>
        <w:pStyle w:val="Zkladntext"/>
        <w:tabs>
          <w:tab w:val="left" w:pos="284"/>
        </w:tabs>
        <w:spacing w:before="120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1.</w:t>
        <w:tab/>
        <w:t xml:space="preserve">Predkladateľ zákona: </w:t>
      </w:r>
    </w:p>
    <w:p w:rsidR="00841136" w:rsidP="00841136">
      <w:pPr>
        <w:pStyle w:val="Zkladntext"/>
        <w:spacing w:before="120"/>
        <w:ind w:left="284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Vláda Slovenskej republiky.</w:t>
      </w:r>
    </w:p>
    <w:p w:rsidR="00841136" w:rsidP="00841136">
      <w:pPr>
        <w:pStyle w:val="Zkladntext"/>
        <w:numPr>
          <w:ilvl w:val="0"/>
          <w:numId w:val="2"/>
        </w:numPr>
        <w:tabs>
          <w:tab w:val="left" w:pos="284"/>
          <w:tab w:val="clear" w:pos="360"/>
        </w:tabs>
        <w:spacing w:before="120"/>
        <w:ind w:left="0" w:firstLine="0"/>
        <w:jc w:val="both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 xml:space="preserve">Názov návrhu zákona: </w:t>
      </w:r>
    </w:p>
    <w:p w:rsidR="00841136" w:rsidP="00841136">
      <w:pPr>
        <w:ind w:left="284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Návrh zákona o spotrebnej dani z elektriny, uhlia a zemného plynu a o zmene a doplnení zákona                   č. 98/2004 Z. z. o spotrebnej dani z minerálneho oleja v znení n</w:t>
      </w:r>
      <w:r>
        <w:rPr>
          <w:rFonts w:ascii="Arial Narrow" w:hAnsi="Arial Narrow" w:cs="Arial Narrow"/>
          <w:sz w:val="22"/>
          <w:szCs w:val="22"/>
        </w:rPr>
        <w:t>eskorších predpisov.</w:t>
      </w:r>
    </w:p>
    <w:p w:rsidR="00841136" w:rsidP="00841136">
      <w:pPr>
        <w:pStyle w:val="Zkladntext"/>
        <w:numPr>
          <w:ilvl w:val="0"/>
          <w:numId w:val="2"/>
        </w:numPr>
        <w:tabs>
          <w:tab w:val="left" w:pos="284"/>
          <w:tab w:val="clear" w:pos="360"/>
        </w:tabs>
        <w:spacing w:before="120" w:after="120"/>
        <w:ind w:left="0" w:firstLine="0"/>
        <w:jc w:val="both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Problematika návrhu zákona:</w:t>
      </w:r>
    </w:p>
    <w:p w:rsidR="00841136" w:rsidP="00841136">
      <w:pPr>
        <w:pStyle w:val="Zkladntext"/>
        <w:numPr>
          <w:ilvl w:val="0"/>
          <w:numId w:val="3"/>
        </w:numPr>
        <w:tabs>
          <w:tab w:val="left" w:pos="644"/>
        </w:tabs>
        <w:spacing w:after="120"/>
        <w:ind w:left="641" w:hanging="357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je upravená v práve Európskych spoločenstiev:</w:t>
      </w:r>
    </w:p>
    <w:p w:rsidR="00841136" w:rsidP="00841136">
      <w:pPr>
        <w:pStyle w:val="Zkladntext"/>
        <w:spacing w:after="60"/>
        <w:ind w:left="284"/>
        <w:rPr>
          <w:rFonts w:ascii="Arial Narrow" w:hAnsi="Arial Narrow" w:cs="Arial Narrow"/>
          <w:b/>
          <w:bCs/>
          <w:i/>
          <w:iCs/>
          <w:sz w:val="22"/>
          <w:szCs w:val="22"/>
        </w:rPr>
      </w:pPr>
      <w:r>
        <w:rPr>
          <w:rFonts w:ascii="Arial Narrow" w:hAnsi="Arial Narrow" w:cs="Arial Narrow"/>
          <w:b/>
          <w:bCs/>
          <w:i/>
          <w:iCs/>
          <w:sz w:val="22"/>
          <w:szCs w:val="22"/>
        </w:rPr>
        <w:t>Primárne právo:</w:t>
      </w:r>
    </w:p>
    <w:p w:rsidR="00841136" w:rsidP="00841136">
      <w:pPr>
        <w:pStyle w:val="Zkladntext"/>
        <w:numPr>
          <w:ilvl w:val="0"/>
          <w:numId w:val="1"/>
        </w:numPr>
        <w:tabs>
          <w:tab w:val="left" w:pos="660"/>
        </w:tabs>
        <w:spacing w:after="120"/>
        <w:ind w:left="658" w:hanging="357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čl. 90 až 93 Zmluvy o založení ES v platnom znení,</w:t>
      </w:r>
    </w:p>
    <w:p w:rsidR="00841136" w:rsidP="00841136">
      <w:pPr>
        <w:pStyle w:val="Zkladntext"/>
        <w:spacing w:after="60"/>
        <w:ind w:left="303"/>
        <w:rPr>
          <w:rFonts w:ascii="Arial Narrow" w:hAnsi="Arial Narrow" w:cs="Arial Narrow"/>
          <w:b/>
          <w:bCs/>
          <w:i/>
          <w:iCs/>
          <w:sz w:val="22"/>
          <w:szCs w:val="22"/>
        </w:rPr>
      </w:pPr>
      <w:r>
        <w:rPr>
          <w:rFonts w:ascii="Arial Narrow" w:hAnsi="Arial Narrow" w:cs="Arial Narrow"/>
          <w:b/>
          <w:bCs/>
          <w:i/>
          <w:iCs/>
          <w:sz w:val="22"/>
          <w:szCs w:val="22"/>
        </w:rPr>
        <w:t>Sekundárne právo:</w:t>
      </w:r>
    </w:p>
    <w:p w:rsidR="00841136" w:rsidP="00841136">
      <w:pPr>
        <w:numPr>
          <w:ilvl w:val="0"/>
          <w:numId w:val="1"/>
        </w:numPr>
        <w:tabs>
          <w:tab w:val="left" w:pos="660"/>
        </w:tabs>
        <w:spacing w:after="120"/>
        <w:ind w:left="658" w:hanging="35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smernica Rady 92/12/EHS z 25. februára 1992 o všeobecných systémoch pre výro</w:t>
      </w:r>
      <w:r>
        <w:rPr>
          <w:rFonts w:ascii="Arial Narrow" w:hAnsi="Arial Narrow" w:cs="Arial Narrow"/>
          <w:sz w:val="22"/>
          <w:szCs w:val="22"/>
        </w:rPr>
        <w:t>bky podliehajúce spotrebnej dani a o vlastníctve a monitorovaní takýchto výrobkov v platnom znení (Mimoriadne vydanie Ú. v. EÚ 9/zv. 1),</w:t>
      </w:r>
    </w:p>
    <w:p w:rsidR="00841136" w:rsidP="00841136">
      <w:pPr>
        <w:numPr>
          <w:ilvl w:val="0"/>
          <w:numId w:val="1"/>
        </w:numPr>
        <w:tabs>
          <w:tab w:val="left" w:pos="660"/>
        </w:tabs>
        <w:spacing w:after="120"/>
        <w:ind w:left="658" w:hanging="35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smernica Rady 2003/96/ES z 27. októbra 2003 o reštrukturalizácii právneho rámca spoločenstva pre zdaňovanie energetický</w:t>
      </w:r>
      <w:r>
        <w:rPr>
          <w:rFonts w:ascii="Arial Narrow" w:hAnsi="Arial Narrow" w:cs="Arial Narrow"/>
          <w:sz w:val="22"/>
          <w:szCs w:val="22"/>
        </w:rPr>
        <w:t xml:space="preserve">ch výrobkov a elektriny v platnom znení (Mimoriadne vydanie Ú. v. EÚ 9/zv. 1), </w:t>
      </w:r>
    </w:p>
    <w:p w:rsidR="00841136" w:rsidP="00841136">
      <w:pPr>
        <w:numPr>
          <w:ilvl w:val="0"/>
          <w:numId w:val="1"/>
        </w:numPr>
        <w:tabs>
          <w:tab w:val="left" w:pos="660"/>
        </w:tabs>
        <w:spacing w:after="120"/>
        <w:ind w:left="658" w:hanging="357"/>
        <w:jc w:val="both"/>
        <w:rPr>
          <w:rFonts w:ascii="Arial Narrow" w:hAnsi="Arial Narrow" w:cs="Arial Narrow"/>
          <w:i/>
          <w:iCs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nariadenie Rady (ES) č. 2073/2004 zo 16. novembra 2004 o správnej spolupráci v oblasti spotrebných daní (Ú. v. EÚ L 359, 04.12. 2004).</w:t>
      </w:r>
    </w:p>
    <w:p w:rsidR="00841136" w:rsidP="00841136">
      <w:pPr>
        <w:pStyle w:val="BodyText"/>
        <w:ind w:left="301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b)</w:t>
        <w:tab/>
        <w:t>nie je upravená v práve Európskej únie</w:t>
      </w:r>
      <w:r>
        <w:rPr>
          <w:rFonts w:ascii="Arial Narrow" w:hAnsi="Arial Narrow" w:cs="Arial Narrow"/>
          <w:sz w:val="22"/>
          <w:szCs w:val="22"/>
        </w:rPr>
        <w:t>.</w:t>
      </w:r>
    </w:p>
    <w:p w:rsidR="00841136" w:rsidP="00841136">
      <w:pPr>
        <w:pStyle w:val="BodyText"/>
        <w:ind w:left="681" w:hanging="397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c)</w:t>
        <w:tab/>
        <w:t>je obsiahnutá v judikatúre Súdneho dvora Európskych spoločenstiev alebo Súdu prvého stupňa Európskych spoločenstiev:</w:t>
      </w:r>
    </w:p>
    <w:p w:rsidR="00841136" w:rsidP="00841136">
      <w:pPr>
        <w:pStyle w:val="BodyText"/>
        <w:numPr>
          <w:ilvl w:val="0"/>
          <w:numId w:val="1"/>
        </w:numPr>
        <w:tabs>
          <w:tab w:val="left" w:pos="660"/>
        </w:tabs>
        <w:autoSpaceDE/>
        <w:autoSpaceDN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rozhodnutie Súdu prvého stupňa Európskych spoločenstiev vo veci C-292/02, Meiland Azewijn BV v. Hauptzollampt Duisburg, Zb. roz. ESD r</w:t>
      </w:r>
      <w:r>
        <w:rPr>
          <w:rFonts w:ascii="Arial Narrow" w:hAnsi="Arial Narrow" w:cs="Arial Narrow"/>
          <w:sz w:val="22"/>
          <w:szCs w:val="22"/>
        </w:rPr>
        <w:t>ok 2004 (I-07905),</w:t>
      </w:r>
    </w:p>
    <w:p w:rsidR="00841136" w:rsidP="00841136">
      <w:pPr>
        <w:pStyle w:val="BodyText"/>
        <w:numPr>
          <w:ilvl w:val="0"/>
          <w:numId w:val="1"/>
        </w:numPr>
        <w:tabs>
          <w:tab w:val="left" w:pos="660"/>
        </w:tabs>
        <w:autoSpaceDE/>
        <w:autoSpaceDN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rozhodnutie Súdu prvého stupňa Európskych spoločenstiev vo veci C-240/01, Európska komisia v. Federal Republic of Germany, Zb. roz. ESD rok 2004 (I-04733),</w:t>
      </w:r>
    </w:p>
    <w:p w:rsidR="00841136" w:rsidP="00841136">
      <w:pPr>
        <w:pStyle w:val="BodyText"/>
        <w:numPr>
          <w:ilvl w:val="0"/>
          <w:numId w:val="1"/>
        </w:numPr>
        <w:tabs>
          <w:tab w:val="left" w:pos="660"/>
        </w:tabs>
        <w:autoSpaceDE/>
        <w:autoSpaceDN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rozhodnutie Súdu prvého stupňa Európskych spoločenstiev vo veci C-389/02, Deutsch</w:t>
      </w:r>
      <w:r>
        <w:rPr>
          <w:rFonts w:ascii="Arial Narrow" w:hAnsi="Arial Narrow" w:cs="Arial Narrow"/>
          <w:sz w:val="22"/>
          <w:szCs w:val="22"/>
        </w:rPr>
        <w:t>e See-Bestattungs-Genossenschaft eG v. Hauptzollamt Kiel, Zb. roz. ESD rok 2004 (I-03537),</w:t>
      </w:r>
    </w:p>
    <w:p w:rsidR="00841136" w:rsidP="00841136">
      <w:pPr>
        <w:pStyle w:val="BodyText"/>
        <w:numPr>
          <w:ilvl w:val="0"/>
          <w:numId w:val="1"/>
        </w:numPr>
        <w:tabs>
          <w:tab w:val="left" w:pos="660"/>
        </w:tabs>
        <w:autoSpaceDE/>
        <w:autoSpaceDN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rozhodnutie Súdu prvého stupňa Európskych spoločenstiev vo veci C-185/00, Európska komisia v. Republic of Finland, Zb. roz. ESD rok 2003 (I-14189),</w:t>
      </w:r>
    </w:p>
    <w:p w:rsidR="00841136" w:rsidP="00841136">
      <w:pPr>
        <w:pStyle w:val="BodyText"/>
        <w:numPr>
          <w:ilvl w:val="0"/>
          <w:numId w:val="1"/>
        </w:numPr>
        <w:tabs>
          <w:tab w:val="left" w:pos="660"/>
        </w:tabs>
        <w:autoSpaceDE/>
        <w:autoSpaceDN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rozhodnutie Súdu prvého stupňa Európskych spoločenstiev vo veci C-437/01, Európska komisia v. Italian Republic, Zb. roz. ESD rok 2003 (I-09861),</w:t>
      </w:r>
    </w:p>
    <w:p w:rsidR="00841136" w:rsidP="00841136">
      <w:pPr>
        <w:pStyle w:val="BodyText"/>
        <w:numPr>
          <w:ilvl w:val="0"/>
          <w:numId w:val="1"/>
        </w:numPr>
        <w:tabs>
          <w:tab w:val="left" w:pos="660"/>
        </w:tabs>
        <w:autoSpaceDE/>
        <w:autoSpaceDN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rozhodnutie Súdu prvého stupňa Európskych spoločenstiev vo veci C-207/01, Altair Chimica SpA v. ENEL Distribuzione SpA, Zb. roz. ESD rok 2003 (I-08875).</w:t>
      </w:r>
    </w:p>
    <w:p w:rsidR="00841136" w:rsidP="00841136">
      <w:pPr>
        <w:pStyle w:val="BodyText"/>
        <w:ind w:left="301" w:right="-108"/>
        <w:rPr>
          <w:rFonts w:ascii="Arial Narrow" w:hAnsi="Arial Narrow" w:cs="Arial Narrow"/>
          <w:sz w:val="22"/>
          <w:szCs w:val="22"/>
        </w:rPr>
      </w:pPr>
    </w:p>
    <w:p w:rsidR="00841136" w:rsidP="00841136">
      <w:pPr>
        <w:pStyle w:val="Zkladntext"/>
        <w:tabs>
          <w:tab w:val="left" w:pos="360"/>
        </w:tabs>
        <w:spacing w:before="120" w:after="120"/>
        <w:ind w:left="3"/>
        <w:jc w:val="both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4.</w:t>
        <w:tab/>
        <w:t>Záväzky Slovenskej republiky vo vzťahu k Európskym spoločenstvám a Európskej únii:</w:t>
      </w:r>
    </w:p>
    <w:p w:rsidR="00841136" w:rsidP="00841136">
      <w:pPr>
        <w:pStyle w:val="Zkladntext0"/>
        <w:spacing w:after="120"/>
        <w:ind w:left="357" w:firstLine="6"/>
        <w:jc w:val="both"/>
        <w:rPr>
          <w:rFonts w:ascii="Arial Narrow" w:hAnsi="Arial Narrow" w:cs="Arial Narrow"/>
          <w:sz w:val="22"/>
          <w:szCs w:val="22"/>
          <w:lang w:val="sk-SK"/>
        </w:rPr>
      </w:pPr>
      <w:r>
        <w:rPr>
          <w:rFonts w:ascii="Arial Narrow" w:hAnsi="Arial Narrow" w:cs="Arial Narrow"/>
          <w:sz w:val="22"/>
          <w:szCs w:val="22"/>
          <w:lang w:val="sk-SK"/>
        </w:rPr>
        <w:t>a)</w:t>
        <w:tab/>
        <w:t>Zo Zmluvy o pristúpení Slovenskej republiky k Európskej únii, najmä z Aktu o podmienkach pristúpenia nevyplývajú pre Slovenskú republiku žiadne záväzky.</w:t>
      </w:r>
    </w:p>
    <w:p w:rsidR="00841136" w:rsidP="00841136">
      <w:pPr>
        <w:pStyle w:val="Zkladntext0"/>
        <w:spacing w:after="120"/>
        <w:ind w:left="357" w:firstLine="6"/>
        <w:jc w:val="both"/>
        <w:rPr>
          <w:rFonts w:ascii="Arial Narrow" w:hAnsi="Arial Narrow" w:cs="Arial Narrow"/>
          <w:sz w:val="22"/>
          <w:szCs w:val="22"/>
          <w:lang w:val="sk-SK"/>
        </w:rPr>
      </w:pPr>
      <w:r>
        <w:rPr>
          <w:rFonts w:ascii="Arial Narrow" w:hAnsi="Arial Narrow" w:cs="Arial Narrow"/>
          <w:sz w:val="22"/>
          <w:szCs w:val="22"/>
          <w:lang w:val="sk-SK"/>
        </w:rPr>
        <w:t xml:space="preserve">b) </w:t>
        <w:tab/>
        <w:t>Podľa Zmluvy o pristúpení Slovenskej republiky k Európskej únii, najmä podľa Aktu o podmienkach pristúpenia nepožiadala Slovenská republika o žiadne prechodné obdobie. Slovenská republika uplatňuje prechodné obdobie poskytnuté smernicou Rady 2004/74/ES.</w:t>
      </w:r>
    </w:p>
    <w:p w:rsidR="00841136" w:rsidP="00841136">
      <w:pPr>
        <w:pStyle w:val="Zkladntext0"/>
        <w:spacing w:after="120"/>
        <w:ind w:left="357"/>
        <w:jc w:val="both"/>
        <w:rPr>
          <w:rFonts w:ascii="Arial Narrow" w:hAnsi="Arial Narrow" w:cs="Arial Narrow"/>
          <w:sz w:val="22"/>
          <w:szCs w:val="22"/>
          <w:lang w:val="sk-SK"/>
        </w:rPr>
      </w:pPr>
      <w:r>
        <w:rPr>
          <w:rFonts w:ascii="Arial Narrow" w:hAnsi="Arial Narrow" w:cs="Arial Narrow"/>
          <w:sz w:val="22"/>
          <w:szCs w:val="22"/>
          <w:lang w:val="sk-SK"/>
        </w:rPr>
        <w:t>c)</w:t>
        <w:tab/>
        <w:t xml:space="preserve">Bezpredmetné. </w:t>
      </w:r>
    </w:p>
    <w:p w:rsidR="00841136" w:rsidP="00841136">
      <w:pPr>
        <w:pStyle w:val="Zkladntext0"/>
        <w:spacing w:after="120"/>
        <w:ind w:left="357"/>
        <w:jc w:val="both"/>
        <w:rPr>
          <w:rFonts w:ascii="Arial Narrow" w:hAnsi="Arial Narrow" w:cs="Arial Narrow"/>
          <w:sz w:val="22"/>
          <w:szCs w:val="22"/>
          <w:lang w:val="sk-SK"/>
        </w:rPr>
      </w:pPr>
      <w:r>
        <w:rPr>
          <w:rFonts w:ascii="Arial Narrow" w:hAnsi="Arial Narrow" w:cs="Arial Narrow"/>
          <w:sz w:val="22"/>
          <w:szCs w:val="22"/>
          <w:lang w:val="sk-SK"/>
        </w:rPr>
        <w:t>d)</w:t>
        <w:tab/>
        <w:t>Proti Slovenskej republike nebolo začaté konanie o porušení Zmluvy o založení Európskych spoločenstiev podľa čl. 226 až 228 Zmluvy o založení Európskych spoločenstiev v platnom znení.</w:t>
      </w:r>
    </w:p>
    <w:p w:rsidR="00841136" w:rsidP="00841136">
      <w:pPr>
        <w:pStyle w:val="Zkladntext0"/>
        <w:spacing w:after="120"/>
        <w:ind w:left="357"/>
        <w:jc w:val="both"/>
        <w:rPr>
          <w:rFonts w:ascii="Arial Narrow" w:hAnsi="Arial Narrow" w:cs="Arial Narrow"/>
          <w:sz w:val="22"/>
          <w:szCs w:val="22"/>
          <w:lang w:val="sk-SK"/>
        </w:rPr>
      </w:pPr>
      <w:r>
        <w:rPr>
          <w:rFonts w:ascii="Arial Narrow" w:hAnsi="Arial Narrow" w:cs="Arial Narrow"/>
          <w:sz w:val="22"/>
          <w:szCs w:val="22"/>
          <w:lang w:val="sk-SK"/>
        </w:rPr>
        <w:t>e)</w:t>
        <w:tab/>
        <w:t>Smernica Rady 92/12/ES bola úplne prebratá do zákona č. 98/2004 Z. z. o spotrebnej dani z minerálneho oleja v znení neskorších predpisov, zákona č. 106/2004 Z. z. o spotrebnej dani z tabakových výrobkov v znení neskorších predpisov, zákona č. 105/2004 Z. z. o spotrebnej dani z liehu a o zmene a doplnení zákona č. 467/2002 Z. z. o výrobe a uvádzaní liehu na trh v znení zákona č. 211/2003 Z. z. v znení neskorších predpisov, zákona č. 104/2004 Z. z. o spotrebnej dani z vína v znení neskorších predpisov a zákona č. 107/2004 Z. z. o spotrebnej dani z piva v znení neskorších predpisov.</w:t>
      </w:r>
    </w:p>
    <w:p w:rsidR="00841136" w:rsidP="00841136">
      <w:pPr>
        <w:pStyle w:val="Zkladntext0"/>
        <w:spacing w:after="120"/>
        <w:ind w:left="357"/>
        <w:jc w:val="both"/>
        <w:rPr>
          <w:rFonts w:ascii="Arial Narrow" w:hAnsi="Arial Narrow" w:cs="Arial Narrow"/>
          <w:sz w:val="22"/>
          <w:szCs w:val="22"/>
          <w:lang w:val="sk-SK"/>
        </w:rPr>
      </w:pPr>
      <w:r>
        <w:rPr>
          <w:rFonts w:ascii="Arial Narrow" w:hAnsi="Arial Narrow" w:cs="Arial Narrow"/>
          <w:sz w:val="22"/>
          <w:szCs w:val="22"/>
          <w:lang w:val="sk-SK"/>
        </w:rPr>
        <w:t>Smernica Rady 2003/96/ES bola úplne prebratá do zákona č. 98/2004 Z. z. o spotrebnej dani z minerálneho oleja v znení neskorších predpisov  s ohľadom na prechodné obdobie stanovené smernicou Rady 2004/74/ES.</w:t>
      </w:r>
    </w:p>
    <w:p w:rsidR="00841136" w:rsidP="00841136">
      <w:pPr>
        <w:pStyle w:val="BodyText"/>
        <w:ind w:left="300"/>
        <w:rPr>
          <w:rFonts w:ascii="Arial Narrow" w:hAnsi="Arial Narrow" w:cs="Arial Narrow"/>
          <w:sz w:val="22"/>
          <w:szCs w:val="22"/>
        </w:rPr>
      </w:pPr>
    </w:p>
    <w:p w:rsidR="00841136" w:rsidP="00841136">
      <w:pPr>
        <w:pStyle w:val="Zkladntext"/>
        <w:tabs>
          <w:tab w:val="left" w:pos="284"/>
        </w:tabs>
        <w:spacing w:before="120"/>
        <w:ind w:firstLine="11"/>
        <w:jc w:val="both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5.</w:t>
        <w:tab/>
        <w:t>Stupeň zlučiteľnosti návrhu zákona s právom Európskych spoločenstiev a právom  Európskej únie:</w:t>
      </w:r>
    </w:p>
    <w:p w:rsidR="00841136" w:rsidP="00841136">
      <w:pPr>
        <w:pStyle w:val="Zkladntext"/>
        <w:spacing w:before="120"/>
        <w:ind w:left="284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Čiastočný.</w:t>
      </w:r>
    </w:p>
    <w:p w:rsidR="00841136" w:rsidP="00841136">
      <w:pPr>
        <w:pStyle w:val="Zkladntext"/>
        <w:spacing w:before="120"/>
        <w:ind w:left="284"/>
        <w:jc w:val="both"/>
        <w:rPr>
          <w:rFonts w:ascii="Arial Narrow" w:hAnsi="Arial Narrow" w:cs="Arial Narrow"/>
          <w:sz w:val="22"/>
          <w:szCs w:val="22"/>
        </w:rPr>
      </w:pPr>
    </w:p>
    <w:p w:rsidR="00841136" w:rsidP="00841136">
      <w:pPr>
        <w:pStyle w:val="dka"/>
        <w:tabs>
          <w:tab w:val="left" w:pos="284"/>
        </w:tabs>
        <w:spacing w:before="120"/>
        <w:jc w:val="both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6.</w:t>
        <w:tab/>
        <w:t>Gestor (spolupracujúce rezorty):</w:t>
      </w:r>
    </w:p>
    <w:p w:rsidR="00841136" w:rsidP="00841136">
      <w:pPr>
        <w:pStyle w:val="dka"/>
        <w:spacing w:before="120"/>
        <w:ind w:left="284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Ministerstvo financií Slovenskej republiky.</w:t>
      </w:r>
    </w:p>
    <w:p w:rsidR="00841136" w:rsidP="00841136">
      <w:pPr>
        <w:spacing w:before="120"/>
        <w:jc w:val="both"/>
        <w:rPr>
          <w:rFonts w:ascii="Arial Narrow" w:hAnsi="Arial Narrow" w:cs="Arial Narrow"/>
          <w:sz w:val="22"/>
          <w:szCs w:val="22"/>
        </w:rPr>
      </w:pPr>
    </w:p>
    <w:p w:rsidR="00841136" w:rsidP="00841136">
      <w:pPr>
        <w:spacing w:before="120"/>
        <w:jc w:val="both"/>
        <w:rPr>
          <w:rFonts w:ascii="Arial Narrow" w:hAnsi="Arial Narrow" w:cs="Arial Narrow"/>
          <w:sz w:val="22"/>
          <w:szCs w:val="22"/>
        </w:rPr>
      </w:pPr>
    </w:p>
    <w:p w:rsidR="00841136" w:rsidP="00841136">
      <w:pPr>
        <w:spacing w:before="120"/>
        <w:jc w:val="both"/>
        <w:rPr>
          <w:rFonts w:ascii="Arial Narrow" w:hAnsi="Arial Narrow" w:cs="Arial Narrow"/>
          <w:sz w:val="22"/>
          <w:szCs w:val="22"/>
        </w:rPr>
      </w:pPr>
    </w:p>
    <w:p w:rsidR="00841136" w:rsidP="00841136">
      <w:pPr>
        <w:spacing w:before="120"/>
        <w:jc w:val="both"/>
        <w:rPr>
          <w:rFonts w:ascii="Arial Narrow" w:hAnsi="Arial Narrow" w:cs="Arial Narrow"/>
          <w:sz w:val="22"/>
          <w:szCs w:val="22"/>
        </w:rPr>
      </w:pPr>
    </w:p>
    <w:p w:rsidR="00841136" w:rsidP="00841136">
      <w:pPr>
        <w:spacing w:before="120"/>
        <w:jc w:val="both"/>
        <w:rPr>
          <w:rFonts w:ascii="Arial Narrow" w:hAnsi="Arial Narrow" w:cs="Arial Narrow"/>
          <w:sz w:val="22"/>
          <w:szCs w:val="22"/>
        </w:rPr>
      </w:pPr>
    </w:p>
    <w:p w:rsidR="00841136" w:rsidP="00841136">
      <w:pPr>
        <w:spacing w:before="120"/>
        <w:jc w:val="both"/>
        <w:rPr>
          <w:rFonts w:ascii="Arial Narrow" w:hAnsi="Arial Narrow" w:cs="Arial Narrow"/>
          <w:sz w:val="22"/>
          <w:szCs w:val="22"/>
        </w:rPr>
      </w:pPr>
    </w:p>
    <w:p w:rsidR="00841136" w:rsidP="00841136">
      <w:pPr>
        <w:spacing w:before="120"/>
        <w:jc w:val="both"/>
        <w:rPr>
          <w:rFonts w:ascii="Arial Narrow" w:hAnsi="Arial Narrow" w:cs="Arial Narrow"/>
          <w:sz w:val="22"/>
          <w:szCs w:val="22"/>
        </w:rPr>
      </w:pPr>
    </w:p>
    <w:p w:rsidR="00841136" w:rsidP="00841136">
      <w:pPr>
        <w:spacing w:before="120"/>
        <w:jc w:val="both"/>
        <w:rPr>
          <w:rFonts w:ascii="Arial Narrow" w:hAnsi="Arial Narrow" w:cs="Arial Narrow"/>
          <w:sz w:val="22"/>
          <w:szCs w:val="22"/>
        </w:rPr>
      </w:pPr>
    </w:p>
    <w:p w:rsidR="00841136" w:rsidP="00841136">
      <w:pPr>
        <w:spacing w:before="120"/>
        <w:jc w:val="both"/>
        <w:rPr>
          <w:rFonts w:ascii="Arial Narrow" w:hAnsi="Arial Narrow" w:cs="Arial Narrow"/>
          <w:sz w:val="22"/>
          <w:szCs w:val="22"/>
        </w:rPr>
      </w:pPr>
    </w:p>
    <w:p w:rsidR="00841136" w:rsidP="00841136">
      <w:pPr>
        <w:spacing w:before="120"/>
        <w:jc w:val="both"/>
        <w:rPr>
          <w:rFonts w:ascii="Arial Narrow" w:hAnsi="Arial Narrow" w:cs="Arial Narrow"/>
          <w:sz w:val="22"/>
          <w:szCs w:val="22"/>
        </w:rPr>
      </w:pPr>
    </w:p>
    <w:p w:rsidR="00841136" w:rsidP="00841136">
      <w:pPr>
        <w:spacing w:before="120"/>
        <w:jc w:val="both"/>
        <w:rPr>
          <w:rFonts w:ascii="Arial Narrow" w:hAnsi="Arial Narrow" w:cs="Arial Narrow"/>
          <w:sz w:val="22"/>
          <w:szCs w:val="22"/>
        </w:rPr>
      </w:pPr>
    </w:p>
    <w:p w:rsidR="00841136" w:rsidP="00841136">
      <w:pPr>
        <w:spacing w:before="120"/>
        <w:jc w:val="both"/>
        <w:rPr>
          <w:rFonts w:ascii="Arial Narrow" w:hAnsi="Arial Narrow" w:cs="Arial Narrow"/>
          <w:sz w:val="22"/>
          <w:szCs w:val="22"/>
        </w:rPr>
      </w:pPr>
    </w:p>
    <w:p w:rsidR="00841136" w:rsidP="00841136">
      <w:pPr>
        <w:spacing w:before="120"/>
        <w:jc w:val="both"/>
        <w:rPr>
          <w:rFonts w:ascii="Arial Narrow" w:hAnsi="Arial Narrow" w:cs="Arial Narrow"/>
          <w:sz w:val="22"/>
          <w:szCs w:val="22"/>
        </w:rPr>
      </w:pPr>
    </w:p>
    <w:p w:rsidR="00841136" w:rsidP="00841136">
      <w:pPr>
        <w:spacing w:before="120"/>
        <w:jc w:val="both"/>
        <w:rPr>
          <w:rFonts w:ascii="Arial Narrow" w:hAnsi="Arial Narrow" w:cs="Arial Narrow"/>
          <w:sz w:val="22"/>
          <w:szCs w:val="22"/>
        </w:rPr>
      </w:pPr>
    </w:p>
    <w:p w:rsidR="00841136" w:rsidP="00841136">
      <w:pPr>
        <w:spacing w:before="120"/>
        <w:jc w:val="both"/>
        <w:rPr>
          <w:rFonts w:ascii="Arial Narrow" w:hAnsi="Arial Narrow" w:cs="Arial Narrow"/>
          <w:sz w:val="22"/>
          <w:szCs w:val="22"/>
        </w:rPr>
      </w:pPr>
    </w:p>
    <w:p w:rsidR="00841136" w:rsidP="00841136">
      <w:pPr>
        <w:spacing w:before="120"/>
        <w:jc w:val="both"/>
        <w:rPr>
          <w:rFonts w:ascii="Arial Narrow" w:hAnsi="Arial Narrow" w:cs="Arial Narrow"/>
          <w:sz w:val="22"/>
          <w:szCs w:val="22"/>
        </w:rPr>
      </w:pPr>
    </w:p>
    <w:p w:rsidR="00841136" w:rsidP="00841136">
      <w:pPr>
        <w:spacing w:before="120"/>
        <w:jc w:val="both"/>
        <w:rPr>
          <w:rFonts w:ascii="Arial Narrow" w:hAnsi="Arial Narrow" w:cs="Arial Narrow"/>
          <w:sz w:val="22"/>
          <w:szCs w:val="22"/>
        </w:rPr>
      </w:pPr>
    </w:p>
    <w:p w:rsidR="00841136" w:rsidP="00841136">
      <w:pPr>
        <w:spacing w:before="120"/>
        <w:jc w:val="both"/>
        <w:rPr>
          <w:rFonts w:ascii="Arial Narrow" w:hAnsi="Arial Narrow" w:cs="Arial Narrow"/>
          <w:sz w:val="22"/>
          <w:szCs w:val="22"/>
        </w:rPr>
      </w:pPr>
    </w:p>
    <w:p w:rsidR="00841136" w:rsidP="00841136">
      <w:pPr>
        <w:spacing w:before="120"/>
        <w:jc w:val="both"/>
        <w:rPr>
          <w:rFonts w:ascii="Arial Narrow" w:hAnsi="Arial Narrow" w:cs="Arial Narrow"/>
          <w:sz w:val="22"/>
          <w:szCs w:val="22"/>
        </w:rPr>
      </w:pPr>
    </w:p>
    <w:p w:rsidR="00841136" w:rsidP="00841136">
      <w:pPr>
        <w:spacing w:before="120"/>
        <w:jc w:val="both"/>
        <w:rPr>
          <w:rFonts w:ascii="Arial Narrow" w:hAnsi="Arial Narrow" w:cs="Arial Narrow"/>
          <w:sz w:val="22"/>
          <w:szCs w:val="22"/>
        </w:rPr>
      </w:pPr>
    </w:p>
    <w:p w:rsidR="00841136" w:rsidP="00841136">
      <w:pPr>
        <w:spacing w:before="120"/>
        <w:jc w:val="both"/>
        <w:rPr>
          <w:rFonts w:ascii="Arial Narrow" w:hAnsi="Arial Narrow" w:cs="Arial Narrow"/>
          <w:sz w:val="22"/>
          <w:szCs w:val="22"/>
        </w:rPr>
      </w:pPr>
    </w:p>
    <w:p w:rsidR="00841136" w:rsidP="00841136">
      <w:pPr>
        <w:spacing w:before="120"/>
        <w:jc w:val="both"/>
        <w:rPr>
          <w:rFonts w:ascii="Arial Narrow" w:hAnsi="Arial Narrow" w:cs="Arial Narrow"/>
          <w:sz w:val="22"/>
          <w:szCs w:val="22"/>
        </w:rPr>
      </w:pPr>
    </w:p>
    <w:p w:rsidR="00841136">
      <w:pPr>
        <w:rPr>
          <w:rFonts w:ascii="Times New Roman" w:hAnsi="Times New Roman" w:cs="Times New Roman"/>
        </w:rPr>
      </w:pPr>
    </w:p>
    <w:sectPr>
      <w:footerReference w:type="default" r:id="rId4"/>
      <w:pgSz w:w="11906" w:h="16838"/>
      <w:pgMar w:top="1417" w:right="1417" w:bottom="1258" w:left="1417" w:header="708" w:footer="708" w:gutter="0"/>
      <w:pgNumType w:start="4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altName w:val="Times New Roman"/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0000000000000000000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136" w:rsidRPr="00847C27">
    <w:pPr>
      <w:pStyle w:val="Footer"/>
      <w:framePr w:vAnchor="text" w:hAnchor="margin" w:xAlign="right" w:y="1"/>
      <w:rPr>
        <w:rStyle w:val="PageNumber"/>
        <w:rFonts w:ascii="Arial Narrow" w:hAnsi="Arial Narrow" w:cs="Times New Roman"/>
        <w:sz w:val="20"/>
        <w:szCs w:val="20"/>
      </w:rPr>
    </w:pPr>
    <w:r w:rsidRPr="00847C27">
      <w:rPr>
        <w:rStyle w:val="PageNumber"/>
        <w:rFonts w:ascii="Arial Narrow" w:hAnsi="Arial Narrow" w:cs="Times New Roman"/>
        <w:sz w:val="20"/>
        <w:szCs w:val="20"/>
      </w:rPr>
      <w:fldChar w:fldCharType="begin"/>
    </w:r>
    <w:r w:rsidRPr="00847C27">
      <w:rPr>
        <w:rStyle w:val="PageNumber"/>
        <w:rFonts w:ascii="Arial Narrow" w:hAnsi="Arial Narrow" w:cs="Times New Roman"/>
        <w:sz w:val="20"/>
        <w:szCs w:val="20"/>
      </w:rPr>
      <w:instrText xml:space="preserve">PAGE  </w:instrText>
    </w:r>
    <w:r w:rsidRPr="00847C27">
      <w:rPr>
        <w:rStyle w:val="PageNumber"/>
        <w:rFonts w:ascii="Arial Narrow" w:hAnsi="Arial Narrow" w:cs="Times New Roman"/>
        <w:sz w:val="20"/>
        <w:szCs w:val="20"/>
      </w:rPr>
      <w:fldChar w:fldCharType="separate"/>
    </w:r>
    <w:r w:rsidR="00D63462">
      <w:rPr>
        <w:rStyle w:val="PageNumber"/>
        <w:rFonts w:ascii="Arial Narrow" w:hAnsi="Arial Narrow" w:cs="Times New Roman"/>
        <w:noProof/>
        <w:sz w:val="20"/>
        <w:szCs w:val="20"/>
      </w:rPr>
      <w:t>4</w:t>
    </w:r>
    <w:r w:rsidRPr="00847C27">
      <w:rPr>
        <w:rStyle w:val="PageNumber"/>
        <w:rFonts w:ascii="Arial Narrow" w:hAnsi="Arial Narrow" w:cs="Times New Roman"/>
        <w:sz w:val="20"/>
        <w:szCs w:val="20"/>
      </w:rPr>
      <w:fldChar w:fldCharType="end"/>
    </w:r>
  </w:p>
  <w:p w:rsidR="00841136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62683"/>
    <w:multiLevelType w:val="singleLevel"/>
    <w:tmpl w:val="768E8086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</w:lvl>
  </w:abstractNum>
  <w:abstractNum w:abstractNumId="1">
    <w:nsid w:val="6B625AE5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F1E6760"/>
    <w:multiLevelType w:val="hybridMultilevel"/>
    <w:tmpl w:val="41ACF298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>
      <w:start w:val="2"/>
      <w:numFmt w:val="upperRoman"/>
      <w:lvlText w:val="%2."/>
      <w:lvlJc w:val="left"/>
      <w:pPr>
        <w:tabs>
          <w:tab w:val="num" w:pos="1724"/>
        </w:tabs>
        <w:ind w:left="1724" w:hanging="72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841136"/>
    <w:rsid w:val="00847C27"/>
    <w:rsid w:val="00D6346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136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841136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841136"/>
  </w:style>
  <w:style w:type="paragraph" w:styleId="BodyText">
    <w:name w:val="Body Text"/>
    <w:basedOn w:val="Normal"/>
    <w:rsid w:val="00841136"/>
    <w:pPr>
      <w:spacing w:after="120"/>
      <w:jc w:val="left"/>
    </w:pPr>
  </w:style>
  <w:style w:type="paragraph" w:customStyle="1" w:styleId="Zkladntext">
    <w:name w:val="Zkladn text"/>
    <w:rsid w:val="00841136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0"/>
      <w:szCs w:val="20"/>
      <w:rtl w:val="0"/>
      <w:lang w:val="sk-SK" w:bidi="ar-SA"/>
    </w:rPr>
  </w:style>
  <w:style w:type="paragraph" w:customStyle="1" w:styleId="dka">
    <w:name w:val="dka"/>
    <w:rsid w:val="00841136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0"/>
      <w:szCs w:val="20"/>
      <w:rtl w:val="0"/>
      <w:lang w:val="sk-SK" w:bidi="ar-SA"/>
    </w:rPr>
  </w:style>
  <w:style w:type="paragraph" w:customStyle="1" w:styleId="Zkladntext0">
    <w:name w:val="Základní text"/>
    <w:rsid w:val="00841136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0"/>
      <w:szCs w:val="20"/>
      <w:rtl w:val="0"/>
      <w:lang w:val="cs-CZ" w:bidi="ar-SA"/>
    </w:rPr>
  </w:style>
  <w:style w:type="paragraph" w:styleId="Title">
    <w:name w:val="Title"/>
    <w:basedOn w:val="Normal"/>
    <w:uiPriority w:val="10"/>
    <w:qFormat/>
    <w:rsid w:val="00841136"/>
    <w:pPr>
      <w:autoSpaceDE/>
      <w:autoSpaceDN/>
      <w:jc w:val="center"/>
    </w:pPr>
    <w:rPr>
      <w:b/>
      <w:bCs/>
    </w:rPr>
  </w:style>
  <w:style w:type="paragraph" w:styleId="Header">
    <w:name w:val="header"/>
    <w:basedOn w:val="Normal"/>
    <w:rsid w:val="00847C27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604</Words>
  <Characters>3443</Characters>
  <Application>Microsoft Office Word</Application>
  <DocSecurity>0</DocSecurity>
  <Lines>0</Lines>
  <Paragraphs>0</Paragraphs>
  <ScaleCrop>false</ScaleCrop>
  <Company/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 ZLUČITEĽNOSTI</dc:title>
  <dc:creator>;</dc:creator>
  <cp:lastModifiedBy>;</cp:lastModifiedBy>
  <cp:revision>3</cp:revision>
  <dcterms:created xsi:type="dcterms:W3CDTF">2007-09-19T11:07:00Z</dcterms:created>
  <dcterms:modified xsi:type="dcterms:W3CDTF">2007-09-20T05:46:00Z</dcterms:modified>
</cp:coreProperties>
</file>