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6522F" w:rsidP="0006522F">
      <w:pPr>
        <w:rPr>
          <w:rFonts w:ascii="Arial Narrow" w:hAnsi="Arial Narrow" w:cs="Arial Narrow"/>
          <w:b/>
          <w:sz w:val="22"/>
          <w:szCs w:val="24"/>
        </w:rPr>
      </w:pPr>
      <w:r>
        <w:rPr>
          <w:rFonts w:ascii="Arial Narrow" w:hAnsi="Arial Narrow" w:cs="Arial Narrow"/>
          <w:b/>
          <w:sz w:val="22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06522F" w:rsidP="0006522F">
      <w:pPr>
        <w:jc w:val="center"/>
        <w:rPr>
          <w:rFonts w:ascii="Arial Narrow" w:hAnsi="Arial Narrow" w:cs="Arial Narrow"/>
          <w:b/>
          <w:sz w:val="22"/>
          <w:szCs w:val="24"/>
        </w:rPr>
      </w:pPr>
      <w:r>
        <w:rPr>
          <w:rFonts w:ascii="Arial Narrow" w:hAnsi="Arial Narrow" w:cs="Arial Narrow"/>
          <w:b/>
          <w:sz w:val="22"/>
          <w:szCs w:val="24"/>
        </w:rPr>
        <w:t>D ô v o d o v á   s p r á v a</w:t>
      </w:r>
    </w:p>
    <w:p w:rsidR="0006522F" w:rsidP="0006522F">
      <w:pPr>
        <w:jc w:val="center"/>
        <w:rPr>
          <w:rFonts w:ascii="Arial Narrow" w:hAnsi="Arial Narrow" w:cs="Arial Narrow"/>
          <w:b/>
          <w:sz w:val="22"/>
          <w:szCs w:val="24"/>
        </w:rPr>
      </w:pPr>
    </w:p>
    <w:p w:rsidR="0006522F" w:rsidP="0006522F">
      <w:pPr>
        <w:jc w:val="center"/>
        <w:rPr>
          <w:rFonts w:ascii="Arial Narrow" w:hAnsi="Arial Narrow" w:cs="Arial Narrow"/>
          <w:b/>
          <w:sz w:val="22"/>
          <w:szCs w:val="24"/>
        </w:rPr>
      </w:pPr>
    </w:p>
    <w:p w:rsidR="0006522F" w:rsidP="0006522F">
      <w:pPr>
        <w:rPr>
          <w:rFonts w:ascii="Arial Narrow" w:hAnsi="Arial Narrow" w:cs="Arial Narrow"/>
          <w:b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     </w:t>
        <w:tab/>
      </w:r>
      <w:r>
        <w:rPr>
          <w:rFonts w:ascii="Arial Narrow" w:hAnsi="Arial Narrow" w:cs="Arial Narrow"/>
          <w:b/>
          <w:sz w:val="22"/>
          <w:szCs w:val="24"/>
        </w:rPr>
        <w:t>I.   Všeobecná časť</w:t>
      </w:r>
    </w:p>
    <w:p w:rsidR="0006522F" w:rsidP="0006522F">
      <w:pPr>
        <w:rPr>
          <w:rFonts w:ascii="Arial Narrow" w:hAnsi="Arial Narrow" w:cs="Arial Narrow"/>
          <w:b/>
          <w:sz w:val="22"/>
          <w:szCs w:val="24"/>
        </w:rPr>
      </w:pPr>
    </w:p>
    <w:p w:rsidR="0006522F" w:rsidP="0006522F">
      <w:pPr>
        <w:rPr>
          <w:rFonts w:ascii="Arial Narrow" w:hAnsi="Arial Narrow" w:cs="Arial Narrow"/>
          <w:b/>
          <w:sz w:val="22"/>
          <w:szCs w:val="24"/>
        </w:rPr>
      </w:pPr>
      <w:r>
        <w:rPr>
          <w:rFonts w:ascii="Arial Narrow" w:hAnsi="Arial Narrow" w:cs="Arial Narrow"/>
          <w:b/>
          <w:sz w:val="22"/>
          <w:szCs w:val="24"/>
        </w:rPr>
        <w:t>Zhodnotenie súčasného stavu a dôvody vypracovania návrhu nového zákona</w:t>
      </w:r>
    </w:p>
    <w:p w:rsidR="0006522F" w:rsidP="0006522F">
      <w:pPr>
        <w:rPr>
          <w:rFonts w:ascii="Arial Narrow" w:hAnsi="Arial Narrow" w:cs="Arial Narrow"/>
          <w:b/>
          <w:sz w:val="22"/>
          <w:szCs w:val="24"/>
        </w:rPr>
      </w:pPr>
    </w:p>
    <w:p w:rsidR="0006522F" w:rsidP="0006522F">
      <w:pPr>
        <w:pStyle w:val="BodyTextIndent2"/>
        <w:spacing w:line="240" w:lineRule="auto"/>
        <w:ind w:firstLine="360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V Slovenskej republike sa v súčasnosti zdaňujú spotrebnou daňou minerálne oleje v zmysle zákona                č. 98/2004 Z. z. o  spotrebnej dani z  minerálneho oleja v  znení neskorších predpisov (ďalej len                       „zákon č. 98/2004 Z. z.“), do ktorého je transponovaná smernica Rady  2003/96/ES o reštrukturalizácii právneho rámca spoločenstva pre zdaňovanie energetických výrobkov a elektriny (ďalej len „smernica Rady 2003/96/ES“). Smernica Rady 2003/96/ES nadobudla účinnosť dňa 1. januára 2004 a rozšírila okruh predmetov spotrebnej dane o ďalšie energetické produkty použiteľné ako pohonné látky a palivá na vykurovanie, ktoré boli doplnené do zákona č. 98/2004 Z. z.  s výnimkou elektriny a pevných palív (uhlie a koks).  </w:t>
      </w:r>
    </w:p>
    <w:p w:rsidR="0006522F" w:rsidP="0006522F">
      <w:pPr>
        <w:pStyle w:val="BodyTextIndent2"/>
        <w:spacing w:line="240" w:lineRule="auto"/>
        <w:ind w:firstLine="0"/>
        <w:rPr>
          <w:rFonts w:ascii="Arial Narrow" w:hAnsi="Arial Narrow" w:cs="Arial Narrow"/>
          <w:sz w:val="22"/>
          <w:szCs w:val="24"/>
        </w:rPr>
      </w:pPr>
    </w:p>
    <w:p w:rsidR="0006522F" w:rsidP="0006522F">
      <w:pPr>
        <w:pStyle w:val="BodyTextIndent2"/>
        <w:spacing w:line="240" w:lineRule="auto"/>
        <w:ind w:firstLine="360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V Slovenskej republike elektrina a pevné palivá (uhlie a koks) nepodliehali zdaňovaniu spotrebnou daňou,        a preto Slovenská republika požiadala o prechodné obdobie, ktoré jej bolo poskytnuté a upravené smernicou Rady  2004/74/ES, ktorá mení a dopĺňa  smernicu Rady  2003/96/ES. V zmysle tohto prechodného obdobia je Slovenská republika povinná</w:t>
      </w:r>
    </w:p>
    <w:p w:rsidR="0006522F" w:rsidP="0006522F">
      <w:pPr>
        <w:numPr>
          <w:numId w:val="1"/>
        </w:numPr>
        <w:autoSpaceDN w:val="0"/>
        <w:spacing w:before="120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dosiahnuť minimálnu sadzbu spotrebnej dane ustanovenú smernicou Rady 2003/96/ES na elektrinu a zemný plyn použitý ako palivo na vykurovanie do 1. januára 2010 za podmienky, že k 1. januáru 2007 bude sadzba dane na tieto tovary dosahovať 50 % minimálnej sadzby dane,</w:t>
      </w:r>
    </w:p>
    <w:p w:rsidR="0006522F" w:rsidP="0006522F">
      <w:pPr>
        <w:numPr>
          <w:numId w:val="1"/>
        </w:numPr>
        <w:autoSpaceDN w:val="0"/>
        <w:spacing w:before="120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dosiahnuť minimálnu sadzbu spotrebnej dane ustanovenú smernicou Rady 2003/96/ES na pevné palivá (uhlie, koks) do 1. januára 2009 za podmienky, že k 1. januáru 2007 bude sadzba dane na tieto produkty dosahovať  50 % minimálnej sadzby dane. </w:t>
      </w:r>
    </w:p>
    <w:p w:rsidR="0006522F" w:rsidP="0006522F">
      <w:pPr>
        <w:pStyle w:val="BodyTextIndent2"/>
        <w:spacing w:line="240" w:lineRule="auto"/>
        <w:rPr>
          <w:rFonts w:ascii="Arial Narrow" w:hAnsi="Arial Narrow" w:cs="Arial Narrow"/>
          <w:sz w:val="22"/>
          <w:szCs w:val="24"/>
        </w:rPr>
      </w:pPr>
    </w:p>
    <w:p w:rsidR="0006522F" w:rsidP="0006522F">
      <w:pPr>
        <w:ind w:firstLine="360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Zdaňovanie  zemného plynu v Slovenskej republike je v súčasnosti upravené v zákone č. 98/2004 Z. z..</w:t>
      </w:r>
    </w:p>
    <w:p w:rsidR="0006522F" w:rsidP="0006522F">
      <w:pPr>
        <w:ind w:firstLine="360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Vzhľadom k tomu, že elektrina, zemný plyn a pevné palivá (uhlie a koks) sa svojimi vlastnosťami, charakterom  výroby aj distribúcie výrazne odlišujú od ostatných minerálnych olejov zdaňovaných podľa                            zákona č. 98/2004 Z. z. a aj mechanizmus ich zdaňovania v zmysle smernice 2003/96/ES je odlišný, je najvhodnejšie upraviť zdaňovanie elektriny, zemného plynu a pevných palív (uhlia a koksu) samostatným zákonom.  Z uvedených dôvodov je potrebné v čl. II návrhu zákona upraviť ustanovenia zákona č. 98/2004 Z. z.  vo väzbe na presun zemného plynu z cit. zákona do predmetu dane návrhu nového zákona.</w:t>
      </w:r>
    </w:p>
    <w:p w:rsidR="0006522F" w:rsidP="0006522F">
      <w:pPr>
        <w:jc w:val="both"/>
        <w:rPr>
          <w:rFonts w:ascii="Arial Narrow" w:hAnsi="Arial Narrow" w:cs="Arial Narrow"/>
          <w:sz w:val="22"/>
          <w:szCs w:val="24"/>
        </w:rPr>
      </w:pPr>
    </w:p>
    <w:p w:rsidR="0006522F" w:rsidP="0006522F">
      <w:pPr>
        <w:jc w:val="both"/>
        <w:rPr>
          <w:rFonts w:ascii="Arial Narrow" w:hAnsi="Arial Narrow" w:cs="Arial Narrow"/>
          <w:b/>
          <w:sz w:val="22"/>
          <w:szCs w:val="24"/>
        </w:rPr>
      </w:pPr>
      <w:r>
        <w:rPr>
          <w:rFonts w:ascii="Arial Narrow" w:hAnsi="Arial Narrow" w:cs="Arial Narrow"/>
          <w:b/>
          <w:sz w:val="22"/>
          <w:szCs w:val="24"/>
        </w:rPr>
        <w:t>Princípy predkladaného  návrhu zákona</w:t>
      </w:r>
    </w:p>
    <w:p w:rsidR="0006522F" w:rsidP="0006522F">
      <w:pPr>
        <w:spacing w:before="120"/>
        <w:ind w:firstLine="360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Princípy zdaňovania elektriny, uhlia a zemného plynu upravené smernicou Rady 2003/96/ES vylučujú uplatňovanie ustanovení o kontrole a pohybe v zmysle smernice 92/12/EHS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Arial Narrow" w:hAnsi="Arial Narrow" w:cs="Arial Narrow"/>
          <w:sz w:val="22"/>
          <w:szCs w:val="24"/>
        </w:rPr>
        <w:t xml:space="preserve">o všeobecných systémoch pre výrobky podliehajúce spotrebnej dani a o vlastníctve a monitorovaní takýchto výrobkov v znení ďalších jej noviel, z čoho okrem iného vyplýva aj to, že sa neuplatňuje daňový režim pozastavenia dane, nie je zavedený štatút daňového skladu, prevádzkovateľa daňového skladu, oprávneného príjemcu, nie je zavedená povinnosť skladať zábezpeku a používať sprievodný dokument. </w:t>
      </w:r>
    </w:p>
    <w:p w:rsidR="0006522F" w:rsidP="0006522F">
      <w:pPr>
        <w:spacing w:before="120"/>
        <w:ind w:firstLine="360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Základný rozdiel pri zdaňovaní elektriny, uhlia a zemného plynu a ostatných energetických produktov je vo vzniku daňovej povinnosti. Daňová povinnosť pri energetických produktoch vzniká podľa smernice Rady 92/12/EHS dňom vyrobenia alebo dňom uvedenia do daňového voľného obehu, zatiaľ čo podľa smernice Rady 2003/96/ES daňová povinnosť u elektriny, uhlia a zemného plynu  vzniká dňom dodania konečnému spotrebiteľovi alebo dňom vlastnej spotreby právnickou osobou alebo fyzickou osobou, ktorá nie je konečným spotrebiteľom.   </w:t>
      </w:r>
    </w:p>
    <w:p w:rsidR="0006522F" w:rsidP="0006522F">
      <w:pPr>
        <w:spacing w:before="120"/>
        <w:ind w:firstLine="360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Keďže v prípade dodávok elektriny a zemného plynu ide o opakované dodávky tak, ako sú definované na účely dane z pridanej hodnoty (ďalej len „DPH“) a daňová povinnosť v zmysle smernice vzniká dňom dodania konečnému spotrebiteľovi, navrhuje sa, aby dňom dodania bol najneskôr posledný deň obdobia, na ktoré sa platba za dodané množstvo vzťahuje, a to ako pri preddavkových platbách (maloodberatelia), tak i pri platbách za skutočne dodanú meranú elektrinu a zemný plyn (veľkoodberatelia).  </w:t>
      </w:r>
    </w:p>
    <w:p w:rsidR="0006522F" w:rsidP="0006522F">
      <w:pPr>
        <w:spacing w:before="120"/>
        <w:ind w:firstLine="360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Zámerom je, pri zachovaní ustanovení smernice, priblíženie dňa vzniku daňovej povinnosti a zdaňovania spotrebnou daňou týchto komodít dňu vzniku daňovej povinnosti pri DPH, nakoľko spotrebná daň vstupuje do základu pre výpočet  DPH.</w:t>
      </w:r>
    </w:p>
    <w:p w:rsidR="0006522F" w:rsidP="0006522F">
      <w:pPr>
        <w:spacing w:before="120"/>
        <w:ind w:firstLine="360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b/>
          <w:sz w:val="22"/>
          <w:szCs w:val="24"/>
        </w:rPr>
        <w:t xml:space="preserve">Sadzby dane </w:t>
      </w:r>
      <w:r>
        <w:rPr>
          <w:rFonts w:ascii="Arial Narrow" w:hAnsi="Arial Narrow" w:cs="Arial Narrow"/>
          <w:sz w:val="22"/>
          <w:szCs w:val="24"/>
        </w:rPr>
        <w:t xml:space="preserve">sa navrhujú ustanoviť pre elektrinu v  Sk/kWh,  pre uhlie v Sk/t   a pre zemný plyn v Sk/kWh. </w:t>
      </w:r>
    </w:p>
    <w:p w:rsidR="0006522F" w:rsidP="0006522F">
      <w:pPr>
        <w:spacing w:before="120"/>
        <w:ind w:firstLine="360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Do návrhu zákona sú premietnuté ustanovenia smernice Rady 2003/96/ES upravujúce obligatórne daňové zvýhodnenia a niektoré fakultatívne daňové zvýhodnenia, ktoré vyplynuli najmä z požiadavky podpory ochrany životného prostredia vyplývajúce z článku 6 Zmluvy o založení Európskeho spoločenstva a z Kjótskeho protokolu, ktorý Európske spoločenstvo ratifikovalo ako strana Rámcového dohovoru o klimatických zmenách OSN.</w:t>
      </w:r>
    </w:p>
    <w:p w:rsidR="0006522F" w:rsidP="0006522F">
      <w:pPr>
        <w:spacing w:before="120"/>
        <w:ind w:firstLine="360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Nadväzne na daňové zvýhodnenie - oslobodenie od dane sa v predloženom návrhu zákona navrhuje zaviesť inštitút oprávneného spotrebiteľa, ktorým bude právnická osoba alebo fyzická osoba oprávnená používať elektrinu, uhlie alebo zemný plyn oslobodené od dane, a ktorý musí na tieto účely požiadať o registráciu a vydanie povolenia na odber elektriny, uhlia alebo zemného plynu oslobodených od dane. Z dôvodov zamedzenia administratívnej náročnosti sa navrhuje, aby domácnosti mohli používať elektrinu, uhlie a zemný plyn oslobodené od dane bez podávania žiadosti o registráciu a vydávania povolenia na odber elektriny, uhlia alebo zemného plynu oslobodených od dane. Identifikácia domácnosti pri dodávkach elektriny a zemného plynu oslobodených od dane vyplýva z charakteru a obsahu  zmluvy o dodávkach medzi odberateľom (domácnosťou) a dodávateľom. </w:t>
      </w:r>
    </w:p>
    <w:p w:rsidR="0006522F" w:rsidP="0006522F">
      <w:pPr>
        <w:spacing w:before="120"/>
        <w:ind w:firstLine="360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Daňovým dlžníkom bude právnická osoba alebo fyzická osoba, ktorá dodala elektrinu, uhlie alebo zemný plyn na konečnú spotrebu, alebo ktorá elektrinu, uhlie alebo zemný plyn spotrebovala.</w:t>
      </w:r>
    </w:p>
    <w:p w:rsidR="0006522F" w:rsidP="0006522F">
      <w:pPr>
        <w:spacing w:before="120"/>
        <w:ind w:firstLine="360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b/>
          <w:sz w:val="22"/>
          <w:szCs w:val="24"/>
        </w:rPr>
        <w:t xml:space="preserve"> Zdaňovacím obdobím</w:t>
      </w:r>
      <w:r>
        <w:rPr>
          <w:rFonts w:ascii="Arial Narrow" w:hAnsi="Arial Narrow" w:cs="Arial Narrow"/>
          <w:sz w:val="22"/>
          <w:szCs w:val="24"/>
        </w:rPr>
        <w:t xml:space="preserve"> sa navrhuje kalendárny mesiac a </w:t>
      </w:r>
      <w:r>
        <w:rPr>
          <w:rFonts w:ascii="Arial Narrow" w:hAnsi="Arial Narrow" w:cs="Arial Narrow"/>
          <w:b/>
          <w:sz w:val="22"/>
          <w:szCs w:val="24"/>
        </w:rPr>
        <w:t>splatnosť dane</w:t>
      </w:r>
      <w:r>
        <w:rPr>
          <w:rFonts w:ascii="Arial Narrow" w:hAnsi="Arial Narrow" w:cs="Arial Narrow"/>
          <w:sz w:val="22"/>
          <w:szCs w:val="24"/>
        </w:rPr>
        <w:t xml:space="preserve"> na 25. deň mesiaca nasledujúceho po mesiaci, v ktorom vznikla daňová povinnosť. </w:t>
      </w:r>
    </w:p>
    <w:p w:rsidR="0006522F" w:rsidP="0006522F">
      <w:pPr>
        <w:spacing w:before="120"/>
        <w:ind w:firstLine="360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Registrované subjekty (daňový dlžník, oprávnený spotrebiteľ) budú </w:t>
      </w:r>
      <w:r>
        <w:rPr>
          <w:rFonts w:ascii="Arial Narrow" w:hAnsi="Arial Narrow" w:cs="Arial Narrow"/>
          <w:b/>
          <w:sz w:val="22"/>
          <w:szCs w:val="24"/>
        </w:rPr>
        <w:t>povinné viesť evidenciu</w:t>
      </w:r>
      <w:r>
        <w:rPr>
          <w:rFonts w:ascii="Arial Narrow" w:hAnsi="Arial Narrow" w:cs="Arial Narrow"/>
          <w:sz w:val="22"/>
          <w:szCs w:val="24"/>
        </w:rPr>
        <w:t xml:space="preserve"> v rozsahu potrebnom na správne určenie dodaného, resp. spotrebovaného množstva elektriny, uhlia alebo zemného plynu a výšky spotrebnej dane.</w:t>
      </w:r>
    </w:p>
    <w:p w:rsidR="0006522F" w:rsidP="0006522F">
      <w:pPr>
        <w:spacing w:before="120"/>
        <w:ind w:firstLine="360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b/>
          <w:sz w:val="22"/>
          <w:szCs w:val="24"/>
        </w:rPr>
        <w:t>Vyhlásenie o súlade</w:t>
      </w:r>
    </w:p>
    <w:p w:rsidR="0006522F" w:rsidP="0006522F">
      <w:pPr>
        <w:spacing w:before="120"/>
        <w:ind w:firstLine="360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Návrh zákona je v súlade s Ústavou Slovenskej republiky, s inými zákonmi a medzinárodnými zmluvami, ktorými je Slovenská republika viazaná. </w:t>
      </w:r>
    </w:p>
    <w:p w:rsidR="0006522F" w:rsidP="0006522F">
      <w:pPr>
        <w:spacing w:before="120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     </w:t>
      </w:r>
    </w:p>
    <w:p w:rsidR="00B02685" w:rsidP="0006522F">
      <w:pPr>
        <w:spacing w:before="120"/>
        <w:jc w:val="both"/>
        <w:rPr>
          <w:rFonts w:ascii="Arial Narrow" w:hAnsi="Arial Narrow" w:cs="Arial Narrow"/>
          <w:sz w:val="22"/>
          <w:szCs w:val="24"/>
        </w:rPr>
      </w:pPr>
    </w:p>
    <w:p w:rsidR="00B02685" w:rsidP="0006522F">
      <w:pPr>
        <w:spacing w:before="120"/>
        <w:jc w:val="both"/>
        <w:rPr>
          <w:rFonts w:ascii="Arial Narrow" w:hAnsi="Arial Narrow" w:cs="Arial Narrow"/>
          <w:sz w:val="22"/>
          <w:szCs w:val="24"/>
        </w:rPr>
      </w:pPr>
    </w:p>
    <w:p w:rsidR="00B02685" w:rsidP="0006522F">
      <w:pPr>
        <w:spacing w:before="120"/>
        <w:jc w:val="both"/>
        <w:rPr>
          <w:rFonts w:ascii="Arial Narrow" w:hAnsi="Arial Narrow" w:cs="Arial Narrow"/>
          <w:sz w:val="22"/>
          <w:szCs w:val="24"/>
        </w:rPr>
      </w:pPr>
    </w:p>
    <w:p w:rsidR="00B02685" w:rsidP="0006522F">
      <w:pPr>
        <w:spacing w:before="120"/>
        <w:jc w:val="both"/>
        <w:rPr>
          <w:rFonts w:ascii="Arial Narrow" w:hAnsi="Arial Narrow" w:cs="Arial Narrow"/>
          <w:sz w:val="22"/>
          <w:szCs w:val="24"/>
        </w:rPr>
      </w:pPr>
    </w:p>
    <w:p w:rsidR="00B02685" w:rsidP="0006522F">
      <w:pPr>
        <w:spacing w:before="120"/>
        <w:jc w:val="both"/>
        <w:rPr>
          <w:rFonts w:ascii="Arial Narrow" w:hAnsi="Arial Narrow" w:cs="Arial Narrow"/>
          <w:sz w:val="22"/>
          <w:szCs w:val="24"/>
        </w:rPr>
      </w:pPr>
    </w:p>
    <w:p w:rsidR="00B02685" w:rsidP="0006522F">
      <w:pPr>
        <w:spacing w:before="120"/>
        <w:jc w:val="both"/>
        <w:rPr>
          <w:rFonts w:ascii="Arial Narrow" w:hAnsi="Arial Narrow" w:cs="Arial Narrow"/>
          <w:sz w:val="22"/>
          <w:szCs w:val="24"/>
        </w:rPr>
      </w:pPr>
    </w:p>
    <w:p w:rsidR="00B02685" w:rsidP="0006522F">
      <w:pPr>
        <w:spacing w:before="120"/>
        <w:jc w:val="both"/>
        <w:rPr>
          <w:rFonts w:ascii="Arial Narrow" w:hAnsi="Arial Narrow" w:cs="Arial Narrow"/>
          <w:sz w:val="22"/>
          <w:szCs w:val="24"/>
        </w:rPr>
      </w:pPr>
    </w:p>
    <w:p w:rsidR="00B02685" w:rsidP="0006522F">
      <w:pPr>
        <w:spacing w:before="120"/>
        <w:jc w:val="both"/>
        <w:rPr>
          <w:rFonts w:ascii="Arial Narrow" w:hAnsi="Arial Narrow" w:cs="Arial Narrow"/>
          <w:sz w:val="22"/>
          <w:szCs w:val="24"/>
        </w:rPr>
      </w:pPr>
    </w:p>
    <w:p w:rsidR="00B02685" w:rsidP="0006522F">
      <w:pPr>
        <w:spacing w:before="120"/>
        <w:jc w:val="both"/>
        <w:rPr>
          <w:rFonts w:ascii="Arial Narrow" w:hAnsi="Arial Narrow" w:cs="Arial Narrow"/>
          <w:sz w:val="22"/>
          <w:szCs w:val="24"/>
        </w:rPr>
      </w:pPr>
    </w:p>
    <w:p w:rsidR="00B02685" w:rsidP="0006522F">
      <w:pPr>
        <w:spacing w:before="120"/>
        <w:jc w:val="both"/>
        <w:rPr>
          <w:rFonts w:ascii="Arial Narrow" w:hAnsi="Arial Narrow" w:cs="Arial Narrow"/>
          <w:sz w:val="22"/>
          <w:szCs w:val="24"/>
        </w:rPr>
      </w:pPr>
    </w:p>
    <w:p w:rsidR="00B02685" w:rsidP="0006522F">
      <w:pPr>
        <w:spacing w:before="120"/>
        <w:jc w:val="both"/>
        <w:rPr>
          <w:rFonts w:ascii="Arial Narrow" w:hAnsi="Arial Narrow" w:cs="Arial Narrow"/>
          <w:sz w:val="22"/>
          <w:szCs w:val="24"/>
        </w:rPr>
      </w:pPr>
    </w:p>
    <w:p w:rsidR="00B02685" w:rsidP="0006522F">
      <w:pPr>
        <w:spacing w:before="120"/>
        <w:jc w:val="both"/>
        <w:rPr>
          <w:rFonts w:ascii="Arial Narrow" w:hAnsi="Arial Narrow" w:cs="Arial Narrow"/>
          <w:sz w:val="22"/>
          <w:szCs w:val="24"/>
        </w:rPr>
      </w:pPr>
    </w:p>
    <w:p w:rsidR="00B02685" w:rsidP="0006522F">
      <w:pPr>
        <w:spacing w:before="120"/>
        <w:jc w:val="both"/>
        <w:rPr>
          <w:rFonts w:ascii="Arial Narrow" w:hAnsi="Arial Narrow" w:cs="Arial Narrow"/>
          <w:sz w:val="22"/>
          <w:szCs w:val="24"/>
        </w:rPr>
      </w:pPr>
    </w:p>
    <w:p w:rsidR="00B02685" w:rsidP="0006522F">
      <w:pPr>
        <w:spacing w:before="120"/>
        <w:jc w:val="both"/>
        <w:rPr>
          <w:rFonts w:ascii="Arial Narrow" w:hAnsi="Arial Narrow" w:cs="Arial Narrow"/>
          <w:sz w:val="22"/>
          <w:szCs w:val="24"/>
        </w:rPr>
      </w:pPr>
    </w:p>
    <w:p w:rsidR="0006522F" w:rsidP="0006522F">
      <w:pPr>
        <w:ind w:left="360"/>
        <w:jc w:val="center"/>
        <w:rPr>
          <w:rFonts w:ascii="Arial Narrow" w:hAnsi="Arial Narrow" w:cs="Arial Narrow"/>
          <w:b/>
          <w:sz w:val="22"/>
          <w:szCs w:val="24"/>
        </w:rPr>
      </w:pPr>
    </w:p>
    <w:sectPr>
      <w:footerReference w:type="default" r:id="rId4"/>
      <w:pgSz w:w="11906" w:h="16838"/>
      <w:pgMar w:top="1417" w:right="1417" w:bottom="1258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AB4" w:rsidRPr="00473015">
    <w:pPr>
      <w:pStyle w:val="Footer"/>
      <w:framePr w:vAnchor="text" w:hAnchor="margin" w:xAlign="right"/>
      <w:rPr>
        <w:rStyle w:val="PageNumber"/>
        <w:rFonts w:ascii="Arial Narrow" w:hAnsi="Arial Narrow" w:cs="Arial Narrow"/>
        <w:sz w:val="20"/>
        <w:szCs w:val="24"/>
      </w:rPr>
    </w:pPr>
    <w:r w:rsidRPr="00473015">
      <w:rPr>
        <w:rStyle w:val="PageNumber"/>
        <w:rFonts w:ascii="Arial Narrow" w:hAnsi="Arial Narrow" w:cs="Arial Narrow"/>
        <w:sz w:val="20"/>
        <w:szCs w:val="24"/>
      </w:rPr>
      <w:fldChar w:fldCharType="begin"/>
    </w:r>
    <w:r w:rsidRPr="00473015">
      <w:rPr>
        <w:rStyle w:val="PageNumber"/>
        <w:rFonts w:ascii="Arial Narrow" w:hAnsi="Arial Narrow" w:cs="Arial Narrow"/>
        <w:sz w:val="20"/>
        <w:szCs w:val="24"/>
      </w:rPr>
      <w:instrText xml:space="preserve">PAGE  </w:instrText>
    </w:r>
    <w:r w:rsidRPr="00473015">
      <w:rPr>
        <w:rStyle w:val="PageNumber"/>
        <w:rFonts w:ascii="Arial Narrow" w:hAnsi="Arial Narrow" w:cs="Arial Narrow"/>
        <w:sz w:val="20"/>
        <w:szCs w:val="24"/>
      </w:rPr>
      <w:fldChar w:fldCharType="separate"/>
    </w:r>
    <w:r w:rsidR="00E8037D">
      <w:rPr>
        <w:rStyle w:val="PageNumber"/>
        <w:rFonts w:ascii="Arial Narrow" w:hAnsi="Arial Narrow" w:cs="Arial Narrow"/>
        <w:noProof/>
        <w:sz w:val="20"/>
        <w:szCs w:val="24"/>
      </w:rPr>
      <w:t>1</w:t>
    </w:r>
    <w:r w:rsidRPr="00473015">
      <w:rPr>
        <w:rStyle w:val="PageNumber"/>
        <w:rFonts w:ascii="Arial Narrow" w:hAnsi="Arial Narrow" w:cs="Arial Narrow"/>
        <w:sz w:val="20"/>
        <w:szCs w:val="24"/>
      </w:rPr>
      <w:fldChar w:fldCharType="end"/>
    </w:r>
  </w:p>
  <w:p w:rsidR="00497AB4">
    <w:pPr>
      <w:pStyle w:val="Footer"/>
      <w:ind w:right="360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D1E"/>
    <w:multiLevelType w:val="hybridMultilevel"/>
    <w:tmpl w:val="8C24ED0C"/>
    <w:lvl w:ilvl="0">
      <w:start w:val="1"/>
      <w:numFmt w:val="decimal"/>
      <w:lvlText w:val="(%1)"/>
      <w:lvlJc w:val="left"/>
      <w:pPr>
        <w:tabs>
          <w:tab w:val="num" w:pos="340"/>
        </w:tabs>
        <w:ind w:left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EC2BAB"/>
    <w:multiLevelType w:val="hybridMultilevel"/>
    <w:tmpl w:val="C0FAA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0445E4"/>
    <w:multiLevelType w:val="hybridMultilevel"/>
    <w:tmpl w:val="F5B8161C"/>
    <w:lvl w:ilvl="0">
      <w:start w:val="1"/>
      <w:numFmt w:val="decimal"/>
      <w:lvlText w:val="(%1)"/>
      <w:lvlJc w:val="left"/>
      <w:pPr>
        <w:tabs>
          <w:tab w:val="num" w:pos="340"/>
        </w:tabs>
        <w:ind w:left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3463D5"/>
    <w:multiLevelType w:val="hybridMultilevel"/>
    <w:tmpl w:val="1B84FEC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B62683"/>
    <w:multiLevelType w:val="singleLevel"/>
    <w:tmpl w:val="768E8086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7A9508A"/>
    <w:multiLevelType w:val="hybridMultilevel"/>
    <w:tmpl w:val="6C740C6E"/>
    <w:lvl w:ilvl="0">
      <w:start w:val="1"/>
      <w:numFmt w:val="decimal"/>
      <w:lvlText w:val="(%1)"/>
      <w:lvlJc w:val="left"/>
      <w:pPr>
        <w:tabs>
          <w:tab w:val="num" w:pos="340"/>
        </w:tabs>
        <w:ind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191627"/>
    <w:multiLevelType w:val="hybridMultilevel"/>
    <w:tmpl w:val="62DA9E78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F1E6760"/>
    <w:multiLevelType w:val="hybridMultilevel"/>
    <w:tmpl w:val="41ACF29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2"/>
      <w:numFmt w:val="upperRoman"/>
      <w:lvlText w:val="%2."/>
      <w:lvlJc w:val="left"/>
      <w:pPr>
        <w:tabs>
          <w:tab w:val="num" w:pos="1724"/>
        </w:tabs>
        <w:ind w:left="1724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C2383"/>
    <w:rsid w:val="0006522F"/>
    <w:rsid w:val="00071AC1"/>
    <w:rsid w:val="00120C14"/>
    <w:rsid w:val="002250D9"/>
    <w:rsid w:val="003D10A3"/>
    <w:rsid w:val="00473015"/>
    <w:rsid w:val="00497AB4"/>
    <w:rsid w:val="004C2383"/>
    <w:rsid w:val="004E3142"/>
    <w:rsid w:val="006E31A3"/>
    <w:rsid w:val="00A051EA"/>
    <w:rsid w:val="00A5341C"/>
    <w:rsid w:val="00B02685"/>
    <w:rsid w:val="00E04F92"/>
    <w:rsid w:val="00E8037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06522F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spacing w:before="120"/>
      <w:ind w:left="1004"/>
      <w:jc w:val="left"/>
      <w:outlineLvl w:val="0"/>
    </w:pPr>
    <w:rPr>
      <w:rFonts w:ascii="Arial Narrow" w:hAnsi="Arial Narrow" w:cs="Arial Narrow"/>
      <w:b/>
      <w:sz w:val="22"/>
    </w:rPr>
  </w:style>
  <w:style w:type="paragraph" w:styleId="Heading2">
    <w:name w:val="heading 2"/>
    <w:basedOn w:val="Normal"/>
    <w:next w:val="Normal"/>
    <w:uiPriority w:val="99"/>
    <w:pPr>
      <w:keepNext/>
      <w:jc w:val="both"/>
      <w:outlineLvl w:val="1"/>
    </w:pPr>
    <w:rPr>
      <w:rFonts w:ascii="Arial Narrow" w:hAnsi="Arial Narrow" w:cs="Arial Narrow"/>
      <w:b/>
      <w:sz w:val="22"/>
    </w:rPr>
  </w:style>
  <w:style w:type="paragraph" w:styleId="Heading4">
    <w:name w:val="heading 4"/>
    <w:basedOn w:val="Normal"/>
    <w:next w:val="Normal"/>
    <w:uiPriority w:val="99"/>
    <w:rsid w:val="002250D9"/>
    <w:pPr>
      <w:keepNext/>
      <w:spacing w:before="240" w:after="60"/>
      <w:jc w:val="left"/>
      <w:outlineLvl w:val="3"/>
    </w:pPr>
    <w:rPr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uiPriority w:val="99"/>
    <w:pPr>
      <w:spacing w:line="360" w:lineRule="auto"/>
      <w:ind w:firstLine="708"/>
      <w:jc w:val="both"/>
    </w:p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</w:style>
  <w:style w:type="paragraph" w:styleId="BodyText">
    <w:name w:val="Body Text"/>
    <w:basedOn w:val="Normal"/>
    <w:uiPriority w:val="99"/>
    <w:pPr>
      <w:spacing w:after="120"/>
      <w:jc w:val="left"/>
    </w:pPr>
  </w:style>
  <w:style w:type="paragraph" w:customStyle="1" w:styleId="Zkladntext">
    <w:name w:val="Zkladn text"/>
    <w:uiPriority w:val="99"/>
    <w:pPr>
      <w:widowControl w:val="0"/>
      <w:autoSpaceDE w:val="0"/>
      <w:autoSpaceDN w:val="0"/>
      <w:adjustRightInd/>
      <w:ind w:left="0" w:right="0"/>
      <w:jc w:val="left"/>
      <w:textAlignment w:val="auto"/>
    </w:pPr>
    <w:rPr>
      <w:color w:val="000000"/>
      <w:sz w:val="20"/>
      <w:lang w:val="sk-SK" w:eastAsia="sk-SK"/>
    </w:rPr>
  </w:style>
  <w:style w:type="paragraph" w:customStyle="1" w:styleId="dka">
    <w:name w:val="dka"/>
    <w:uiPriority w:val="99"/>
    <w:pPr>
      <w:widowControl w:val="0"/>
      <w:autoSpaceDE w:val="0"/>
      <w:autoSpaceDN w:val="0"/>
      <w:adjustRightInd/>
      <w:ind w:left="0" w:right="0"/>
      <w:jc w:val="left"/>
      <w:textAlignment w:val="auto"/>
    </w:pPr>
    <w:rPr>
      <w:color w:val="000000"/>
      <w:sz w:val="20"/>
      <w:lang w:val="sk-SK" w:eastAsia="sk-SK"/>
    </w:rPr>
  </w:style>
  <w:style w:type="paragraph" w:customStyle="1" w:styleId="Zkladntext0">
    <w:name w:val="Základní text"/>
    <w:uiPriority w:val="99"/>
    <w:pPr>
      <w:widowControl w:val="0"/>
      <w:autoSpaceDE/>
      <w:autoSpaceDN/>
      <w:adjustRightInd/>
      <w:ind w:left="0" w:right="0"/>
      <w:jc w:val="left"/>
      <w:textAlignment w:val="auto"/>
    </w:pPr>
    <w:rPr>
      <w:color w:val="000000"/>
      <w:sz w:val="20"/>
      <w:lang w:val="cs-CZ" w:eastAsia="sk-SK"/>
    </w:rPr>
  </w:style>
  <w:style w:type="paragraph" w:styleId="Title">
    <w:name w:val="Title"/>
    <w:basedOn w:val="Normal"/>
    <w:uiPriority w:val="99"/>
    <w:pPr>
      <w:autoSpaceDE w:val="0"/>
      <w:autoSpaceDN w:val="0"/>
      <w:jc w:val="center"/>
    </w:pPr>
    <w:rPr>
      <w:b/>
    </w:rPr>
  </w:style>
  <w:style w:type="paragraph" w:styleId="BodyText3">
    <w:name w:val="Body Text 3"/>
    <w:basedOn w:val="Normal"/>
    <w:uiPriority w:val="99"/>
    <w:pPr>
      <w:jc w:val="left"/>
    </w:pPr>
    <w:rPr>
      <w:rFonts w:ascii="Arial Narrow" w:hAnsi="Arial Narrow" w:cs="Arial Narrow"/>
      <w:b/>
      <w:sz w:val="22"/>
    </w:rPr>
  </w:style>
  <w:style w:type="paragraph" w:styleId="FootnoteText">
    <w:name w:val="footnote text"/>
    <w:basedOn w:val="Normal"/>
    <w:uiPriority w:val="99"/>
    <w:semiHidden/>
    <w:pPr>
      <w:jc w:val="left"/>
    </w:pPr>
    <w:rPr>
      <w:sz w:val="20"/>
    </w:rPr>
  </w:style>
  <w:style w:type="paragraph" w:styleId="BodyText2">
    <w:name w:val="Body Text 2"/>
    <w:basedOn w:val="Normal"/>
    <w:uiPriority w:val="99"/>
    <w:rsid w:val="002250D9"/>
    <w:pPr>
      <w:spacing w:after="120"/>
      <w:ind w:left="283"/>
      <w:jc w:val="left"/>
    </w:pPr>
  </w:style>
  <w:style w:type="paragraph" w:styleId="Header">
    <w:name w:val="header"/>
    <w:basedOn w:val="Normal"/>
    <w:uiPriority w:val="99"/>
    <w:rsid w:val="00473015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2</Pages>
  <Words>982</Words>
  <Characters>5603</Characters>
  <Application>Microsoft Office Word</Application>
  <DocSecurity>0</DocSecurity>
  <Lines>0</Lines>
  <Paragraphs>0</Paragraphs>
  <ScaleCrop>false</ScaleCrop>
  <Company>MFSR</Company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k návrhu zákona o spotrebnej dani z elektriny, uhlia a zemného plynu</dc:title>
  <dc:creator>akoprivova</dc:creator>
  <cp:lastModifiedBy>;</cp:lastModifiedBy>
  <cp:revision>12</cp:revision>
  <cp:lastPrinted>2007-05-18T09:15:00Z</cp:lastPrinted>
  <dcterms:created xsi:type="dcterms:W3CDTF">2007-09-12T13:22:00Z</dcterms:created>
  <dcterms:modified xsi:type="dcterms:W3CDTF">2007-09-20T08:32:00Z</dcterms:modified>
</cp:coreProperties>
</file>