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1A04" w:rsidRPr="00EE3A1A">
      <w:pPr>
        <w:jc w:val="center"/>
        <w:rPr>
          <w:rFonts w:ascii="Arial Narrow" w:hAnsi="Arial Narrow" w:cs="Arial Narrow"/>
          <w:b/>
          <w:szCs w:val="24"/>
        </w:rPr>
      </w:pPr>
      <w:r w:rsidRPr="00EE3A1A" w:rsidR="00EE3A1A">
        <w:rPr>
          <w:rFonts w:ascii="Arial Narrow" w:hAnsi="Arial Narrow" w:cs="Arial Narrow"/>
          <w:b/>
          <w:szCs w:val="24"/>
        </w:rPr>
        <w:t>NÁRODNÁ RADA SLOVENSKEJ REPUBLIKY</w:t>
      </w:r>
    </w:p>
    <w:p w:rsidR="00EE3A1A" w:rsidRPr="00EE3A1A">
      <w:pPr>
        <w:jc w:val="center"/>
        <w:rPr>
          <w:rFonts w:ascii="Arial Narrow" w:hAnsi="Arial Narrow" w:cs="Arial Narrow"/>
          <w:szCs w:val="24"/>
        </w:rPr>
      </w:pPr>
      <w:r>
        <w:rPr>
          <w:rFonts w:ascii="Times New Roman" w:hAnsi="Times New Roman" w:cs="Times New Roman"/>
          <w:noProof/>
          <w:szCs w:val="24"/>
        </w:rPr>
        <w:pict>
          <v:line id="_x0000_s1025" style="position:absolute;z-index:251658240" from="9pt,13.25pt" to="450pt,13.25pt"/>
        </w:pict>
      </w:r>
      <w:r w:rsidRPr="00EE3A1A">
        <w:rPr>
          <w:rFonts w:ascii="Arial Narrow" w:hAnsi="Arial Narrow" w:cs="Arial Narrow"/>
          <w:b/>
          <w:szCs w:val="24"/>
        </w:rPr>
        <w:t>IV. volebné obdobie</w:t>
      </w:r>
    </w:p>
    <w:p w:rsidR="00EE3A1A">
      <w:pPr>
        <w:pStyle w:val="Heading5"/>
        <w:ind w:left="0"/>
        <w:jc w:val="center"/>
        <w:rPr>
          <w:szCs w:val="24"/>
        </w:rPr>
      </w:pPr>
    </w:p>
    <w:p w:rsidR="00EE3A1A" w:rsidP="00EE3A1A">
      <w:pPr>
        <w:pStyle w:val="Heading5"/>
        <w:ind w:left="0"/>
        <w:jc w:val="center"/>
        <w:rPr>
          <w:szCs w:val="24"/>
        </w:rPr>
      </w:pPr>
      <w:r w:rsidR="00533965">
        <w:rPr>
          <w:szCs w:val="24"/>
        </w:rPr>
        <w:t>442</w:t>
      </w:r>
    </w:p>
    <w:p w:rsidR="00EE3A1A" w:rsidP="00EE3A1A">
      <w:pPr>
        <w:rPr>
          <w:rFonts w:ascii="Times New Roman" w:hAnsi="Times New Roman" w:cs="Times New Roman"/>
          <w:szCs w:val="24"/>
        </w:rPr>
      </w:pPr>
    </w:p>
    <w:p w:rsidR="00EE3A1A" w:rsidRPr="00EE3A1A" w:rsidP="00EE3A1A">
      <w:pPr>
        <w:jc w:val="center"/>
        <w:rPr>
          <w:rFonts w:ascii="Arial Narrow" w:hAnsi="Arial Narrow" w:cs="Arial Narrow"/>
          <w:b/>
          <w:szCs w:val="24"/>
        </w:rPr>
      </w:pPr>
      <w:r w:rsidRPr="00EE3A1A">
        <w:rPr>
          <w:rFonts w:ascii="Arial Narrow" w:hAnsi="Arial Narrow" w:cs="Arial Narrow"/>
          <w:b/>
          <w:szCs w:val="24"/>
        </w:rPr>
        <w:t>VLÁDNY NÁVRH</w:t>
      </w:r>
    </w:p>
    <w:p w:rsidR="00EE3A1A">
      <w:pPr>
        <w:pStyle w:val="Heading5"/>
        <w:ind w:left="0"/>
        <w:jc w:val="center"/>
        <w:rPr>
          <w:szCs w:val="24"/>
        </w:rPr>
      </w:pPr>
    </w:p>
    <w:p w:rsidR="006A1A04">
      <w:pPr>
        <w:pStyle w:val="Heading5"/>
        <w:ind w:left="0"/>
        <w:jc w:val="center"/>
        <w:rPr>
          <w:szCs w:val="24"/>
        </w:rPr>
      </w:pPr>
      <w:r>
        <w:rPr>
          <w:szCs w:val="24"/>
        </w:rPr>
        <w:t>ZÁKON</w:t>
      </w:r>
    </w:p>
    <w:p w:rsidR="00533965" w:rsidRPr="00533965" w:rsidP="00533965">
      <w:pPr>
        <w:rPr>
          <w:rFonts w:ascii="Times New Roman" w:hAnsi="Times New Roman" w:cs="Times New Roman"/>
          <w:szCs w:val="24"/>
        </w:rPr>
      </w:pPr>
    </w:p>
    <w:p w:rsidR="006A1A04">
      <w:pPr>
        <w:jc w:val="center"/>
        <w:rPr>
          <w:rFonts w:ascii="Arial Narrow" w:hAnsi="Arial Narrow" w:cs="Arial Narrow"/>
          <w:b/>
          <w:sz w:val="22"/>
          <w:szCs w:val="24"/>
        </w:rPr>
      </w:pPr>
      <w:r>
        <w:rPr>
          <w:rFonts w:ascii="Arial Narrow" w:hAnsi="Arial Narrow" w:cs="Arial Narrow"/>
          <w:b/>
          <w:sz w:val="22"/>
          <w:szCs w:val="24"/>
        </w:rPr>
        <w:t>z ..............2007</w:t>
      </w:r>
    </w:p>
    <w:p w:rsidR="006A1A04">
      <w:pPr>
        <w:jc w:val="center"/>
        <w:rPr>
          <w:rFonts w:ascii="Arial Narrow" w:hAnsi="Arial Narrow" w:cs="Arial Narrow"/>
          <w:sz w:val="22"/>
          <w:szCs w:val="24"/>
        </w:rPr>
      </w:pPr>
    </w:p>
    <w:p w:rsidR="006A1A04" w:rsidP="00EE3A1A">
      <w:pPr>
        <w:jc w:val="center"/>
        <w:rPr>
          <w:rFonts w:ascii="Arial Narrow" w:hAnsi="Arial Narrow" w:cs="Arial Narrow"/>
          <w:b/>
          <w:sz w:val="22"/>
          <w:szCs w:val="24"/>
        </w:rPr>
      </w:pPr>
      <w:r>
        <w:rPr>
          <w:rFonts w:ascii="Arial Narrow" w:hAnsi="Arial Narrow" w:cs="Arial Narrow"/>
          <w:b/>
          <w:sz w:val="22"/>
          <w:szCs w:val="24"/>
        </w:rPr>
        <w:t xml:space="preserve">o spotrebnej dani z elektriny, uhlia a zemného plynu </w:t>
      </w:r>
    </w:p>
    <w:p w:rsidR="006A1A04" w:rsidP="00EE3A1A">
      <w:pPr>
        <w:tabs>
          <w:tab w:val="left" w:pos="0"/>
          <w:tab w:val="left" w:pos="720"/>
          <w:tab w:val="left" w:pos="1440"/>
          <w:tab w:val="left" w:pos="2160"/>
          <w:tab w:val="left" w:pos="2880"/>
          <w:tab w:val="left" w:pos="3600"/>
          <w:tab w:val="left" w:pos="4320"/>
        </w:tabs>
        <w:autoSpaceDE w:val="0"/>
        <w:autoSpaceDN w:val="0"/>
        <w:adjustRightInd w:val="0"/>
        <w:jc w:val="center"/>
        <w:rPr>
          <w:rFonts w:ascii="Arial Narrow" w:hAnsi="Arial Narrow" w:cs="Arial Narrow"/>
          <w:b/>
          <w:color w:val="000000"/>
          <w:sz w:val="22"/>
          <w:szCs w:val="24"/>
        </w:rPr>
      </w:pPr>
      <w:r>
        <w:rPr>
          <w:rFonts w:ascii="Arial Narrow" w:hAnsi="Arial Narrow" w:cs="Arial Narrow"/>
          <w:b/>
          <w:sz w:val="22"/>
          <w:szCs w:val="24"/>
        </w:rPr>
        <w:t>a o zmene a doplnení</w:t>
      </w:r>
      <w:r>
        <w:rPr>
          <w:rFonts w:ascii="Arial Narrow" w:hAnsi="Arial Narrow" w:cs="Arial Narrow"/>
          <w:b/>
          <w:color w:val="000000"/>
          <w:sz w:val="22"/>
          <w:szCs w:val="24"/>
        </w:rPr>
        <w:t xml:space="preserve"> zákona č. 98/2004 Z. z. o spotrebnej dani z minerálneho oleja v znení neskorších predpisov</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xml:space="preserve">   </w:t>
      </w:r>
    </w:p>
    <w:p w:rsidR="006A1A04">
      <w:pPr>
        <w:ind w:firstLine="708"/>
        <w:jc w:val="both"/>
        <w:rPr>
          <w:rFonts w:ascii="Arial Narrow" w:hAnsi="Arial Narrow" w:cs="Arial Narrow"/>
          <w:sz w:val="22"/>
          <w:szCs w:val="24"/>
        </w:rPr>
      </w:pPr>
      <w:r>
        <w:rPr>
          <w:rFonts w:ascii="Arial Narrow" w:hAnsi="Arial Narrow" w:cs="Arial Narrow"/>
          <w:sz w:val="22"/>
          <w:szCs w:val="24"/>
        </w:rPr>
        <w:t>Národná rada Slovenskej republiky sa uzniesla na tomto zákone:</w:t>
      </w:r>
    </w:p>
    <w:p w:rsidR="006A1A04">
      <w:pPr>
        <w:pStyle w:val="Heading5"/>
        <w:ind w:left="0"/>
        <w:rPr>
          <w:b w:val="0"/>
          <w:szCs w:val="24"/>
        </w:rPr>
      </w:pPr>
    </w:p>
    <w:p w:rsidR="006A1A04">
      <w:pPr>
        <w:pStyle w:val="Heading5"/>
        <w:ind w:left="0"/>
        <w:jc w:val="center"/>
        <w:rPr>
          <w:szCs w:val="24"/>
        </w:rPr>
      </w:pPr>
      <w:r>
        <w:rPr>
          <w:szCs w:val="24"/>
        </w:rPr>
        <w:t>Čl. I</w:t>
      </w:r>
    </w:p>
    <w:p w:rsidR="006A1A04">
      <w:pPr>
        <w:ind w:firstLine="708"/>
        <w:jc w:val="center"/>
        <w:rPr>
          <w:rFonts w:ascii="Arial Narrow" w:hAnsi="Arial Narrow" w:cs="Arial Narrow"/>
          <w:b/>
          <w:sz w:val="22"/>
          <w:szCs w:val="24"/>
        </w:rPr>
      </w:pPr>
    </w:p>
    <w:p w:rsidR="006A1A04">
      <w:pPr>
        <w:pStyle w:val="Heading1"/>
        <w:jc w:val="center"/>
        <w:rPr>
          <w:szCs w:val="24"/>
        </w:rPr>
      </w:pPr>
      <w:r>
        <w:rPr>
          <w:szCs w:val="24"/>
        </w:rPr>
        <w:t>PRVÁ  ČASŤ</w:t>
      </w:r>
    </w:p>
    <w:p w:rsidR="006A1A04">
      <w:pPr>
        <w:jc w:val="center"/>
        <w:rPr>
          <w:rFonts w:ascii="Arial Narrow" w:hAnsi="Arial Narrow" w:cs="Arial Narrow"/>
          <w:b/>
          <w:sz w:val="22"/>
          <w:szCs w:val="24"/>
        </w:rPr>
      </w:pPr>
      <w:r>
        <w:rPr>
          <w:rFonts w:ascii="Arial Narrow" w:hAnsi="Arial Narrow" w:cs="Arial Narrow"/>
          <w:b/>
          <w:sz w:val="22"/>
          <w:szCs w:val="24"/>
        </w:rPr>
        <w:t>ZÁKLADNÉ</w:t>
      </w:r>
      <w:r>
        <w:rPr>
          <w:rFonts w:ascii="Times New Roman" w:hAnsi="Times New Roman" w:cs="Times New Roman"/>
          <w:szCs w:val="24"/>
        </w:rPr>
        <w:t xml:space="preserve">  </w:t>
      </w:r>
      <w:r>
        <w:rPr>
          <w:rFonts w:ascii="Arial Narrow" w:hAnsi="Arial Narrow" w:cs="Arial Narrow"/>
          <w:b/>
          <w:sz w:val="22"/>
          <w:szCs w:val="24"/>
        </w:rPr>
        <w:t>USTANOVENIA</w:t>
      </w:r>
    </w:p>
    <w:p w:rsidR="006A1A04">
      <w:pPr>
        <w:ind w:firstLine="708"/>
        <w:jc w:val="center"/>
        <w:rPr>
          <w:rFonts w:ascii="Arial Narrow" w:hAnsi="Arial Narrow" w:cs="Arial Narrow"/>
          <w:b/>
          <w:sz w:val="22"/>
          <w:szCs w:val="24"/>
        </w:rPr>
      </w:pPr>
    </w:p>
    <w:p w:rsidR="006A1A04">
      <w:pPr>
        <w:jc w:val="center"/>
        <w:rPr>
          <w:rFonts w:ascii="Arial Narrow" w:hAnsi="Arial Narrow" w:cs="Arial Narrow"/>
          <w:sz w:val="22"/>
          <w:szCs w:val="24"/>
        </w:rPr>
      </w:pPr>
      <w:r>
        <w:rPr>
          <w:rFonts w:ascii="Arial Narrow" w:hAnsi="Arial Narrow" w:cs="Arial Narrow"/>
          <w:b/>
          <w:sz w:val="22"/>
          <w:szCs w:val="24"/>
        </w:rPr>
        <w:t>§ 1</w:t>
      </w:r>
    </w:p>
    <w:p w:rsidR="006A1A04">
      <w:pPr>
        <w:jc w:val="center"/>
        <w:rPr>
          <w:rFonts w:ascii="Arial Narrow" w:hAnsi="Arial Narrow" w:cs="Arial Narrow"/>
          <w:b/>
          <w:sz w:val="22"/>
          <w:szCs w:val="24"/>
        </w:rPr>
      </w:pPr>
      <w:r>
        <w:rPr>
          <w:rFonts w:ascii="Arial Narrow" w:hAnsi="Arial Narrow" w:cs="Arial Narrow"/>
          <w:b/>
          <w:sz w:val="22"/>
          <w:szCs w:val="24"/>
        </w:rPr>
        <w:t>Predmet úpravy</w:t>
      </w:r>
    </w:p>
    <w:p w:rsidR="006A1A04">
      <w:pPr>
        <w:ind w:firstLine="708"/>
        <w:rPr>
          <w:rFonts w:ascii="Arial Narrow" w:hAnsi="Arial Narrow" w:cs="Arial Narrow"/>
          <w:sz w:val="22"/>
          <w:szCs w:val="24"/>
        </w:rPr>
      </w:pPr>
    </w:p>
    <w:p w:rsidR="006A1A04">
      <w:pPr>
        <w:ind w:firstLine="708"/>
        <w:rPr>
          <w:rFonts w:ascii="Arial Narrow" w:hAnsi="Arial Narrow" w:cs="Arial Narrow"/>
          <w:sz w:val="22"/>
          <w:szCs w:val="24"/>
        </w:rPr>
      </w:pPr>
      <w:r>
        <w:rPr>
          <w:rFonts w:ascii="Arial Narrow" w:hAnsi="Arial Narrow" w:cs="Arial Narrow"/>
          <w:sz w:val="22"/>
          <w:szCs w:val="24"/>
        </w:rPr>
        <w:t>Tento zákon upravuje zdaňovanie elektriny, uhlia a zemného plynu spotrebnou daňou (ďalej len „daň“) na daňovom území.</w:t>
      </w:r>
    </w:p>
    <w:p w:rsidR="006A1A04">
      <w:pPr>
        <w:ind w:firstLine="708"/>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w:t>
      </w:r>
    </w:p>
    <w:p w:rsidR="006A1A04">
      <w:pPr>
        <w:jc w:val="center"/>
        <w:rPr>
          <w:rFonts w:ascii="Arial Narrow" w:hAnsi="Arial Narrow" w:cs="Arial Narrow"/>
          <w:b/>
          <w:sz w:val="22"/>
          <w:szCs w:val="24"/>
        </w:rPr>
      </w:pPr>
      <w:r>
        <w:rPr>
          <w:rFonts w:ascii="Arial Narrow" w:hAnsi="Arial Narrow" w:cs="Arial Narrow"/>
          <w:b/>
          <w:sz w:val="22"/>
          <w:szCs w:val="24"/>
        </w:rPr>
        <w:t>Vymedzenie pojmov</w:t>
      </w:r>
    </w:p>
    <w:p w:rsidR="006A1A04">
      <w:pPr>
        <w:ind w:firstLine="708"/>
        <w:jc w:val="center"/>
        <w:rPr>
          <w:rFonts w:ascii="Arial Narrow" w:hAnsi="Arial Narrow" w:cs="Arial Narrow"/>
          <w:sz w:val="22"/>
          <w:szCs w:val="24"/>
        </w:rPr>
      </w:pPr>
    </w:p>
    <w:p w:rsidR="006A1A04">
      <w:pPr>
        <w:numPr>
          <w:numId w:val="2"/>
        </w:numPr>
        <w:jc w:val="both"/>
        <w:rPr>
          <w:rFonts w:ascii="Arial Narrow" w:hAnsi="Arial Narrow" w:cs="Arial Narrow"/>
          <w:sz w:val="22"/>
          <w:szCs w:val="24"/>
        </w:rPr>
      </w:pPr>
      <w:r>
        <w:rPr>
          <w:rFonts w:ascii="Arial Narrow" w:hAnsi="Arial Narrow" w:cs="Arial Narrow"/>
          <w:sz w:val="22"/>
          <w:szCs w:val="24"/>
        </w:rPr>
        <w:t>Na účely tohto zákona sa rozumie</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daňovým územím územie Slovenskej republiky,</w:t>
      </w:r>
    </w:p>
    <w:p w:rsidR="006A1A04">
      <w:pPr>
        <w:numPr>
          <w:numId w:val="1"/>
        </w:numPr>
        <w:spacing w:before="120"/>
        <w:jc w:val="both"/>
        <w:rPr>
          <w:rFonts w:ascii="Arial Narrow" w:hAnsi="Arial Narrow" w:cs="Arial Narrow"/>
          <w:i/>
          <w:sz w:val="22"/>
          <w:szCs w:val="24"/>
        </w:rPr>
      </w:pPr>
      <w:r>
        <w:rPr>
          <w:rFonts w:ascii="Arial Narrow" w:hAnsi="Arial Narrow" w:cs="Arial Narrow"/>
          <w:sz w:val="22"/>
          <w:szCs w:val="24"/>
        </w:rPr>
        <w:t xml:space="preserve">územím Európskej únie územie členských štátov Európskej únie podľa osobitného predpisu </w:t>
      </w:r>
      <w:r>
        <w:rPr>
          <w:rStyle w:val="FootnoteReference"/>
          <w:rFonts w:ascii="Arial Narrow" w:hAnsi="Arial Narrow" w:cs="Arial Narrow"/>
          <w:sz w:val="22"/>
          <w:szCs w:val="24"/>
        </w:rPr>
        <w:footnoteReference w:id="0"/>
      </w:r>
      <w:r>
        <w:rPr>
          <w:rFonts w:ascii="Arial Narrow" w:hAnsi="Arial Narrow" w:cs="Arial Narrow"/>
          <w:sz w:val="22"/>
          <w:szCs w:val="24"/>
        </w:rPr>
        <w:t xml:space="preserve">) okrem územia ostrova Helgoland a územia Büsingen v Spolkovej republike Nemecko, územia Livigno, Campione d´Italia a talianskych vnútrozemských vôd jazera Lugano v Talianskej republike, územia Ceuta, Melilla a Kanárske ostrovy v Španielskom kráľovstve, zámorských území Francúzskej republiky a územia britských Normanských ostrovov, </w:t>
      </w:r>
      <w:r>
        <w:rPr>
          <w:rFonts w:ascii="Arial Narrow" w:hAnsi="Arial Narrow" w:cs="Arial Narrow"/>
          <w:i/>
          <w:sz w:val="22"/>
          <w:szCs w:val="24"/>
        </w:rPr>
        <w:t xml:space="preserve">  </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členským štátom územie členského štátu Európskej únie okrem území uvedených v písmene b),</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územím tretieho štátu územie, ktoré  nie je územím Európskej únie,</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kombinovanou nomenklatúrou tovarová nomenklatúra podľa  osobitných</w:t>
      </w:r>
      <w:r>
        <w:rPr>
          <w:rFonts w:ascii="Arial Narrow" w:hAnsi="Arial Narrow" w:cs="Arial Narrow"/>
          <w:b/>
          <w:sz w:val="22"/>
          <w:szCs w:val="24"/>
        </w:rPr>
        <w:t xml:space="preserve"> </w:t>
      </w:r>
      <w:r>
        <w:rPr>
          <w:rFonts w:ascii="Arial Narrow" w:hAnsi="Arial Narrow" w:cs="Arial Narrow"/>
          <w:sz w:val="22"/>
          <w:szCs w:val="24"/>
        </w:rPr>
        <w:t xml:space="preserve">predpisov, </w:t>
      </w:r>
      <w:r>
        <w:rPr>
          <w:rStyle w:val="FootnoteReference"/>
          <w:rFonts w:ascii="Arial Narrow" w:hAnsi="Arial Narrow" w:cs="Arial Narrow"/>
          <w:sz w:val="22"/>
          <w:szCs w:val="24"/>
        </w:rPr>
        <w:footnoteReference w:id="1"/>
      </w:r>
      <w:r>
        <w:rPr>
          <w:rFonts w:ascii="Arial Narrow" w:hAnsi="Arial Narrow" w:cs="Arial Narrow"/>
          <w:sz w:val="22"/>
          <w:szCs w:val="24"/>
        </w:rPr>
        <w:t>)</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 xml:space="preserve">podnikaním činnosť vykonávaná na daňovom území v súlade s osobitným predpisom </w:t>
      </w:r>
      <w:r>
        <w:rPr>
          <w:rStyle w:val="FootnoteReference"/>
          <w:rFonts w:ascii="Arial Narrow" w:hAnsi="Arial Narrow" w:cs="Arial Narrow"/>
          <w:sz w:val="22"/>
          <w:szCs w:val="24"/>
        </w:rPr>
        <w:footnoteReference w:id="2"/>
      </w:r>
      <w:r>
        <w:rPr>
          <w:rFonts w:ascii="Arial Narrow" w:hAnsi="Arial Narrow" w:cs="Arial Narrow"/>
          <w:sz w:val="22"/>
          <w:szCs w:val="24"/>
        </w:rPr>
        <w:t>) a rovnaká alebo obdobná činnosť vykonávaná v inom členskom štáte podľa právneho predpisu  tohto členského štátu,</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 xml:space="preserve">konečným spotrebiteľom elektriny právnická osoba alebo fyzická osoba, ktorá je koncovým odberateľom elektriny,  </w:t>
      </w:r>
      <w:r>
        <w:rPr>
          <w:rStyle w:val="FootnoteReference"/>
          <w:rFonts w:ascii="Arial Narrow" w:hAnsi="Arial Narrow" w:cs="Arial Narrow"/>
          <w:sz w:val="22"/>
          <w:szCs w:val="24"/>
        </w:rPr>
        <w:footnoteReference w:id="3"/>
      </w:r>
      <w:r>
        <w:rPr>
          <w:rFonts w:ascii="Arial Narrow" w:hAnsi="Arial Narrow" w:cs="Arial Narrow"/>
          <w:sz w:val="22"/>
          <w:szCs w:val="24"/>
        </w:rPr>
        <w:t xml:space="preserve">) </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konečným spotrebiteľom uhlia právnická osoba alebo fyzická osoba, ktorej bolo dodané uhlie na jeho konečnú spotrebu,</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 xml:space="preserve">konečným spotrebiteľom zemného plynu právnická osoba alebo fyzická osoba, ktorá je koncovým odberateľom zemného plynu,  </w:t>
      </w:r>
      <w:r>
        <w:rPr>
          <w:rStyle w:val="FootnoteReference"/>
          <w:rFonts w:ascii="Arial Narrow" w:hAnsi="Arial Narrow" w:cs="Arial Narrow"/>
          <w:sz w:val="22"/>
          <w:szCs w:val="24"/>
        </w:rPr>
        <w:footnoteReference w:id="4"/>
      </w:r>
      <w:r>
        <w:rPr>
          <w:rFonts w:ascii="Arial Narrow" w:hAnsi="Arial Narrow" w:cs="Arial Narrow"/>
          <w:sz w:val="22"/>
          <w:szCs w:val="24"/>
        </w:rPr>
        <w:t xml:space="preserve">) </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 xml:space="preserve">koncovým odberateľom elektriny v domácnosti odberateľ elektriny v domácnosti podľa osobitného     predpisu, </w:t>
      </w:r>
      <w:r>
        <w:rPr>
          <w:rStyle w:val="FootnoteReference"/>
          <w:rFonts w:ascii="Arial Narrow" w:hAnsi="Arial Narrow" w:cs="Arial Narrow"/>
          <w:sz w:val="22"/>
          <w:szCs w:val="24"/>
        </w:rPr>
        <w:footnoteReference w:id="5"/>
      </w:r>
      <w:r>
        <w:rPr>
          <w:rFonts w:ascii="Arial Narrow" w:hAnsi="Arial Narrow" w:cs="Arial Narrow"/>
          <w:sz w:val="22"/>
          <w:szCs w:val="24"/>
        </w:rPr>
        <w:t>)</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koncovým odberateľom uhlia v domácnosti fyzická osoba, ktorá nakupuje uhlie pre vlastnú spotrebu v domácnosti,</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 xml:space="preserve">koncovým odberateľom zemného plynu v domácnosti odberateľ zemného plynu v domácnosti podľa osobitného predpisu, </w:t>
      </w:r>
      <w:r>
        <w:rPr>
          <w:rStyle w:val="FootnoteReference"/>
          <w:rFonts w:ascii="Arial Narrow" w:hAnsi="Arial Narrow" w:cs="Arial Narrow"/>
          <w:sz w:val="22"/>
          <w:szCs w:val="24"/>
        </w:rPr>
        <w:footnoteReference w:id="6"/>
      </w:r>
      <w:r>
        <w:rPr>
          <w:rFonts w:ascii="Arial Narrow" w:hAnsi="Arial Narrow" w:cs="Arial Narrow"/>
          <w:sz w:val="22"/>
          <w:szCs w:val="24"/>
        </w:rPr>
        <w:t>)</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metalurgickým procesom tepelné spracovanie rúd a ich koncentrátov ako výstupného produktu tejto činnosti a výroba kovov klasifikovaná v nomenklatúre NACE  Rev. 2  v kóde  24 „výroba a spracovanie kovov</w:t>
      </w:r>
      <w:r>
        <w:rPr>
          <w:rFonts w:ascii="Arial Narrow" w:hAnsi="Arial Narrow" w:cs="Arial Narrow"/>
          <w:b/>
          <w:sz w:val="22"/>
          <w:szCs w:val="24"/>
        </w:rPr>
        <w:t>“</w:t>
      </w:r>
      <w:r>
        <w:rPr>
          <w:rFonts w:ascii="Arial Narrow" w:hAnsi="Arial Narrow" w:cs="Arial Narrow"/>
          <w:sz w:val="22"/>
          <w:szCs w:val="24"/>
        </w:rPr>
        <w:t xml:space="preserve">, </w:t>
      </w:r>
      <w:r>
        <w:rPr>
          <w:rFonts w:ascii="Arial Narrow" w:hAnsi="Arial Narrow" w:cs="Arial Narrow"/>
          <w:sz w:val="22"/>
          <w:szCs w:val="24"/>
          <w:vertAlign w:val="superscript"/>
        </w:rPr>
        <w:t>8</w:t>
      </w:r>
      <w:r>
        <w:rPr>
          <w:rFonts w:ascii="Arial Narrow" w:hAnsi="Arial Narrow" w:cs="Arial Narrow"/>
          <w:sz w:val="22"/>
          <w:szCs w:val="24"/>
        </w:rPr>
        <w:t>)</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mineralogickým procesom proces klasifikovaný v nomenklatúre NACE Rev. 2 v kóde 23 „výroba ostatných  nekovových minerálnych výrobkov“,</w:t>
      </w:r>
      <w:r>
        <w:rPr>
          <w:rFonts w:ascii="Arial Narrow" w:hAnsi="Arial Narrow" w:cs="Arial Narrow"/>
          <w:sz w:val="18"/>
          <w:szCs w:val="24"/>
        </w:rPr>
        <w:t xml:space="preserve"> </w:t>
      </w:r>
      <w:r>
        <w:rPr>
          <w:rStyle w:val="FootnoteReference"/>
          <w:rFonts w:ascii="Arial Narrow" w:hAnsi="Arial Narrow" w:cs="Arial Narrow"/>
          <w:sz w:val="22"/>
          <w:szCs w:val="24"/>
        </w:rPr>
        <w:footnoteReference w:id="7"/>
      </w:r>
      <w:r>
        <w:rPr>
          <w:rFonts w:ascii="Arial Narrow" w:hAnsi="Arial Narrow" w:cs="Arial Narrow"/>
          <w:sz w:val="22"/>
          <w:szCs w:val="24"/>
        </w:rPr>
        <w:t>)</w:t>
      </w:r>
      <w:r>
        <w:rPr>
          <w:rFonts w:ascii="Arial Narrow" w:hAnsi="Arial Narrow" w:cs="Arial Narrow"/>
          <w:i/>
          <w:sz w:val="22"/>
          <w:szCs w:val="24"/>
          <w:vertAlign w:val="superscript"/>
        </w:rPr>
        <w:t xml:space="preserve"> </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duálnym použitím použitie uhlia alebo zemného plynu ako palivo na výrobu tepla, ako aj na iné účely ako pohonná látka alebo ako palivo na výrobu tepla; za duálne použitie sa považuje aj použitie uhlia alebo zemného plynu na chemickú redukciu, v elektrolytických procesoch alebo v metalurgických procesoch,</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elektroenergetickým podnikom podnikateľ, ktorý</w:t>
      </w:r>
      <w:r>
        <w:rPr>
          <w:rFonts w:ascii="Arial Narrow" w:hAnsi="Arial Narrow" w:cs="Arial Narrow"/>
          <w:b/>
          <w:sz w:val="22"/>
          <w:szCs w:val="24"/>
        </w:rPr>
        <w:t xml:space="preserve"> </w:t>
      </w:r>
      <w:r>
        <w:rPr>
          <w:rFonts w:ascii="Arial Narrow" w:hAnsi="Arial Narrow" w:cs="Arial Narrow"/>
          <w:sz w:val="22"/>
          <w:szCs w:val="24"/>
        </w:rPr>
        <w:t xml:space="preserve">má povolenie podnikať v energetike podľa osobitného predpisu, </w:t>
      </w:r>
      <w:r>
        <w:rPr>
          <w:rStyle w:val="FootnoteReference"/>
          <w:rFonts w:ascii="Arial Narrow" w:hAnsi="Arial Narrow" w:cs="Arial Narrow"/>
          <w:sz w:val="22"/>
          <w:szCs w:val="24"/>
        </w:rPr>
        <w:footnoteReference w:id="8"/>
      </w:r>
      <w:r>
        <w:rPr>
          <w:rFonts w:ascii="Arial Narrow" w:hAnsi="Arial Narrow" w:cs="Arial Narrow"/>
          <w:sz w:val="22"/>
          <w:szCs w:val="24"/>
        </w:rPr>
        <w:t>) a ktorý elektrinu vyrába alebo</w:t>
      </w:r>
      <w:r>
        <w:rPr>
          <w:rFonts w:ascii="Arial Narrow" w:hAnsi="Arial Narrow" w:cs="Arial Narrow"/>
          <w:b/>
          <w:sz w:val="22"/>
          <w:szCs w:val="24"/>
        </w:rPr>
        <w:t xml:space="preserve"> </w:t>
      </w:r>
      <w:r>
        <w:rPr>
          <w:rFonts w:ascii="Arial Narrow" w:hAnsi="Arial Narrow" w:cs="Arial Narrow"/>
          <w:sz w:val="22"/>
          <w:szCs w:val="24"/>
        </w:rPr>
        <w:t xml:space="preserve">ktorý je prevádzkovateľom prenosovej sústavy elektriny </w:t>
      </w:r>
      <w:r>
        <w:rPr>
          <w:rStyle w:val="FootnoteReference"/>
          <w:rFonts w:ascii="Arial Narrow" w:hAnsi="Arial Narrow" w:cs="Arial Narrow"/>
          <w:sz w:val="22"/>
          <w:szCs w:val="24"/>
        </w:rPr>
        <w:footnoteReference w:id="9"/>
      </w:r>
      <w:r>
        <w:rPr>
          <w:rFonts w:ascii="Arial Narrow" w:hAnsi="Arial Narrow" w:cs="Arial Narrow"/>
          <w:sz w:val="22"/>
          <w:szCs w:val="24"/>
        </w:rPr>
        <w:t>) alebo</w:t>
      </w:r>
      <w:r>
        <w:rPr>
          <w:rFonts w:ascii="Arial Narrow" w:hAnsi="Arial Narrow" w:cs="Arial Narrow"/>
          <w:b/>
          <w:sz w:val="22"/>
          <w:szCs w:val="24"/>
        </w:rPr>
        <w:t xml:space="preserve"> </w:t>
      </w:r>
      <w:r>
        <w:rPr>
          <w:rFonts w:ascii="Arial Narrow" w:hAnsi="Arial Narrow" w:cs="Arial Narrow"/>
          <w:sz w:val="22"/>
          <w:szCs w:val="24"/>
        </w:rPr>
        <w:t xml:space="preserve">ktorý je obchodníkom s elektrinou, </w:t>
      </w:r>
      <w:r>
        <w:rPr>
          <w:rStyle w:val="FootnoteReference"/>
          <w:rFonts w:ascii="Arial Narrow" w:hAnsi="Arial Narrow" w:cs="Arial Narrow"/>
          <w:sz w:val="22"/>
          <w:szCs w:val="24"/>
        </w:rPr>
        <w:footnoteReference w:id="10"/>
      </w:r>
      <w:r>
        <w:rPr>
          <w:rFonts w:ascii="Arial Narrow" w:hAnsi="Arial Narrow" w:cs="Arial Narrow"/>
          <w:sz w:val="22"/>
          <w:szCs w:val="24"/>
        </w:rPr>
        <w:t xml:space="preserve">)  </w:t>
      </w:r>
    </w:p>
    <w:p w:rsidR="006A1A04">
      <w:pPr>
        <w:numPr>
          <w:numId w:val="1"/>
        </w:numPr>
        <w:spacing w:before="120"/>
        <w:jc w:val="both"/>
        <w:rPr>
          <w:rFonts w:ascii="Arial Narrow" w:hAnsi="Arial Narrow" w:cs="Arial Narrow"/>
          <w:sz w:val="22"/>
          <w:szCs w:val="24"/>
        </w:rPr>
      </w:pPr>
      <w:r>
        <w:rPr>
          <w:rFonts w:ascii="Arial Narrow" w:hAnsi="Arial Narrow" w:cs="Arial Narrow"/>
          <w:sz w:val="22"/>
          <w:szCs w:val="24"/>
        </w:rPr>
        <w:t>dodávateľom elektriny podnikateľ, ktorý má povolenie podnikať v energetike podľa osobitného predpisu,</w:t>
      </w:r>
      <w:r>
        <w:rPr>
          <w:rFonts w:ascii="Arial Narrow" w:hAnsi="Arial Narrow" w:cs="Arial Narrow"/>
          <w:sz w:val="22"/>
          <w:szCs w:val="24"/>
          <w:vertAlign w:val="superscript"/>
        </w:rPr>
        <w:t>9</w:t>
      </w:r>
      <w:r>
        <w:rPr>
          <w:rFonts w:ascii="Arial Narrow" w:hAnsi="Arial Narrow" w:cs="Arial Narrow"/>
          <w:sz w:val="22"/>
          <w:szCs w:val="24"/>
        </w:rPr>
        <w:t>) a ktorý dodáva elektrinu konečnému spotrebiteľovi elektriny,</w:t>
      </w:r>
    </w:p>
    <w:p w:rsidR="006A1A04">
      <w:pPr>
        <w:spacing w:before="120"/>
        <w:ind w:left="360" w:hanging="360"/>
        <w:jc w:val="both"/>
        <w:rPr>
          <w:rFonts w:ascii="Arial Narrow" w:hAnsi="Arial Narrow" w:cs="Arial Narrow"/>
          <w:sz w:val="22"/>
          <w:szCs w:val="24"/>
        </w:rPr>
      </w:pPr>
      <w:r>
        <w:rPr>
          <w:rFonts w:ascii="Arial Narrow" w:hAnsi="Arial Narrow" w:cs="Arial Narrow"/>
          <w:sz w:val="22"/>
          <w:szCs w:val="24"/>
        </w:rPr>
        <w:t>r)    plynárenským podnikom podnikateľ, ktorý</w:t>
      </w:r>
      <w:r>
        <w:rPr>
          <w:rFonts w:ascii="Arial Narrow" w:hAnsi="Arial Narrow" w:cs="Arial Narrow"/>
          <w:b/>
          <w:sz w:val="22"/>
          <w:szCs w:val="24"/>
        </w:rPr>
        <w:t xml:space="preserve"> </w:t>
      </w:r>
      <w:r>
        <w:rPr>
          <w:rFonts w:ascii="Arial Narrow" w:hAnsi="Arial Narrow" w:cs="Arial Narrow"/>
          <w:sz w:val="22"/>
          <w:szCs w:val="24"/>
        </w:rPr>
        <w:t xml:space="preserve">má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xml:space="preserve">) a ktorý zemný plyn vyrába, pričom výrobou zemného plynu sa rozumie ťažba alebo spracovanie zemného plynu, alebo ktorý je prevádzkovateľom prepravnej siete zemného plynu, </w:t>
      </w:r>
      <w:r>
        <w:rPr>
          <w:rStyle w:val="FootnoteReference"/>
          <w:rFonts w:ascii="Arial Narrow" w:hAnsi="Arial Narrow" w:cs="Arial Narrow"/>
          <w:sz w:val="22"/>
          <w:szCs w:val="24"/>
        </w:rPr>
        <w:footnoteReference w:id="11"/>
      </w:r>
      <w:r>
        <w:rPr>
          <w:rFonts w:ascii="Arial Narrow" w:hAnsi="Arial Narrow" w:cs="Arial Narrow"/>
          <w:sz w:val="22"/>
          <w:szCs w:val="24"/>
        </w:rPr>
        <w:t xml:space="preserve">)  prevádzkovateľom distribučnej siete zemného plynu, </w:t>
      </w:r>
      <w:r>
        <w:rPr>
          <w:rStyle w:val="FootnoteReference"/>
          <w:rFonts w:ascii="Arial Narrow" w:hAnsi="Arial Narrow" w:cs="Arial Narrow"/>
          <w:sz w:val="22"/>
          <w:szCs w:val="24"/>
        </w:rPr>
        <w:footnoteReference w:id="12"/>
      </w:r>
      <w:r>
        <w:rPr>
          <w:rFonts w:ascii="Arial Narrow" w:hAnsi="Arial Narrow" w:cs="Arial Narrow"/>
          <w:sz w:val="22"/>
          <w:szCs w:val="24"/>
        </w:rPr>
        <w:t xml:space="preserve">) </w:t>
      </w:r>
      <w:r>
        <w:rPr>
          <w:rFonts w:ascii="Arial Narrow" w:hAnsi="Arial Narrow" w:cs="Arial Narrow"/>
          <w:b/>
          <w:sz w:val="22"/>
          <w:szCs w:val="24"/>
        </w:rPr>
        <w:t xml:space="preserve"> </w:t>
      </w:r>
      <w:r>
        <w:rPr>
          <w:rFonts w:ascii="Arial Narrow" w:hAnsi="Arial Narrow" w:cs="Arial Narrow"/>
          <w:sz w:val="22"/>
          <w:szCs w:val="24"/>
        </w:rPr>
        <w:t>nakupuje zemný plyn na účely ďalšieho predaja alebo ktorý je oprávnený na uskladňovanie zemného plynu v zásobníkoch zemného plynu; plynárenský podnik nezahŕňa koncových odberateľov zemného plynu,</w:t>
      </w:r>
    </w:p>
    <w:p w:rsidR="006A1A04">
      <w:pPr>
        <w:pStyle w:val="BodyText3"/>
        <w:spacing w:before="120"/>
        <w:ind w:left="360" w:hanging="360"/>
        <w:jc w:val="both"/>
        <w:rPr>
          <w:b w:val="0"/>
          <w:szCs w:val="24"/>
        </w:rPr>
      </w:pPr>
      <w:r>
        <w:rPr>
          <w:b w:val="0"/>
          <w:szCs w:val="24"/>
        </w:rPr>
        <w:t>s)  dodávateľom zemného plynu podnikateľ, ktorý</w:t>
      </w:r>
      <w:r>
        <w:rPr>
          <w:szCs w:val="24"/>
        </w:rPr>
        <w:t xml:space="preserve"> </w:t>
      </w:r>
      <w:r>
        <w:rPr>
          <w:b w:val="0"/>
          <w:szCs w:val="24"/>
        </w:rPr>
        <w:t xml:space="preserve">má povolenie podnikať v energetike podľa osobitného predpisu, </w:t>
      </w:r>
      <w:r>
        <w:rPr>
          <w:b w:val="0"/>
          <w:szCs w:val="24"/>
          <w:vertAlign w:val="superscript"/>
        </w:rPr>
        <w:t>9</w:t>
      </w:r>
      <w:r>
        <w:rPr>
          <w:b w:val="0"/>
          <w:szCs w:val="24"/>
        </w:rPr>
        <w:t>) a ktorý dodáva zemný plyn konečnému spotrebiteľovi zemného plynu,</w:t>
      </w:r>
    </w:p>
    <w:p w:rsidR="006A1A04">
      <w:pPr>
        <w:pStyle w:val="BodyText3"/>
        <w:spacing w:before="120" w:after="120"/>
        <w:ind w:left="357" w:hanging="357"/>
        <w:rPr>
          <w:b w:val="0"/>
          <w:szCs w:val="24"/>
        </w:rPr>
      </w:pPr>
      <w:r>
        <w:rPr>
          <w:b w:val="0"/>
          <w:szCs w:val="24"/>
        </w:rPr>
        <w:t>t)     výrobcom uhlia podnikateľ, ktorý</w:t>
      </w:r>
      <w:r>
        <w:rPr>
          <w:szCs w:val="24"/>
        </w:rPr>
        <w:t xml:space="preserve">  </w:t>
      </w:r>
      <w:r>
        <w:rPr>
          <w:b w:val="0"/>
          <w:szCs w:val="24"/>
        </w:rPr>
        <w:t>v rámci podnikania</w:t>
      </w:r>
      <w:r>
        <w:rPr>
          <w:szCs w:val="24"/>
        </w:rPr>
        <w:t xml:space="preserve"> </w:t>
      </w:r>
      <w:r>
        <w:rPr>
          <w:b w:val="0"/>
          <w:szCs w:val="24"/>
        </w:rPr>
        <w:t>uhlie vyrába, pričom výrobou uhlia sa rozumie ťažba alebo spracovanie uhlia,</w:t>
      </w:r>
    </w:p>
    <w:p w:rsidR="006A1A04">
      <w:pPr>
        <w:jc w:val="both"/>
        <w:rPr>
          <w:rFonts w:ascii="Times New Roman" w:hAnsi="Times New Roman" w:cs="Times New Roman"/>
          <w:szCs w:val="24"/>
        </w:rPr>
      </w:pPr>
      <w:r>
        <w:rPr>
          <w:rFonts w:ascii="Arial Narrow" w:hAnsi="Arial Narrow" w:cs="Arial Narrow"/>
          <w:sz w:val="22"/>
          <w:szCs w:val="24"/>
        </w:rPr>
        <w:t>u)</w:t>
      </w:r>
      <w:r>
        <w:rPr>
          <w:rFonts w:ascii="Times New Roman" w:hAnsi="Times New Roman" w:cs="Times New Roman"/>
          <w:szCs w:val="24"/>
        </w:rPr>
        <w:t xml:space="preserve">   </w:t>
      </w:r>
      <w:r>
        <w:rPr>
          <w:rFonts w:ascii="Arial Narrow" w:hAnsi="Arial Narrow" w:cs="Arial Narrow"/>
          <w:sz w:val="22"/>
          <w:szCs w:val="24"/>
        </w:rPr>
        <w:t>obchodníkom s uhlím podnikateľ, ktorý</w:t>
      </w:r>
      <w:r>
        <w:rPr>
          <w:rFonts w:ascii="Arial Narrow" w:hAnsi="Arial Narrow" w:cs="Arial Narrow"/>
          <w:b/>
          <w:sz w:val="22"/>
          <w:szCs w:val="24"/>
        </w:rPr>
        <w:t xml:space="preserve"> </w:t>
      </w:r>
      <w:r>
        <w:rPr>
          <w:rFonts w:ascii="Arial Narrow" w:hAnsi="Arial Narrow" w:cs="Arial Narrow"/>
          <w:sz w:val="22"/>
          <w:szCs w:val="24"/>
        </w:rPr>
        <w:t xml:space="preserve">v rámci podnikania  nakupuje uhlie len na </w:t>
      </w:r>
      <w:r>
        <w:rPr>
          <w:rFonts w:ascii="Times New Roman" w:hAnsi="Times New Roman" w:cs="Times New Roman"/>
          <w:szCs w:val="24"/>
        </w:rPr>
        <w:t xml:space="preserve"> </w:t>
      </w:r>
      <w:r>
        <w:rPr>
          <w:rFonts w:ascii="Arial Narrow" w:hAnsi="Arial Narrow" w:cs="Arial Narrow"/>
          <w:sz w:val="22"/>
          <w:szCs w:val="24"/>
        </w:rPr>
        <w:t>účely ďalšieho predaja,</w:t>
      </w:r>
      <w:r>
        <w:rPr>
          <w:rFonts w:ascii="Times New Roman" w:hAnsi="Times New Roman" w:cs="Times New Roman"/>
          <w:szCs w:val="24"/>
        </w:rPr>
        <w:t xml:space="preserve"> </w:t>
      </w:r>
    </w:p>
    <w:p w:rsidR="006A1A04">
      <w:pPr>
        <w:pStyle w:val="BodyText3"/>
        <w:spacing w:before="120"/>
        <w:ind w:left="357" w:hanging="357"/>
        <w:rPr>
          <w:b w:val="0"/>
          <w:szCs w:val="24"/>
        </w:rPr>
      </w:pPr>
      <w:r>
        <w:rPr>
          <w:b w:val="0"/>
          <w:szCs w:val="24"/>
        </w:rPr>
        <w:t>v)    dodávateľom uhlia podnikateľ, ktorý v rámci podnikania dodáva uhlie konečnému spotrebiteľovi uhlia,</w:t>
      </w:r>
    </w:p>
    <w:p w:rsidR="006A1A04" w:rsidP="00BE1E00">
      <w:pPr>
        <w:pStyle w:val="BodyText3"/>
        <w:spacing w:before="120" w:after="120"/>
        <w:ind w:left="357" w:hanging="357"/>
        <w:jc w:val="both"/>
        <w:rPr>
          <w:b w:val="0"/>
          <w:szCs w:val="24"/>
        </w:rPr>
      </w:pPr>
      <w:r>
        <w:rPr>
          <w:b w:val="0"/>
          <w:szCs w:val="24"/>
        </w:rPr>
        <w:t>w) kódom kombinovanej</w:t>
      </w:r>
      <w:r>
        <w:rPr>
          <w:szCs w:val="24"/>
        </w:rPr>
        <w:t xml:space="preserve"> </w:t>
      </w:r>
      <w:r>
        <w:rPr>
          <w:b w:val="0"/>
          <w:szCs w:val="24"/>
        </w:rPr>
        <w:t>nomenklatúry číselné označenie vybraných výrobkov uvedených v osobitných   predpisoch.</w:t>
      </w:r>
      <w:r>
        <w:rPr>
          <w:szCs w:val="24"/>
        </w:rPr>
        <w:t xml:space="preserve"> </w:t>
      </w:r>
      <w:r>
        <w:rPr>
          <w:b w:val="0"/>
          <w:szCs w:val="24"/>
        </w:rPr>
        <w:t xml:space="preserve"> </w:t>
      </w:r>
      <w:r>
        <w:rPr>
          <w:b w:val="0"/>
          <w:szCs w:val="24"/>
          <w:vertAlign w:val="superscript"/>
        </w:rPr>
        <w:t>2</w:t>
      </w:r>
      <w:r>
        <w:rPr>
          <w:b w:val="0"/>
          <w:szCs w:val="24"/>
        </w:rPr>
        <w:t xml:space="preserve">) </w:t>
      </w:r>
    </w:p>
    <w:p w:rsidR="006A1A04" w:rsidP="00BE1E00">
      <w:pPr>
        <w:numPr>
          <w:numId w:val="2"/>
        </w:numPr>
        <w:spacing w:before="120" w:after="120"/>
        <w:jc w:val="both"/>
        <w:rPr>
          <w:rFonts w:ascii="Arial Narrow" w:hAnsi="Arial Narrow" w:cs="Arial Narrow"/>
          <w:sz w:val="22"/>
          <w:szCs w:val="24"/>
        </w:rPr>
      </w:pPr>
      <w:r>
        <w:rPr>
          <w:rFonts w:ascii="Arial Narrow" w:hAnsi="Arial Narrow" w:cs="Arial Narrow"/>
          <w:sz w:val="22"/>
          <w:szCs w:val="24"/>
        </w:rPr>
        <w:t>Ak dôjde k zmene kódu kombinovanej nomenklatúry, ktorá nemá vplyv na zmenu predmetu dane ani na sadzbu dane, použije sa platná sadzba dane uvedená v § 6, 18 alebo § 30,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w:t>
      </w:r>
    </w:p>
    <w:p w:rsidR="006A1A04">
      <w:pPr>
        <w:pStyle w:val="Heading2"/>
        <w:spacing w:before="0" w:after="120"/>
        <w:rPr>
          <w:szCs w:val="24"/>
        </w:rPr>
      </w:pPr>
      <w:r>
        <w:rPr>
          <w:szCs w:val="24"/>
        </w:rPr>
        <w:t>Správa dane</w:t>
      </w:r>
    </w:p>
    <w:p w:rsidR="006A1A04">
      <w:pPr>
        <w:spacing w:before="240"/>
        <w:ind w:firstLine="360"/>
        <w:jc w:val="both"/>
        <w:rPr>
          <w:rFonts w:ascii="Arial Narrow" w:hAnsi="Arial Narrow" w:cs="Arial Narrow"/>
          <w:sz w:val="22"/>
          <w:szCs w:val="24"/>
        </w:rPr>
      </w:pPr>
      <w:r>
        <w:rPr>
          <w:rFonts w:ascii="Arial Narrow" w:hAnsi="Arial Narrow" w:cs="Arial Narrow"/>
          <w:sz w:val="22"/>
          <w:szCs w:val="24"/>
        </w:rPr>
        <w:t>Správu dane vykonáva colný úrad, pričom jeho miestna príslušnosť sa riadi, ak ide o právnickú osobu, jej sídlom a ak ide o fyzickú osobu, jej trvalým pobytom; ak právnická osoba nemá sídlo na území Slovenskej republiky alebo ak fyzická osoba nemá na území Slovenskej republiky trvalý pobyt, je miestne príslušný Colný úrad Bratislava.  Ak nie je možné takto určiť miestnu príslušnosť alebo ak je to na výkon správy dane účelnejšie, určí ju Colné riaditeľstvo Slovenskej republiky (ďalej len „colné riaditeľstvo“). Colné riaditeľstvo môže pre odštepný závod, inú organizačnú zložku alebo prevádzkareň právnickej osoby alebo fyzickej osoby určiť miestnu príslušnosť aj inak, ak je to na výkon správy dane účelnejšie.</w:t>
      </w:r>
    </w:p>
    <w:p w:rsidR="006A1A04">
      <w:pPr>
        <w:pStyle w:val="Heading1"/>
        <w:spacing w:before="240"/>
        <w:jc w:val="center"/>
        <w:rPr>
          <w:szCs w:val="24"/>
        </w:rPr>
      </w:pPr>
    </w:p>
    <w:p w:rsidR="006A1A04">
      <w:pPr>
        <w:pStyle w:val="Heading1"/>
        <w:spacing w:before="240"/>
        <w:jc w:val="center"/>
        <w:rPr>
          <w:szCs w:val="24"/>
        </w:rPr>
      </w:pPr>
      <w:r>
        <w:rPr>
          <w:szCs w:val="24"/>
        </w:rPr>
        <w:t>DRUHÁ  ČASŤ</w:t>
      </w:r>
    </w:p>
    <w:p w:rsidR="006A1A04">
      <w:pPr>
        <w:jc w:val="center"/>
        <w:rPr>
          <w:rFonts w:ascii="Arial Narrow" w:hAnsi="Arial Narrow" w:cs="Arial Narrow"/>
          <w:b/>
          <w:sz w:val="22"/>
          <w:szCs w:val="24"/>
        </w:rPr>
      </w:pPr>
      <w:r>
        <w:rPr>
          <w:rFonts w:ascii="Arial Narrow" w:hAnsi="Arial Narrow" w:cs="Arial Narrow"/>
          <w:b/>
          <w:sz w:val="22"/>
          <w:szCs w:val="24"/>
        </w:rPr>
        <w:t>DAŇ  Z  ELEKTRINY</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4</w:t>
      </w:r>
    </w:p>
    <w:p w:rsidR="006A1A04">
      <w:pPr>
        <w:pStyle w:val="Heading2"/>
        <w:spacing w:before="0"/>
        <w:rPr>
          <w:szCs w:val="24"/>
        </w:rPr>
      </w:pPr>
      <w:r>
        <w:rPr>
          <w:szCs w:val="24"/>
        </w:rPr>
        <w:t>Predmet  dane</w:t>
      </w:r>
    </w:p>
    <w:p w:rsidR="006A1A04">
      <w:pPr>
        <w:spacing w:before="240"/>
        <w:jc w:val="both"/>
        <w:rPr>
          <w:rFonts w:ascii="Arial Narrow" w:hAnsi="Arial Narrow" w:cs="Arial Narrow"/>
          <w:sz w:val="22"/>
          <w:szCs w:val="24"/>
        </w:rPr>
      </w:pPr>
      <w:r>
        <w:rPr>
          <w:rFonts w:ascii="Arial Narrow" w:hAnsi="Arial Narrow" w:cs="Arial Narrow"/>
          <w:sz w:val="22"/>
          <w:szCs w:val="24"/>
        </w:rPr>
        <w:t xml:space="preserve">     Predmetom dane je elektrina kódu kombinovanej nomenklatúry 2716.</w:t>
      </w:r>
    </w:p>
    <w:p w:rsidR="006A1A04">
      <w:pPr>
        <w:spacing w:before="24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5</w:t>
      </w:r>
    </w:p>
    <w:p w:rsidR="006A1A04">
      <w:pPr>
        <w:jc w:val="center"/>
        <w:rPr>
          <w:rFonts w:ascii="Arial Narrow" w:hAnsi="Arial Narrow" w:cs="Arial Narrow"/>
          <w:sz w:val="22"/>
          <w:szCs w:val="24"/>
        </w:rPr>
      </w:pPr>
      <w:r>
        <w:rPr>
          <w:rFonts w:ascii="Arial Narrow" w:hAnsi="Arial Narrow" w:cs="Arial Narrow"/>
          <w:b/>
          <w:sz w:val="22"/>
          <w:szCs w:val="24"/>
        </w:rPr>
        <w:t>Základ dane a výpočet dane</w:t>
      </w:r>
    </w:p>
    <w:p w:rsidR="006A1A04">
      <w:pPr>
        <w:numPr>
          <w:numId w:val="4"/>
        </w:numPr>
        <w:spacing w:before="240"/>
        <w:jc w:val="both"/>
        <w:rPr>
          <w:rFonts w:ascii="Arial Narrow" w:hAnsi="Arial Narrow" w:cs="Arial Narrow"/>
          <w:sz w:val="22"/>
          <w:szCs w:val="24"/>
        </w:rPr>
      </w:pPr>
      <w:r>
        <w:rPr>
          <w:rFonts w:ascii="Arial Narrow" w:hAnsi="Arial Narrow" w:cs="Arial Narrow"/>
          <w:sz w:val="22"/>
          <w:szCs w:val="24"/>
        </w:rPr>
        <w:t xml:space="preserve">Základom dane je množstvo elektriny vyjadrené v  kilowatthodinách (kWh).                                                                                   </w:t>
      </w:r>
    </w:p>
    <w:p w:rsidR="006A1A04">
      <w:pPr>
        <w:numPr>
          <w:numId w:val="4"/>
        </w:numPr>
        <w:spacing w:before="120"/>
        <w:jc w:val="both"/>
        <w:rPr>
          <w:rFonts w:ascii="Arial Narrow" w:hAnsi="Arial Narrow" w:cs="Arial Narrow"/>
          <w:sz w:val="22"/>
          <w:szCs w:val="24"/>
        </w:rPr>
      </w:pPr>
      <w:r>
        <w:rPr>
          <w:rFonts w:ascii="Arial Narrow" w:hAnsi="Arial Narrow" w:cs="Arial Narrow"/>
          <w:sz w:val="22"/>
          <w:szCs w:val="24"/>
        </w:rPr>
        <w:t>Daň sa vypočíta ako súčin základu dane a príslušnej sadzby dane.</w:t>
      </w: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6</w:t>
      </w:r>
    </w:p>
    <w:p w:rsidR="006A1A04">
      <w:pPr>
        <w:pStyle w:val="Heading2"/>
        <w:spacing w:before="0"/>
        <w:rPr>
          <w:szCs w:val="24"/>
        </w:rPr>
      </w:pPr>
      <w:r>
        <w:rPr>
          <w:szCs w:val="24"/>
        </w:rPr>
        <w:t>Sadzba dane</w:t>
      </w:r>
    </w:p>
    <w:p w:rsidR="006A1A04">
      <w:pPr>
        <w:numPr>
          <w:numId w:val="215"/>
        </w:numPr>
        <w:spacing w:before="240"/>
        <w:jc w:val="both"/>
        <w:rPr>
          <w:rFonts w:ascii="Arial Narrow" w:hAnsi="Arial Narrow" w:cs="Arial Narrow"/>
          <w:sz w:val="22"/>
          <w:szCs w:val="24"/>
        </w:rPr>
      </w:pPr>
      <w:r>
        <w:rPr>
          <w:rFonts w:ascii="Arial Narrow" w:hAnsi="Arial Narrow" w:cs="Arial Narrow"/>
          <w:sz w:val="22"/>
          <w:szCs w:val="24"/>
        </w:rPr>
        <w:t>Sadzba dane na elektrinu sa ustanovuje od 1. júla</w:t>
      </w:r>
      <w:r>
        <w:rPr>
          <w:rFonts w:ascii="Arial Narrow" w:hAnsi="Arial Narrow" w:cs="Arial Narrow"/>
          <w:b/>
          <w:sz w:val="22"/>
          <w:szCs w:val="24"/>
        </w:rPr>
        <w:t xml:space="preserve"> </w:t>
      </w:r>
      <w:r>
        <w:rPr>
          <w:rFonts w:ascii="Arial Narrow" w:hAnsi="Arial Narrow" w:cs="Arial Narrow"/>
          <w:sz w:val="22"/>
          <w:szCs w:val="24"/>
        </w:rPr>
        <w:t xml:space="preserve"> 2008 do 31. decembra  2009 vo výške  0,02 Sk/kWh.   </w:t>
      </w:r>
    </w:p>
    <w:p w:rsidR="006A1A04">
      <w:pPr>
        <w:numPr>
          <w:numId w:val="215"/>
        </w:numPr>
        <w:spacing w:before="240"/>
        <w:jc w:val="both"/>
        <w:rPr>
          <w:rFonts w:ascii="Arial Narrow" w:hAnsi="Arial Narrow" w:cs="Arial Narrow"/>
          <w:sz w:val="22"/>
          <w:szCs w:val="24"/>
        </w:rPr>
      </w:pPr>
      <w:r>
        <w:rPr>
          <w:rFonts w:ascii="Arial Narrow" w:hAnsi="Arial Narrow" w:cs="Arial Narrow"/>
          <w:sz w:val="22"/>
          <w:szCs w:val="24"/>
        </w:rPr>
        <w:t xml:space="preserve"> Sadzba dane na elektrinu sa ustanovuje od 1. januára  2010  vo výške  0,04 Sk/kWh.</w:t>
      </w:r>
    </w:p>
    <w:p w:rsidR="006A1A04">
      <w:pPr>
        <w:ind w:left="284"/>
        <w:jc w:val="both"/>
        <w:rPr>
          <w:rFonts w:ascii="Arial Narrow" w:hAnsi="Arial Narrow" w:cs="Arial Narrow"/>
          <w:sz w:val="22"/>
          <w:szCs w:val="24"/>
        </w:rPr>
      </w:pPr>
    </w:p>
    <w:p w:rsidR="006A1A04">
      <w:pPr>
        <w:ind w:left="284"/>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7</w:t>
      </w:r>
    </w:p>
    <w:p w:rsidR="006A1A04">
      <w:pPr>
        <w:pStyle w:val="Heading3"/>
        <w:spacing w:before="0"/>
        <w:ind w:left="0"/>
        <w:rPr>
          <w:szCs w:val="24"/>
        </w:rPr>
      </w:pPr>
      <w:r>
        <w:rPr>
          <w:szCs w:val="24"/>
        </w:rPr>
        <w:t>Oslobodenie od dane</w:t>
      </w:r>
    </w:p>
    <w:p w:rsidR="006A1A04">
      <w:pPr>
        <w:spacing w:before="120"/>
        <w:ind w:left="284"/>
        <w:jc w:val="both"/>
        <w:rPr>
          <w:rFonts w:ascii="Arial Narrow" w:hAnsi="Arial Narrow" w:cs="Arial Narrow"/>
          <w:sz w:val="22"/>
          <w:szCs w:val="24"/>
        </w:rPr>
      </w:pPr>
    </w:p>
    <w:p w:rsidR="006A1A04">
      <w:pPr>
        <w:numPr>
          <w:numId w:val="6"/>
        </w:numPr>
        <w:jc w:val="both"/>
        <w:rPr>
          <w:rFonts w:ascii="Arial Narrow" w:hAnsi="Arial Narrow" w:cs="Arial Narrow"/>
          <w:sz w:val="22"/>
          <w:szCs w:val="24"/>
        </w:rPr>
      </w:pPr>
      <w:r>
        <w:rPr>
          <w:rFonts w:ascii="Arial Narrow" w:hAnsi="Arial Narrow" w:cs="Arial Narrow"/>
          <w:sz w:val="22"/>
          <w:szCs w:val="24"/>
        </w:rPr>
        <w:t xml:space="preserve">Od dane je oslobodená elektrina </w:t>
      </w:r>
    </w:p>
    <w:p w:rsidR="006A1A04">
      <w:pPr>
        <w:numPr>
          <w:numId w:val="9"/>
        </w:numPr>
        <w:spacing w:before="120"/>
        <w:jc w:val="both"/>
        <w:rPr>
          <w:rFonts w:ascii="Arial Narrow" w:hAnsi="Arial Narrow" w:cs="Arial Narrow"/>
          <w:sz w:val="22"/>
          <w:szCs w:val="24"/>
        </w:rPr>
      </w:pPr>
      <w:r>
        <w:rPr>
          <w:rFonts w:ascii="Arial Narrow" w:hAnsi="Arial Narrow" w:cs="Arial Narrow"/>
          <w:sz w:val="22"/>
          <w:szCs w:val="24"/>
        </w:rPr>
        <w:t>používaná  na účely chemickej redukcie, v elektrolytických procesoch alebo v metalurgických procesoch,</w:t>
      </w:r>
    </w:p>
    <w:p w:rsidR="006A1A04">
      <w:pPr>
        <w:numPr>
          <w:numId w:val="9"/>
        </w:numPr>
        <w:spacing w:before="120"/>
        <w:jc w:val="both"/>
        <w:rPr>
          <w:rFonts w:ascii="Arial Narrow" w:hAnsi="Arial Narrow" w:cs="Arial Narrow"/>
          <w:sz w:val="22"/>
          <w:szCs w:val="24"/>
        </w:rPr>
      </w:pPr>
      <w:r>
        <w:rPr>
          <w:rFonts w:ascii="Arial Narrow" w:hAnsi="Arial Narrow" w:cs="Arial Narrow"/>
          <w:sz w:val="22"/>
          <w:szCs w:val="24"/>
        </w:rPr>
        <w:t xml:space="preserve">používaná v mineralogických procesoch, </w:t>
      </w:r>
    </w:p>
    <w:p w:rsidR="006A1A04">
      <w:pPr>
        <w:numPr>
          <w:numId w:val="9"/>
        </w:numPr>
        <w:spacing w:before="120"/>
        <w:jc w:val="both"/>
        <w:rPr>
          <w:rFonts w:ascii="Arial Narrow" w:hAnsi="Arial Narrow" w:cs="Arial Narrow"/>
          <w:sz w:val="22"/>
          <w:szCs w:val="24"/>
        </w:rPr>
      </w:pPr>
      <w:r>
        <w:rPr>
          <w:rFonts w:ascii="Arial Narrow" w:hAnsi="Arial Narrow" w:cs="Arial Narrow"/>
          <w:sz w:val="22"/>
          <w:szCs w:val="24"/>
        </w:rPr>
        <w:t xml:space="preserve">používaná na výrobu výrobku, ak náklady na elektrinu predstavujú viac ako 50 % podielu na priemerných vlastných nákladoch na výrobu výrobku,  ktoré tvorí súčet obstarávacích cien materiálu a služieb, osobných nákladov a odpisov vzťahujúcich sa na výrobu výrobku; nákladom na elektrinu sa rozumie </w:t>
      </w:r>
    </w:p>
    <w:p w:rsidR="006A1A04">
      <w:pPr>
        <w:numPr>
          <w:ilvl w:val="2"/>
          <w:numId w:val="6"/>
        </w:numPr>
        <w:spacing w:before="120"/>
        <w:jc w:val="both"/>
        <w:rPr>
          <w:rFonts w:ascii="Arial Narrow" w:hAnsi="Arial Narrow" w:cs="Arial Narrow"/>
          <w:sz w:val="22"/>
          <w:szCs w:val="24"/>
        </w:rPr>
      </w:pPr>
      <w:r>
        <w:rPr>
          <w:rFonts w:ascii="Arial Narrow" w:hAnsi="Arial Narrow" w:cs="Arial Narrow"/>
          <w:sz w:val="22"/>
          <w:szCs w:val="24"/>
        </w:rPr>
        <w:t xml:space="preserve">obstarávacia cena elektriny alebo </w:t>
      </w:r>
    </w:p>
    <w:p w:rsidR="006A1A04">
      <w:pPr>
        <w:numPr>
          <w:ilvl w:val="2"/>
          <w:numId w:val="6"/>
        </w:numPr>
        <w:spacing w:before="120"/>
        <w:jc w:val="both"/>
        <w:rPr>
          <w:rFonts w:ascii="Arial Narrow" w:hAnsi="Arial Narrow" w:cs="Arial Narrow"/>
          <w:sz w:val="22"/>
          <w:szCs w:val="24"/>
        </w:rPr>
      </w:pPr>
      <w:r>
        <w:rPr>
          <w:rFonts w:ascii="Arial Narrow" w:hAnsi="Arial Narrow" w:cs="Arial Narrow"/>
          <w:sz w:val="22"/>
          <w:szCs w:val="24"/>
        </w:rPr>
        <w:t>vlastné náklady na výrobu elektriny, ak sa vyrába vlastnou činnosťou,</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používaná na výrobu elektriny a na udržanie spôsobilosti zariadenia na výrobu elektriny vrátane strát v technologicky odôvodnenom množstve, a to aj pri prenose elektriny alebo distribúcii elektriny, pričom príslušný colný úrad  je oprávnený  na základe rozhodnutia Úradu pre reguláciu sieťových odvetví posúdiť</w:t>
      </w:r>
      <w:r>
        <w:rPr>
          <w:rFonts w:ascii="Arial Narrow" w:hAnsi="Arial Narrow" w:cs="Arial Narrow"/>
          <w:b/>
          <w:sz w:val="22"/>
          <w:szCs w:val="24"/>
        </w:rPr>
        <w:t xml:space="preserve">, </w:t>
      </w:r>
      <w:r>
        <w:rPr>
          <w:rFonts w:ascii="Arial Narrow" w:hAnsi="Arial Narrow" w:cs="Arial Narrow"/>
          <w:sz w:val="22"/>
          <w:szCs w:val="24"/>
        </w:rPr>
        <w:t>či vzniknuté straty elektriny zodpovedajú charakteru činnosti elektroenergetického podniku a obvyklej výške strát iného elektroenergetického podniku pri rovnakej alebo obdobnej činnosti,</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vyrobená z obnoviteľného zdroja,</w:t>
      </w:r>
      <w:r>
        <w:rPr>
          <w:rStyle w:val="FootnoteReference"/>
          <w:rFonts w:ascii="Arial Narrow" w:hAnsi="Arial Narrow" w:cs="Arial Narrow"/>
          <w:sz w:val="22"/>
          <w:szCs w:val="24"/>
        </w:rPr>
        <w:footnoteReference w:id="13"/>
      </w:r>
      <w:r>
        <w:rPr>
          <w:rFonts w:ascii="Arial Narrow" w:hAnsi="Arial Narrow" w:cs="Arial Narrow"/>
          <w:sz w:val="22"/>
          <w:szCs w:val="24"/>
        </w:rPr>
        <w:t xml:space="preserve">) ak je dodaná priamo konečnému spotrebiteľovi elektriny alebo spotrebovaná právnickou osobou alebo fyzickou osobou, ktorá ju vyrobila, a ak ide o výrobu elektriny </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  solárnom zariadení,</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vo veternej elektrárni,</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 zariadení na využitie geotermálnej energie,</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vo vodnej elektrárni,</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 xml:space="preserve">v zariadení na využitie biomasy  </w:t>
      </w:r>
      <w:r>
        <w:rPr>
          <w:rStyle w:val="FootnoteReference"/>
          <w:rFonts w:ascii="Arial Narrow" w:hAnsi="Arial Narrow" w:cs="Arial Narrow"/>
          <w:sz w:val="22"/>
          <w:szCs w:val="24"/>
        </w:rPr>
        <w:footnoteReference w:id="14"/>
      </w:r>
      <w:r>
        <w:rPr>
          <w:rFonts w:ascii="Arial Narrow" w:hAnsi="Arial Narrow" w:cs="Arial Narrow"/>
          <w:sz w:val="22"/>
          <w:szCs w:val="24"/>
        </w:rPr>
        <w:t xml:space="preserve">) alebo  výrobku vyrobeného z biomasy, </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 zariadení na využitie metánu uvoľneného z opustenej uhoľnej bane,</w:t>
      </w:r>
    </w:p>
    <w:p w:rsidR="006A1A04">
      <w:pPr>
        <w:numPr>
          <w:numId w:val="159"/>
        </w:numPr>
        <w:spacing w:before="120"/>
        <w:jc w:val="both"/>
        <w:rPr>
          <w:rFonts w:ascii="Arial Narrow" w:hAnsi="Arial Narrow" w:cs="Arial Narrow"/>
          <w:sz w:val="22"/>
          <w:szCs w:val="24"/>
        </w:rPr>
      </w:pPr>
      <w:r>
        <w:rPr>
          <w:rFonts w:ascii="Arial Narrow" w:hAnsi="Arial Narrow" w:cs="Arial Narrow"/>
          <w:sz w:val="22"/>
          <w:szCs w:val="24"/>
        </w:rPr>
        <w:t>v palivovom</w:t>
      </w:r>
      <w:r>
        <w:rPr>
          <w:rFonts w:ascii="Arial Narrow" w:hAnsi="Arial Narrow" w:cs="Arial Narrow"/>
          <w:b/>
          <w:sz w:val="22"/>
          <w:szCs w:val="24"/>
        </w:rPr>
        <w:t xml:space="preserve"> </w:t>
      </w:r>
      <w:r>
        <w:rPr>
          <w:rFonts w:ascii="Arial Narrow" w:hAnsi="Arial Narrow" w:cs="Arial Narrow"/>
          <w:sz w:val="22"/>
          <w:szCs w:val="24"/>
        </w:rPr>
        <w:t xml:space="preserve"> článku,</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 xml:space="preserve">vyrobená v zariadení na kombinovanú výrobu elektriny a tepla, ak je dodaná priamo konečnému spotrebiteľovi elektriny alebo spotrebovaná právnickou osobou alebo fyzickou osobou, ktorá ju vyrobila a ak je energetické zariadenie vysoko účinné a spĺňa požiadavky na ochranu životného prostredia, </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 xml:space="preserve">používaná na kombinovanú výrobu elektriny a tepla, </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používaná na prepravu osôb alebo nákladov  vlakom, metrom, električkou, trolejbusom, elektrobusom alebo lanovkou vykonávanú v rámci podnikania a na činnosti bezprostredne súvisiace s takouto prepravou</w:t>
      </w:r>
      <w:r>
        <w:rPr>
          <w:rFonts w:ascii="Arial Narrow" w:hAnsi="Arial Narrow" w:cs="Arial Narrow"/>
          <w:b/>
          <w:sz w:val="22"/>
          <w:szCs w:val="24"/>
        </w:rPr>
        <w:t xml:space="preserve">, </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 xml:space="preserve">vyrobená na palube lode používanej na prepravu osôb alebo nákladov, vykonávanú v rámci podnikania, </w:t>
      </w:r>
    </w:p>
    <w:p w:rsidR="006A1A04">
      <w:pPr>
        <w:numPr>
          <w:numId w:val="9"/>
        </w:numPr>
        <w:tabs>
          <w:tab w:val="clear" w:pos="360"/>
        </w:tabs>
        <w:spacing w:before="120"/>
        <w:jc w:val="both"/>
        <w:rPr>
          <w:rFonts w:ascii="Arial Narrow" w:hAnsi="Arial Narrow" w:cs="Arial Narrow"/>
          <w:sz w:val="22"/>
          <w:szCs w:val="24"/>
        </w:rPr>
      </w:pPr>
      <w:r>
        <w:rPr>
          <w:rFonts w:ascii="Arial Narrow" w:hAnsi="Arial Narrow" w:cs="Arial Narrow"/>
          <w:sz w:val="22"/>
          <w:szCs w:val="24"/>
        </w:rPr>
        <w:t>používaná koncovým odberateľom elektriny v domácnosti.</w:t>
      </w:r>
    </w:p>
    <w:p w:rsidR="006A1A04">
      <w:pPr>
        <w:numPr>
          <w:numId w:val="6"/>
        </w:numPr>
        <w:tabs>
          <w:tab w:val="num" w:pos="0"/>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Od dane je oslobodená aj elektrina vyrobená a spotrebovaná právnickou osobou alebo fyzickou osobou, ak celkový inštalovaný výkon zariadenia na výrobu elektriny</w:t>
      </w:r>
      <w:r>
        <w:rPr>
          <w:rFonts w:ascii="Arial Narrow" w:hAnsi="Arial Narrow" w:cs="Arial Narrow"/>
          <w:b/>
          <w:sz w:val="22"/>
          <w:szCs w:val="24"/>
        </w:rPr>
        <w:t xml:space="preserve"> </w:t>
      </w:r>
      <w:r>
        <w:rPr>
          <w:rFonts w:ascii="Arial Narrow" w:hAnsi="Arial Narrow" w:cs="Arial Narrow"/>
          <w:sz w:val="22"/>
          <w:szCs w:val="24"/>
        </w:rPr>
        <w:t>neprevyšuje 5 MW a ak je vyrobená z preukázateľne zdaneného minerálneho oleja, uhlia alebo zemného plynu.</w:t>
      </w:r>
    </w:p>
    <w:p w:rsidR="006A1A04">
      <w:pPr>
        <w:spacing w:before="12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8</w:t>
      </w:r>
    </w:p>
    <w:p w:rsidR="006A1A04">
      <w:pPr>
        <w:pStyle w:val="Heading2"/>
        <w:spacing w:before="0"/>
        <w:rPr>
          <w:szCs w:val="24"/>
        </w:rPr>
      </w:pPr>
      <w:r>
        <w:rPr>
          <w:szCs w:val="24"/>
        </w:rPr>
        <w:t>Oprávnený spotrebiteľ elektriny</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Oprávneným spotrebiteľom elektriny na účely tohto zákona je právnická osoba alebo fyzická osoba oprávnená používať elektrinu oslobodenú od dane. Právnická osoba alebo fyzická osoba, ktorá chce používať elektrinu oslobodenú od dane podľa § 7 ods. 1 písm. a) až h), je povinná písomne požiadať colný úrad o registráciu oprávneného spotrebiteľa elektriny.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Právnická osoba alebo fyzická osoba, ktorá chce priamo odoberať elektrinu oslobodenú od dane podľa  § 7 ods. 1 písm. a) až h),  musí mať samostatné odberné miesto </w:t>
      </w:r>
      <w:r>
        <w:rPr>
          <w:rStyle w:val="FootnoteReference"/>
          <w:rFonts w:ascii="Arial Narrow" w:hAnsi="Arial Narrow" w:cs="Arial Narrow"/>
          <w:sz w:val="22"/>
          <w:szCs w:val="24"/>
        </w:rPr>
        <w:footnoteReference w:id="15"/>
      </w:r>
      <w:r>
        <w:rPr>
          <w:rFonts w:ascii="Arial Narrow" w:hAnsi="Arial Narrow" w:cs="Arial Narrow"/>
          <w:sz w:val="22"/>
          <w:szCs w:val="24"/>
        </w:rPr>
        <w:t xml:space="preserve">) výlučne na odber elektriny oslobodenej od dane a je povinná písomne požiadať colný úrad aj o vydanie povolenia na odber elektriny oslobodenej od dane (ďalej len „povolenie na oslobodenú elektrinu“).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Právnická osoba alebo fyzická osoba, ktorá chce  používať elektrinu oslobodenú od dane podľa              § 7  ods. 1 písm. a) až h), a ktorá nemá samostatné odberné miesto </w:t>
      </w:r>
      <w:r>
        <w:rPr>
          <w:rFonts w:ascii="Arial Narrow" w:hAnsi="Arial Narrow" w:cs="Arial Narrow"/>
          <w:sz w:val="22"/>
          <w:szCs w:val="24"/>
          <w:vertAlign w:val="superscript"/>
        </w:rPr>
        <w:t>16</w:t>
      </w:r>
      <w:r>
        <w:rPr>
          <w:rFonts w:ascii="Arial Narrow" w:hAnsi="Arial Narrow" w:cs="Arial Narrow"/>
          <w:sz w:val="22"/>
          <w:szCs w:val="24"/>
        </w:rPr>
        <w:t>) výlučne na odber elektriny oslobodenej od dane, môže uplatniť podľa § 13 vrátenie dane z  množstva preukázateľne zdanenej elektriny skutočne použitej na účely oslobodené od dane za podmienok ustanovených týmto zákonom.</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Elektroenergetický podnik, ktorý je zaregistrovaný na colnom úrade ako daňový dlžník, nie je povinný priložiť k žiadosti o registráciu oprávneného spotrebiteľa elektriny a o vydanie povolenia na oslobodenú elektrinu  prílohu podľa odseku 6 písm. a).</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Žiadosť o registráciu oprávneného spotrebiteľa elektriny a o vydanie povolenia na oslobodenú elektrinu musí obsahovať</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obchodné meno alebo názov a sídlo právnickej osoby alebo meno, priezvisko a trvalý pobyt fyzickej osoby (ďalej len „identifikačné údaje“) a adresu umiestnenia prevádzkarní, ak nie sú totožné so sídlom alebo trvalým pobytom žiadateľa,</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účel použitia elektriny oslobodenej od dane a jej predpokladané množstvo ročnej spotreby v kilowatthodinách,</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číslo samostatného odberného miesta </w:t>
      </w:r>
      <w:r>
        <w:rPr>
          <w:rFonts w:ascii="Arial Narrow" w:hAnsi="Arial Narrow" w:cs="Arial Narrow"/>
          <w:sz w:val="22"/>
          <w:szCs w:val="24"/>
          <w:vertAlign w:val="superscript"/>
        </w:rPr>
        <w:t>16</w:t>
      </w:r>
      <w:r>
        <w:rPr>
          <w:rFonts w:ascii="Arial Narrow" w:hAnsi="Arial Narrow" w:cs="Arial Narrow"/>
          <w:sz w:val="22"/>
          <w:szCs w:val="24"/>
        </w:rPr>
        <w:t xml:space="preserve">) výlučne na odber elektriny oslobodenej od dane, ak ide o žiadateľa podľa odseku 2,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identifikačné údaje dodávateľa elektriny.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Prílohami k žiadosti sú</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elektriny oslobodenej od dane potrebný na posúdenie oprávnenosti oslobodenia a doklady preukazujúce uvedené  skutočnosti,</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čestné prehlásenie o tom, že je technicky vylúčené, aby elektrina oslobodená od dane bola použitá na iné účely, ako je uvedené v §  7, ak ide o právnickú osobu alebo fyzickú osobu podľa odseku 2,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údaj o celkovom ročnom objeme spotreby elektriny a údaj o ročnom objeme spotreby elektriny na účely oslobodené od dane; ak nemožno vychádzať zo skutočnej spotreby elektriny za predchádzajúci kalendárny rok, žiadateľ vychádza z predpokladaného množstva spotreby elektriny za kalendárny rok.</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Colný úrad pred registráciou oprávneného spotrebiteľa elektriny a pred vydaním povolenia na oslobodenú  elektrinu preverí u žiadateľa  údaje uvedené v žiadosti podľa odseku 5 a v prílohách k žiadosti podľa odseku 6. Ak sú tieto údaje pravdivé, colný úrad  vydá žiadateľovi  osvedčenie o registrácii a žiadateľovi, ktorý má samostatné odberné miesto výlučne na odber elektriny oslobodenej od dane, colný úrad vydá aj povolenie  na oslobodenú elektrinu.</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V povolení na oslobodenú elektrinu colný úrad  uvedie údaje podľa odseku 5, okrem rodného čísla a daňového identifikačného čísla, ak obsahuje rodné číslo žiadateľa. Povolenie na oslobodenú elektrinu sa vydá v troch vyhotoveniach; jedno vyhotovenie si ponechá colný úrad a dve vyhotovenia odovzdá oprávnenému spotrebiteľovi elektriny, ktorý si jedno vyhotovenie ponechá a jedno vyhotovenie predloží svojmu dodávateľovi elektriny, a ak má viacerých dodávateľov elektriny, predloží im osvedčenú kópiu povolenia na oslobodenú elektrinu.</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Oprávnený spotrebiteľ elektriny je povinný každú zmenu  údajov podľa odseku 5 a odseku 6 písm. b) oznámiť colnému úradu do 15 dní odo dňa jej vzniku. Zmenu údajov podľa odseku 6 písm. a) je povinný oznámiť colnému úradu do 15 dní odo dňa podania návrhu na zmenu údajov príslušnému orgánu. Colný úrad s prihliadnutím na rozsah a závažnosť zmien doplní pôvodné povolenie na  oslobodenú elektrinu alebo vydá nové povolenie na oslobodenú elektrinu.</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Oprávnený spotrebiteľ elektriny podľa odseku 2 okrem koncového odberateľa elektriny v domácnosti je povinný predložiť dodávateľovi elektriny povolenie na oslobodenú elektrinu najneskôr pri prvom odbere elektriny oslobodenej od dane. Dodávateľ elektriny nesmie dodať elektrinu oslobodenú od dane právnickej osobe alebo fyzickej osobe bez predloženia povolenia na oslobodenú elektrinu.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Oprávnený spotrebiteľ elektriny vrátane koncového odberateľa elektriny</w:t>
      </w:r>
      <w:r>
        <w:rPr>
          <w:rFonts w:ascii="Arial Narrow" w:hAnsi="Arial Narrow" w:cs="Arial Narrow"/>
          <w:b/>
          <w:sz w:val="22"/>
          <w:szCs w:val="24"/>
        </w:rPr>
        <w:t xml:space="preserve"> </w:t>
      </w:r>
      <w:r>
        <w:rPr>
          <w:rFonts w:ascii="Arial Narrow" w:hAnsi="Arial Narrow" w:cs="Arial Narrow"/>
          <w:sz w:val="22"/>
          <w:szCs w:val="24"/>
        </w:rPr>
        <w:t>v</w:t>
      </w:r>
      <w:r>
        <w:rPr>
          <w:rFonts w:ascii="Arial Narrow" w:hAnsi="Arial Narrow" w:cs="Arial Narrow"/>
          <w:b/>
          <w:sz w:val="22"/>
          <w:szCs w:val="24"/>
        </w:rPr>
        <w:t xml:space="preserve"> </w:t>
      </w:r>
      <w:r>
        <w:rPr>
          <w:rFonts w:ascii="Arial Narrow" w:hAnsi="Arial Narrow" w:cs="Arial Narrow"/>
          <w:sz w:val="22"/>
          <w:szCs w:val="24"/>
        </w:rPr>
        <w:t xml:space="preserve">domácnosti môže použiť elektrinu oslobodenú od dane iba na účel oslobodený od dane podľa tohto zákona.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Colný úrad odníme povolenie na oslobodenú elektrinu, ak oprávnený spotrebiteľ elektriny</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opakovane použil elektrinu oslobodenú od dane podľa § 7 ods. 1 písm.  e) až h)  na iný účel ako oslobodený od dane  a výzvy colného úradu a ani uloženie pokuty neviedli k náprave,</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prestal spĺňať podmienky na účely oslobodenia elektriny od dane,</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požiadal o výmaz z obchodného registra alebo z inej evidencie oprávnení na podnikanie ustanovenej osobitným predpisom alebo o zrušenie živnostenského oprávnenia, oznámil ukončenie podnikania alebo bol zrušený, ak nebol zriadený na podnikateľské účely,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bola fyzická osoba, ktorá zomrela  a ak v podnikaní nepokračuje žiadny z oprávnených dedičov alebo súdom ustanovený správca dedičstva,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bola fyzická osoba a nadobudlo právoplatnosť rozhodnutie súdu o vyhlásení tejto fyzickej osoby za mŕtvu a ak v podnikaní nepokračuje žiadny z oprávnených dedičov alebo súdom ustanovený správca dedičstva,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vstúpil do likvidácie,</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požiadal o odňatie povolenia na oslobodenú elektrinu,</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nepoužil povolenie na oslobodenú elektrinu  na odber elektriny oslobodenej od dane v priebehu 12 po sebe nasledujúcich kalendárnych mesiacov odo dňa jeho vydania.</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Colný úrad odníme povolenie na oslobodenú elektrinu, aj ak nadobudlo právoplatnosť rozhodnutie súdu o vyhlásení konkurzu, o zamietnutí návrhu na vyhlásenie konkurzu pre nedostatok majetku alebo o zrušení konkurzu pre nedostatok majetku alebo bolo potvrdené nútené vyrovnanie alebo povolené vyrovnanie, alebo bola povolená reštrukturalizácia.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 Colný úrad zruší registráciu oprávneného spotrebiteľa elektriny, ak mu bolo odňaté povolenie na oslobodenú elektrinu podľa odseku 12 písm. a) až f) a odseku 13. </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 xml:space="preserve"> Oprávnený spotrebiteľ elektriny,  ktorému bolo doplnené pôvodné povolenie na oslobodenú elektrinu, vydané nové povolenie na oslobodenú elektrinu alebo ktorému bolo odňaté povolenie na oslobodenú elektrinu, je povinný doručiť písomnú informáciu o týchto skutočnostiach dodávateľovi elektriny najneskôr do troch pracovných dní odo dňa  vzniku týchto skutočností. Za doručenie písomnej informácie sa považuje aj jej doručenie faxom alebo elektronicky.</w:t>
      </w:r>
    </w:p>
    <w:p w:rsidR="006A1A04">
      <w:pPr>
        <w:numPr>
          <w:numId w:val="8"/>
        </w:numPr>
        <w:spacing w:before="120"/>
        <w:jc w:val="both"/>
        <w:rPr>
          <w:rFonts w:ascii="Arial Narrow" w:hAnsi="Arial Narrow" w:cs="Arial Narrow"/>
          <w:sz w:val="22"/>
          <w:szCs w:val="24"/>
        </w:rPr>
      </w:pPr>
      <w:r>
        <w:rPr>
          <w:rFonts w:ascii="Arial Narrow" w:hAnsi="Arial Narrow" w:cs="Arial Narrow"/>
          <w:sz w:val="22"/>
          <w:szCs w:val="24"/>
        </w:rPr>
        <w:t>Dodávateľ elektriny je povinný zmenu v zdaňovaní alebo v oslobodení od dane uskutočniť po obdržaní písomnej informácie podľa odseku 15.  Zmenu vykoná do 15. dňa odo dňa doručenia oznámenia  po vykonaní  merania odberu.</w:t>
      </w:r>
      <w:r>
        <w:rPr>
          <w:rFonts w:ascii="Arial Narrow" w:hAnsi="Arial Narrow" w:cs="Arial Narrow"/>
          <w:b/>
          <w:sz w:val="22"/>
          <w:szCs w:val="24"/>
        </w:rPr>
        <w:t xml:space="preserve"> </w:t>
      </w:r>
      <w:r>
        <w:rPr>
          <w:rFonts w:ascii="Arial Narrow" w:hAnsi="Arial Narrow" w:cs="Arial Narrow"/>
          <w:sz w:val="22"/>
          <w:szCs w:val="24"/>
        </w:rPr>
        <w:t xml:space="preserve">  </w:t>
      </w: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9</w:t>
      </w:r>
    </w:p>
    <w:p w:rsidR="006A1A04">
      <w:pPr>
        <w:pStyle w:val="Heading2"/>
        <w:spacing w:before="0"/>
        <w:rPr>
          <w:szCs w:val="24"/>
        </w:rPr>
      </w:pPr>
      <w:r>
        <w:rPr>
          <w:szCs w:val="24"/>
        </w:rPr>
        <w:t>Vznik daňovej povinnosti</w:t>
      </w:r>
    </w:p>
    <w:p w:rsidR="006A1A04">
      <w:pPr>
        <w:numPr>
          <w:numId w:val="7"/>
        </w:numPr>
        <w:tabs>
          <w:tab w:val="num" w:pos="0"/>
          <w:tab w:val="clear" w:pos="340"/>
        </w:tabs>
        <w:spacing w:before="240"/>
        <w:ind w:left="0" w:firstLine="357"/>
        <w:jc w:val="both"/>
        <w:rPr>
          <w:rFonts w:ascii="Arial Narrow" w:hAnsi="Arial Narrow" w:cs="Arial Narrow"/>
          <w:sz w:val="22"/>
          <w:szCs w:val="24"/>
        </w:rPr>
      </w:pPr>
      <w:r>
        <w:rPr>
          <w:rFonts w:ascii="Arial Narrow" w:hAnsi="Arial Narrow" w:cs="Arial Narrow"/>
          <w:sz w:val="22"/>
          <w:szCs w:val="24"/>
        </w:rPr>
        <w:t xml:space="preserve">Daňová povinnosť vzniká dňom </w:t>
      </w:r>
    </w:p>
    <w:p w:rsidR="006A1A04">
      <w:pPr>
        <w:numPr>
          <w:numId w:val="31"/>
        </w:numPr>
        <w:spacing w:before="120"/>
        <w:jc w:val="both"/>
        <w:rPr>
          <w:rFonts w:ascii="Arial Narrow" w:hAnsi="Arial Narrow" w:cs="Arial Narrow"/>
          <w:sz w:val="22"/>
          <w:szCs w:val="24"/>
        </w:rPr>
      </w:pPr>
      <w:r>
        <w:rPr>
          <w:rFonts w:ascii="Arial Narrow" w:hAnsi="Arial Narrow" w:cs="Arial Narrow"/>
          <w:sz w:val="22"/>
          <w:szCs w:val="24"/>
        </w:rPr>
        <w:t>dodania elektriny na daňovom území  konečnému spotrebiteľovi elektriny,</w:t>
      </w:r>
    </w:p>
    <w:p w:rsidR="006A1A04">
      <w:pPr>
        <w:numPr>
          <w:numId w:val="31"/>
        </w:numPr>
        <w:spacing w:before="120"/>
        <w:jc w:val="both"/>
        <w:rPr>
          <w:rFonts w:ascii="Arial Narrow" w:hAnsi="Arial Narrow" w:cs="Arial Narrow"/>
          <w:sz w:val="22"/>
          <w:szCs w:val="24"/>
        </w:rPr>
      </w:pPr>
      <w:r>
        <w:rPr>
          <w:rFonts w:ascii="Arial Narrow" w:hAnsi="Arial Narrow" w:cs="Arial Narrow"/>
          <w:sz w:val="22"/>
          <w:szCs w:val="24"/>
        </w:rPr>
        <w:t>spotreby elektriny na daňovom území elektroenergetickým podnikom.</w:t>
      </w:r>
    </w:p>
    <w:p w:rsidR="006A1A04">
      <w:pPr>
        <w:numPr>
          <w:numId w:val="7"/>
        </w:numPr>
        <w:tabs>
          <w:tab w:val="num" w:pos="0"/>
          <w:tab w:val="clear" w:pos="340"/>
        </w:tabs>
        <w:spacing w:before="240"/>
        <w:ind w:left="0" w:firstLine="357"/>
        <w:jc w:val="both"/>
        <w:rPr>
          <w:rFonts w:ascii="Arial Narrow" w:hAnsi="Arial Narrow" w:cs="Arial Narrow"/>
          <w:sz w:val="22"/>
          <w:szCs w:val="24"/>
        </w:rPr>
      </w:pPr>
      <w:r>
        <w:rPr>
          <w:rFonts w:ascii="Arial Narrow" w:hAnsi="Arial Narrow" w:cs="Arial Narrow"/>
          <w:sz w:val="22"/>
          <w:szCs w:val="24"/>
        </w:rPr>
        <w:t xml:space="preserve"> Daňová povinnosť vzniká aj dňom </w:t>
      </w:r>
    </w:p>
    <w:p w:rsidR="006A1A04">
      <w:pPr>
        <w:numPr>
          <w:numId w:val="163"/>
        </w:numPr>
        <w:spacing w:before="120"/>
        <w:jc w:val="both"/>
        <w:rPr>
          <w:rFonts w:ascii="Arial Narrow" w:hAnsi="Arial Narrow" w:cs="Arial Narrow"/>
          <w:sz w:val="22"/>
          <w:szCs w:val="24"/>
        </w:rPr>
      </w:pPr>
      <w:r>
        <w:rPr>
          <w:rFonts w:ascii="Arial Narrow" w:hAnsi="Arial Narrow" w:cs="Arial Narrow"/>
          <w:sz w:val="22"/>
          <w:szCs w:val="24"/>
        </w:rPr>
        <w:t>zistenia neoprávneného odberu elektriny,</w:t>
      </w:r>
      <w:r>
        <w:rPr>
          <w:rStyle w:val="FootnoteReference"/>
          <w:rFonts w:ascii="Arial Narrow" w:hAnsi="Arial Narrow" w:cs="Arial Narrow"/>
          <w:sz w:val="22"/>
          <w:szCs w:val="24"/>
        </w:rPr>
        <w:footnoteReference w:id="16"/>
      </w:r>
      <w:r>
        <w:rPr>
          <w:rFonts w:ascii="Arial Narrow" w:hAnsi="Arial Narrow" w:cs="Arial Narrow"/>
          <w:sz w:val="22"/>
          <w:szCs w:val="24"/>
        </w:rPr>
        <w:t>)</w:t>
      </w:r>
    </w:p>
    <w:p w:rsidR="006A1A04">
      <w:pPr>
        <w:numPr>
          <w:numId w:val="163"/>
        </w:numPr>
        <w:spacing w:before="120"/>
        <w:jc w:val="both"/>
        <w:rPr>
          <w:rFonts w:ascii="Arial Narrow" w:hAnsi="Arial Narrow" w:cs="Arial Narrow"/>
          <w:sz w:val="22"/>
          <w:szCs w:val="24"/>
        </w:rPr>
      </w:pPr>
      <w:r>
        <w:rPr>
          <w:rFonts w:ascii="Arial Narrow" w:hAnsi="Arial Narrow" w:cs="Arial Narrow"/>
          <w:sz w:val="22"/>
          <w:szCs w:val="24"/>
        </w:rPr>
        <w:t xml:space="preserve">spotreby elektriny oslobodenej od dane na iný účel, ako je uvedený  v  § 7.          </w:t>
      </w:r>
    </w:p>
    <w:p w:rsidR="006A1A04">
      <w:pPr>
        <w:numPr>
          <w:numId w:val="7"/>
        </w:numPr>
        <w:tabs>
          <w:tab w:val="num" w:pos="0"/>
          <w:tab w:val="clear" w:pos="340"/>
        </w:tabs>
        <w:spacing w:before="240"/>
        <w:ind w:left="0" w:firstLine="357"/>
        <w:jc w:val="both"/>
        <w:rPr>
          <w:rFonts w:ascii="Arial Narrow" w:hAnsi="Arial Narrow" w:cs="Arial Narrow"/>
          <w:sz w:val="22"/>
          <w:szCs w:val="24"/>
        </w:rPr>
      </w:pPr>
      <w:r>
        <w:rPr>
          <w:rFonts w:ascii="Arial Narrow" w:hAnsi="Arial Narrow" w:cs="Arial Narrow"/>
          <w:sz w:val="22"/>
          <w:szCs w:val="24"/>
        </w:rPr>
        <w:t xml:space="preserve">Dňom dodania elektriny pri opakovaných dodávkach </w:t>
      </w:r>
      <w:r>
        <w:rPr>
          <w:rStyle w:val="FootnoteReference"/>
          <w:rFonts w:ascii="Arial Narrow" w:hAnsi="Arial Narrow" w:cs="Arial Narrow"/>
          <w:sz w:val="22"/>
          <w:szCs w:val="24"/>
        </w:rPr>
        <w:footnoteReference w:id="17"/>
      </w:r>
      <w:r>
        <w:rPr>
          <w:rFonts w:ascii="Arial Narrow" w:hAnsi="Arial Narrow" w:cs="Arial Narrow"/>
          <w:sz w:val="22"/>
          <w:szCs w:val="24"/>
        </w:rPr>
        <w:t>) je najneskôr posledný deň obdobia, na ktoré sa platba za dodané množstvo elektriny vzťahuje. Dňom dodania elektriny je aj deň, ku ktorému sa vykoná odpočet skutočne dodaného množstva elektriny za zúčtovacie obdobie, ak vznikol rozdiel medzi celkovým množstvom elektriny dodanej za jednotlivé obdobia, ktoré sú predmetom zúčtovania a skutočne dodaným množstvom elektriny za zúčtovacie obdobie. Pri vystavení dobropisu alebo ťarchopisu  pre odberateľa elektriny sa zistený rozdiel na dani uvedie v daňovom priznaní za zdaňovacie obdobie, v ktorom bola vystavená faktúra opravujúca základ dane.</w:t>
      </w:r>
    </w:p>
    <w:p w:rsidR="006A1A04">
      <w:pPr>
        <w:numPr>
          <w:numId w:val="7"/>
        </w:numPr>
        <w:tabs>
          <w:tab w:val="num" w:pos="0"/>
          <w:tab w:val="clear" w:pos="340"/>
        </w:tabs>
        <w:spacing w:before="240"/>
        <w:ind w:left="0" w:firstLine="357"/>
        <w:jc w:val="both"/>
        <w:rPr>
          <w:rFonts w:ascii="Arial Narrow" w:hAnsi="Arial Narrow" w:cs="Arial Narrow"/>
          <w:sz w:val="22"/>
          <w:szCs w:val="24"/>
        </w:rPr>
      </w:pPr>
      <w:r>
        <w:rPr>
          <w:rFonts w:ascii="Arial Narrow" w:hAnsi="Arial Narrow" w:cs="Arial Narrow"/>
          <w:sz w:val="22"/>
          <w:szCs w:val="24"/>
        </w:rPr>
        <w:t>Dňom spotreby elektriny na účely tohto zákona je najneskôr</w:t>
      </w:r>
      <w:r>
        <w:rPr>
          <w:rFonts w:ascii="Arial Narrow" w:hAnsi="Arial Narrow" w:cs="Arial Narrow"/>
          <w:b/>
          <w:sz w:val="22"/>
          <w:szCs w:val="24"/>
        </w:rPr>
        <w:t xml:space="preserve"> </w:t>
      </w:r>
      <w:r>
        <w:rPr>
          <w:rFonts w:ascii="Arial Narrow" w:hAnsi="Arial Narrow" w:cs="Arial Narrow"/>
          <w:sz w:val="22"/>
          <w:szCs w:val="24"/>
        </w:rPr>
        <w:t xml:space="preserve"> posledný deň kalendárneho mesiaca, v ktorom došlo k spotrebe elektriny. </w:t>
      </w:r>
    </w:p>
    <w:p w:rsidR="006A1A04">
      <w:pPr>
        <w:numPr>
          <w:numId w:val="7"/>
        </w:numPr>
        <w:tabs>
          <w:tab w:val="num" w:pos="0"/>
          <w:tab w:val="clear" w:pos="340"/>
        </w:tabs>
        <w:spacing w:before="240"/>
        <w:ind w:left="0" w:firstLine="357"/>
        <w:jc w:val="both"/>
        <w:rPr>
          <w:rFonts w:ascii="Arial Narrow" w:hAnsi="Arial Narrow" w:cs="Arial Narrow"/>
          <w:sz w:val="22"/>
          <w:szCs w:val="24"/>
        </w:rPr>
      </w:pPr>
      <w:r>
        <w:rPr>
          <w:rFonts w:ascii="Arial Narrow" w:hAnsi="Arial Narrow" w:cs="Arial Narrow"/>
          <w:sz w:val="22"/>
          <w:szCs w:val="24"/>
        </w:rPr>
        <w:t>Daňová povinnosť nevzniká na daňovom území právnickej osobe alebo fyzickej osobe pri dodaní elektriny do iného členského štátu alebo na územie tretieho štátu.</w:t>
      </w:r>
    </w:p>
    <w:p w:rsidR="006A1A04">
      <w:pPr>
        <w:spacing w:before="240"/>
        <w:jc w:val="center"/>
        <w:rPr>
          <w:rFonts w:ascii="Arial Narrow" w:hAnsi="Arial Narrow" w:cs="Arial Narrow"/>
          <w:b/>
          <w:sz w:val="22"/>
          <w:szCs w:val="24"/>
        </w:rPr>
      </w:pPr>
    </w:p>
    <w:p w:rsidR="006A1A04">
      <w:pPr>
        <w:spacing w:before="240"/>
        <w:jc w:val="center"/>
        <w:rPr>
          <w:rFonts w:ascii="Arial Narrow" w:hAnsi="Arial Narrow" w:cs="Arial Narrow"/>
          <w:b/>
          <w:sz w:val="22"/>
          <w:szCs w:val="24"/>
        </w:rPr>
      </w:pPr>
    </w:p>
    <w:p w:rsidR="006A1A04">
      <w:pPr>
        <w:spacing w:before="24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10</w:t>
      </w:r>
    </w:p>
    <w:p w:rsidR="006A1A04">
      <w:pPr>
        <w:pStyle w:val="Heading2"/>
        <w:spacing w:before="0"/>
        <w:rPr>
          <w:szCs w:val="24"/>
        </w:rPr>
      </w:pPr>
      <w:r>
        <w:rPr>
          <w:szCs w:val="24"/>
        </w:rPr>
        <w:t>Daňový dlžník</w:t>
      </w:r>
    </w:p>
    <w:p w:rsidR="006A1A04">
      <w:pPr>
        <w:numPr>
          <w:numId w:val="47"/>
        </w:numPr>
        <w:spacing w:before="240"/>
        <w:jc w:val="both"/>
        <w:rPr>
          <w:rFonts w:ascii="Arial Narrow" w:hAnsi="Arial Narrow" w:cs="Arial Narrow"/>
          <w:sz w:val="22"/>
          <w:szCs w:val="24"/>
        </w:rPr>
      </w:pPr>
      <w:r>
        <w:rPr>
          <w:rFonts w:ascii="Arial Narrow" w:hAnsi="Arial Narrow" w:cs="Arial Narrow"/>
          <w:sz w:val="22"/>
          <w:szCs w:val="24"/>
        </w:rPr>
        <w:t xml:space="preserve">Daňovým dlžníkom na účely tohto zákona je právnická osoba alebo fyzická osoba, ktorá </w:t>
      </w:r>
    </w:p>
    <w:p w:rsidR="006A1A04">
      <w:pPr>
        <w:numPr>
          <w:numId w:val="33"/>
        </w:numPr>
        <w:spacing w:before="120"/>
        <w:jc w:val="both"/>
        <w:rPr>
          <w:rFonts w:ascii="Arial Narrow" w:hAnsi="Arial Narrow" w:cs="Arial Narrow"/>
          <w:sz w:val="22"/>
          <w:szCs w:val="24"/>
        </w:rPr>
      </w:pPr>
      <w:r>
        <w:rPr>
          <w:rFonts w:ascii="Arial Narrow" w:hAnsi="Arial Narrow" w:cs="Arial Narrow"/>
          <w:sz w:val="22"/>
          <w:szCs w:val="24"/>
        </w:rPr>
        <w:t>dodala elektrinu na daňovom území konečnému spotrebiteľovi elektriny,</w:t>
      </w:r>
    </w:p>
    <w:p w:rsidR="006A1A04">
      <w:pPr>
        <w:numPr>
          <w:numId w:val="33"/>
        </w:numPr>
        <w:spacing w:before="120"/>
        <w:jc w:val="both"/>
        <w:rPr>
          <w:rFonts w:ascii="Arial Narrow" w:hAnsi="Arial Narrow" w:cs="Arial Narrow"/>
          <w:sz w:val="22"/>
          <w:szCs w:val="24"/>
        </w:rPr>
      </w:pPr>
      <w:r>
        <w:rPr>
          <w:rFonts w:ascii="Arial Narrow" w:hAnsi="Arial Narrow" w:cs="Arial Narrow"/>
          <w:sz w:val="22"/>
          <w:szCs w:val="24"/>
        </w:rPr>
        <w:t>spotrebovala elektrinu na daňovom území, a ktorá je elektroenergetickým podnikom.</w:t>
      </w:r>
    </w:p>
    <w:p w:rsidR="006A1A04">
      <w:pPr>
        <w:numPr>
          <w:numId w:val="47"/>
        </w:numPr>
        <w:spacing w:before="240"/>
        <w:jc w:val="both"/>
        <w:rPr>
          <w:rFonts w:ascii="Arial Narrow" w:hAnsi="Arial Narrow" w:cs="Arial Narrow"/>
          <w:sz w:val="22"/>
          <w:szCs w:val="24"/>
        </w:rPr>
      </w:pPr>
      <w:r>
        <w:rPr>
          <w:rFonts w:ascii="Arial Narrow" w:hAnsi="Arial Narrow" w:cs="Arial Narrow"/>
          <w:sz w:val="22"/>
          <w:szCs w:val="24"/>
        </w:rPr>
        <w:t xml:space="preserve">Daňovým dlžníkom je aj </w:t>
      </w:r>
    </w:p>
    <w:p w:rsidR="006A1A04">
      <w:pPr>
        <w:numPr>
          <w:numId w:val="27"/>
        </w:numPr>
        <w:spacing w:before="120"/>
        <w:jc w:val="both"/>
        <w:rPr>
          <w:rFonts w:ascii="Arial Narrow" w:hAnsi="Arial Narrow" w:cs="Arial Narrow"/>
          <w:sz w:val="22"/>
          <w:szCs w:val="24"/>
        </w:rPr>
      </w:pPr>
      <w:r>
        <w:rPr>
          <w:rFonts w:ascii="Arial Narrow" w:hAnsi="Arial Narrow" w:cs="Arial Narrow"/>
          <w:sz w:val="22"/>
          <w:szCs w:val="24"/>
        </w:rPr>
        <w:t>konečný spotrebiteľ elektriny okrem koncového odberateľa elektriny v domácnosti, ktorému právnická osoba alebo fyzická osoba, ktorá nemá sídlo alebo trvalý pobyt na daňovom území (ďalej len „zahraničná osoba“), dodala elektrinu na daňovom území,</w:t>
      </w:r>
    </w:p>
    <w:p w:rsidR="006A1A04">
      <w:pPr>
        <w:numPr>
          <w:numId w:val="27"/>
        </w:numPr>
        <w:spacing w:before="120"/>
        <w:jc w:val="both"/>
        <w:rPr>
          <w:rFonts w:ascii="Arial Narrow" w:hAnsi="Arial Narrow" w:cs="Arial Narrow"/>
          <w:sz w:val="22"/>
          <w:szCs w:val="24"/>
        </w:rPr>
      </w:pPr>
      <w:r>
        <w:rPr>
          <w:rFonts w:ascii="Arial Narrow" w:hAnsi="Arial Narrow" w:cs="Arial Narrow"/>
          <w:sz w:val="22"/>
          <w:szCs w:val="24"/>
        </w:rPr>
        <w:t>zahraničná osoba, ktorá dodala elektrinu na daňovom území  koncovému odberateľovi elektriny                     v domácnosti,</w:t>
      </w:r>
    </w:p>
    <w:p w:rsidR="006A1A04">
      <w:pPr>
        <w:numPr>
          <w:numId w:val="27"/>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neoprávnene odobrala elektrinu,</w:t>
      </w:r>
      <w:r>
        <w:rPr>
          <w:rFonts w:ascii="Arial Narrow" w:hAnsi="Arial Narrow" w:cs="Arial Narrow"/>
          <w:sz w:val="22"/>
          <w:szCs w:val="24"/>
          <w:vertAlign w:val="superscript"/>
        </w:rPr>
        <w:t>17</w:t>
      </w:r>
      <w:r>
        <w:rPr>
          <w:rFonts w:ascii="Arial Narrow" w:hAnsi="Arial Narrow" w:cs="Arial Narrow"/>
          <w:sz w:val="22"/>
          <w:szCs w:val="24"/>
        </w:rPr>
        <w:t>)</w:t>
      </w:r>
      <w:r>
        <w:rPr>
          <w:rFonts w:ascii="Arial Narrow" w:hAnsi="Arial Narrow" w:cs="Arial Narrow"/>
          <w:sz w:val="22"/>
          <w:szCs w:val="24"/>
          <w:vertAlign w:val="superscript"/>
        </w:rPr>
        <w:t xml:space="preserve">    </w:t>
      </w:r>
    </w:p>
    <w:p w:rsidR="006A1A04">
      <w:pPr>
        <w:numPr>
          <w:numId w:val="27"/>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spotrebovala elektrinu oslobodenú od dane na iný účel, ako je uvedený  v  § 7.</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11</w:t>
      </w:r>
    </w:p>
    <w:p w:rsidR="006A1A04">
      <w:pPr>
        <w:jc w:val="center"/>
        <w:rPr>
          <w:rFonts w:ascii="Arial Narrow" w:hAnsi="Arial Narrow" w:cs="Arial Narrow"/>
          <w:b/>
          <w:sz w:val="22"/>
          <w:szCs w:val="24"/>
        </w:rPr>
      </w:pPr>
      <w:r>
        <w:rPr>
          <w:rFonts w:ascii="Arial Narrow" w:hAnsi="Arial Narrow" w:cs="Arial Narrow"/>
          <w:b/>
          <w:sz w:val="22"/>
          <w:szCs w:val="24"/>
        </w:rPr>
        <w:t xml:space="preserve">Registrácia </w:t>
      </w:r>
    </w:p>
    <w:p w:rsidR="006A1A04">
      <w:pPr>
        <w:numPr>
          <w:numId w:val="25"/>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Daňový dlžník podľa § 10 ods. 1 a ods</w:t>
      </w:r>
      <w:r>
        <w:rPr>
          <w:rFonts w:ascii="Arial Narrow" w:hAnsi="Arial Narrow" w:cs="Arial Narrow"/>
          <w:b/>
          <w:sz w:val="22"/>
          <w:szCs w:val="24"/>
        </w:rPr>
        <w:t xml:space="preserve">. </w:t>
      </w:r>
      <w:r>
        <w:rPr>
          <w:rFonts w:ascii="Arial Narrow" w:hAnsi="Arial Narrow" w:cs="Arial Narrow"/>
          <w:sz w:val="22"/>
          <w:szCs w:val="24"/>
        </w:rPr>
        <w:t xml:space="preserve"> 2 písm. a) je povinný písomne požiadať colný úrad o registráciu daňového dlžníka najneskôr v deň</w:t>
      </w:r>
      <w:r>
        <w:rPr>
          <w:rFonts w:ascii="Arial Narrow" w:hAnsi="Arial Narrow" w:cs="Arial Narrow"/>
          <w:b/>
          <w:sz w:val="22"/>
          <w:szCs w:val="24"/>
        </w:rPr>
        <w:t xml:space="preserve"> </w:t>
      </w:r>
      <w:r>
        <w:rPr>
          <w:rFonts w:ascii="Arial Narrow" w:hAnsi="Arial Narrow" w:cs="Arial Narrow"/>
          <w:sz w:val="22"/>
          <w:szCs w:val="24"/>
        </w:rPr>
        <w:t>vzniku prvej daňovej povinnosti.</w:t>
      </w:r>
    </w:p>
    <w:p w:rsidR="006A1A04">
      <w:pPr>
        <w:numPr>
          <w:numId w:val="25"/>
        </w:numPr>
        <w:spacing w:before="240"/>
        <w:jc w:val="both"/>
        <w:rPr>
          <w:rFonts w:ascii="Arial Narrow" w:hAnsi="Arial Narrow" w:cs="Arial Narrow"/>
          <w:sz w:val="22"/>
          <w:szCs w:val="24"/>
        </w:rPr>
      </w:pPr>
      <w:r>
        <w:rPr>
          <w:rFonts w:ascii="Arial Narrow" w:hAnsi="Arial Narrow" w:cs="Arial Narrow"/>
          <w:sz w:val="22"/>
          <w:szCs w:val="24"/>
        </w:rPr>
        <w:t>Žiadosť musí obsahovať</w:t>
      </w:r>
    </w:p>
    <w:p w:rsidR="006A1A04">
      <w:pPr>
        <w:numPr>
          <w:numId w:val="87"/>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numId w:val="87"/>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25"/>
        </w:numPr>
        <w:tabs>
          <w:tab w:val="num" w:pos="180"/>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Prílohou k  žiadosti je 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25"/>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Zahraničná osoba, ktorá je daňovým dlžníkom podľa § 10 ods. 2 písm. b) je povinná písomne požiadať Colný úrad Bratislava o registráciu daňového dlžníka najneskôr v deň vzniku prvej daňovej povinnosti. Na žiadosť sa vzťahujú ustanovenia odsekov  2 a 3 primerane. </w:t>
      </w:r>
    </w:p>
    <w:p w:rsidR="006A1A04">
      <w:pPr>
        <w:numPr>
          <w:numId w:val="25"/>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Podnikateľ, ktorý má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a nakupuje elektrinu len na účely ďalšieho predaja, a ktorý nie je povinný registrovať sa podľa   odseku 1, je povinný písomne požiadať colný úrad o registráciu najneskôr v deň prvého dodania elektriny. Na žiadosť sa vzťahujú ustanovenia odsekov 2 a 3 primerane. Doklad o registrácii vydaný colným úradom je tento podnikateľ povinný predložiť najneskôr v deň prvého dodania elektriny právnickej osobe alebo fyzickej osobe, od ktorej chce elektrinu nakupovať.</w:t>
      </w:r>
    </w:p>
    <w:p w:rsidR="006A1A04">
      <w:pPr>
        <w:numPr>
          <w:numId w:val="25"/>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Ako daňový dlžník je povinná registrovať sa aj právnická osoba alebo fyzická osoba, ktorá dodáva elektrinu oslobodenú od dane, ak už nie je registrovaná podľa odseku 1, a to najneskôr v deň prvého dodania elektriny oslobodenej od dane. Na žiadosť sa vzťahujú ustanovenia odsekov  2 a 3. </w:t>
      </w:r>
    </w:p>
    <w:p w:rsidR="006A1A04">
      <w:pPr>
        <w:spacing w:before="240"/>
        <w:jc w:val="both"/>
        <w:rPr>
          <w:rFonts w:ascii="Arial Narrow" w:hAnsi="Arial Narrow" w:cs="Arial Narrow"/>
          <w:sz w:val="22"/>
          <w:szCs w:val="24"/>
        </w:rPr>
      </w:pPr>
    </w:p>
    <w:p w:rsidR="00533965">
      <w:pPr>
        <w:spacing w:before="240"/>
        <w:jc w:val="both"/>
        <w:rPr>
          <w:rFonts w:ascii="Arial Narrow" w:hAnsi="Arial Narrow" w:cs="Arial Narrow"/>
          <w:sz w:val="22"/>
          <w:szCs w:val="24"/>
        </w:rPr>
      </w:pPr>
    </w:p>
    <w:p w:rsidR="00533965">
      <w:pPr>
        <w:spacing w:before="240"/>
        <w:jc w:val="both"/>
        <w:rPr>
          <w:rFonts w:ascii="Arial Narrow" w:hAnsi="Arial Narrow" w:cs="Arial Narrow"/>
          <w:sz w:val="22"/>
          <w:szCs w:val="24"/>
        </w:rPr>
      </w:pPr>
    </w:p>
    <w:p w:rsidR="00533965">
      <w:pPr>
        <w:spacing w:before="240"/>
        <w:jc w:val="both"/>
        <w:rPr>
          <w:rFonts w:ascii="Arial Narrow" w:hAnsi="Arial Narrow" w:cs="Arial Narrow"/>
          <w:sz w:val="22"/>
          <w:szCs w:val="24"/>
        </w:rPr>
      </w:pPr>
    </w:p>
    <w:p w:rsidR="006A1A04">
      <w:pPr>
        <w:tabs>
          <w:tab w:val="center" w:pos="4536"/>
          <w:tab w:val="left" w:pos="5940"/>
        </w:tabs>
        <w:jc w:val="center"/>
        <w:rPr>
          <w:rFonts w:ascii="Arial Narrow" w:hAnsi="Arial Narrow" w:cs="Arial Narrow"/>
          <w:b/>
          <w:sz w:val="22"/>
          <w:szCs w:val="24"/>
        </w:rPr>
      </w:pPr>
      <w:r>
        <w:rPr>
          <w:rFonts w:ascii="Arial Narrow" w:hAnsi="Arial Narrow" w:cs="Arial Narrow"/>
          <w:b/>
          <w:sz w:val="22"/>
          <w:szCs w:val="24"/>
        </w:rPr>
        <w:t>§ 12</w:t>
      </w:r>
    </w:p>
    <w:p w:rsidR="006A1A04">
      <w:pPr>
        <w:jc w:val="center"/>
        <w:rPr>
          <w:rFonts w:ascii="Arial Narrow" w:hAnsi="Arial Narrow" w:cs="Arial Narrow"/>
          <w:b/>
          <w:sz w:val="22"/>
          <w:szCs w:val="24"/>
        </w:rPr>
      </w:pPr>
      <w:r>
        <w:rPr>
          <w:rFonts w:ascii="Arial Narrow" w:hAnsi="Arial Narrow" w:cs="Arial Narrow"/>
          <w:b/>
          <w:sz w:val="22"/>
          <w:szCs w:val="24"/>
        </w:rPr>
        <w:t>Zdaňovacie obdobie, daňové priznanie, dodatočné daňové priznanie a splatnosť dane</w:t>
      </w:r>
    </w:p>
    <w:p w:rsidR="006A1A04">
      <w:pPr>
        <w:numPr>
          <w:numId w:val="196"/>
        </w:numPr>
        <w:spacing w:before="240"/>
        <w:jc w:val="both"/>
        <w:rPr>
          <w:rFonts w:ascii="Arial Narrow" w:hAnsi="Arial Narrow" w:cs="Arial Narrow"/>
          <w:sz w:val="22"/>
          <w:szCs w:val="24"/>
        </w:rPr>
      </w:pPr>
      <w:r>
        <w:rPr>
          <w:rFonts w:ascii="Arial Narrow" w:hAnsi="Arial Narrow" w:cs="Arial Narrow"/>
          <w:sz w:val="22"/>
          <w:szCs w:val="24"/>
        </w:rPr>
        <w:t>Zdaňovacím obdobím je kalendárny mesiac, ak tento zákon neustanovuje inak.</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priznania, žiadosti o vrátenie dane a dodatočnej  žiadosti o vrátenie dane ustanoví všeobecne záväzný právny predpis, ktorý vydá ministerstvo. </w:t>
      </w:r>
    </w:p>
    <w:p w:rsidR="006A1A04">
      <w:pPr>
        <w:numPr>
          <w:numId w:val="196"/>
        </w:numPr>
        <w:spacing w:before="240"/>
        <w:jc w:val="both"/>
        <w:rPr>
          <w:rFonts w:ascii="Arial Narrow" w:hAnsi="Arial Narrow" w:cs="Arial Narrow"/>
          <w:sz w:val="22"/>
          <w:szCs w:val="24"/>
        </w:rPr>
      </w:pPr>
      <w:r>
        <w:rPr>
          <w:rFonts w:ascii="Arial Narrow" w:hAnsi="Arial Narrow" w:cs="Arial Narrow"/>
          <w:sz w:val="22"/>
          <w:szCs w:val="24"/>
        </w:rPr>
        <w:t xml:space="preserve">Daňový dlžník v daňovom priznaní uvedie </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 xml:space="preserve">celkové množstvo elektriny </w:t>
      </w:r>
      <w:r>
        <w:rPr>
          <w:rFonts w:ascii="Arial Narrow" w:hAnsi="Arial Narrow" w:cs="Arial Narrow"/>
          <w:b/>
          <w:sz w:val="22"/>
          <w:szCs w:val="24"/>
        </w:rPr>
        <w:t xml:space="preserve"> </w:t>
      </w:r>
      <w:r>
        <w:rPr>
          <w:rFonts w:ascii="Arial Narrow" w:hAnsi="Arial Narrow" w:cs="Arial Narrow"/>
          <w:sz w:val="22"/>
          <w:szCs w:val="24"/>
        </w:rPr>
        <w:t>v kilowatthodinách, ktoré dodal,</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množstvo elektriny  v kilowatthodinách z množstva elektriny podľa písmena a), z ktorého vznikla   daňová povinnosť dodaním,</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množstvo elektriny v kilowatthodinách z množstva elektriny podľa písmena a), ktoré dodal na účely oslobodené od dane,</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množstvo elektriny  v kilowatthodinách, z ktorého vznikla daňová povinnosť spotrebou,</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celkové množstvo elektriny  v kilowatthodinách, z ktorého vznikla daňová povinnosť,</w:t>
      </w:r>
    </w:p>
    <w:p w:rsidR="006A1A04">
      <w:pPr>
        <w:numPr>
          <w:ilvl w:val="1"/>
          <w:numId w:val="11"/>
        </w:numPr>
        <w:tabs>
          <w:tab w:val="num" w:pos="0"/>
          <w:tab w:val="clear" w:pos="360"/>
        </w:tabs>
        <w:spacing w:before="120"/>
        <w:jc w:val="both"/>
        <w:rPr>
          <w:rFonts w:ascii="Arial Narrow" w:hAnsi="Arial Narrow" w:cs="Arial Narrow"/>
          <w:sz w:val="22"/>
          <w:szCs w:val="24"/>
        </w:rPr>
      </w:pPr>
      <w:r>
        <w:rPr>
          <w:rFonts w:ascii="Arial Narrow" w:hAnsi="Arial Narrow" w:cs="Arial Narrow"/>
          <w:sz w:val="22"/>
          <w:szCs w:val="24"/>
        </w:rPr>
        <w:t>výslednú daň, ktorá pripadá na množstvo elektriny, z ktorého vznikla daňová povinnosť.</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Pri preddavkovej platbe sa za dodané množstvo elektriny považuje predpokladané množstvo spotrebovanej elektriny, na ktoré sa preddavková platba vzťahuje.</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Daňový dlžník je povinný vypočítať daň sám. Výsledná daň sa zaokrúhľuje na celé koruny smerom nahor.</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Ak daňový dlžník zistí, že podané daňové priznanie je nesprávne alebo neúplné a jeho oprava má za následok </w:t>
      </w:r>
    </w:p>
    <w:p w:rsidR="006A1A04">
      <w:pPr>
        <w:numPr>
          <w:ilvl w:val="2"/>
          <w:numId w:val="11"/>
        </w:numPr>
        <w:spacing w:before="240"/>
        <w:jc w:val="both"/>
        <w:rPr>
          <w:rFonts w:ascii="Arial Narrow" w:hAnsi="Arial Narrow" w:cs="Arial Narrow"/>
          <w:sz w:val="22"/>
          <w:szCs w:val="24"/>
        </w:rPr>
      </w:pPr>
      <w:r>
        <w:rPr>
          <w:rFonts w:ascii="Arial Narrow" w:hAnsi="Arial Narrow" w:cs="Arial Narrow"/>
          <w:sz w:val="22"/>
          <w:szCs w:val="24"/>
        </w:rPr>
        <w:t>zvýšenie dane, je povinný podať colnému úradu dodatočné daňové priznanie bezodkladne po zistení nesprávnosti alebo neúplnosti daňového priznania a zaplatiť daň do desiatich pracovných dní odo dňa podania dodatočného daňového priznania,</w:t>
      </w:r>
    </w:p>
    <w:p w:rsidR="006A1A04">
      <w:pPr>
        <w:numPr>
          <w:ilvl w:val="2"/>
          <w:numId w:val="11"/>
        </w:numPr>
        <w:spacing w:before="240"/>
        <w:jc w:val="both"/>
        <w:rPr>
          <w:rFonts w:ascii="Arial Narrow" w:hAnsi="Arial Narrow" w:cs="Arial Narrow"/>
          <w:sz w:val="22"/>
          <w:szCs w:val="24"/>
        </w:rPr>
      </w:pPr>
      <w:r>
        <w:rPr>
          <w:rFonts w:ascii="Arial Narrow" w:hAnsi="Arial Narrow" w:cs="Arial Narrow"/>
          <w:sz w:val="22"/>
          <w:szCs w:val="24"/>
        </w:rPr>
        <w:t xml:space="preserve">zníženie dane, môže uplatniť vrátenie dane v dodatočnom daňovom priznaní. </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Dodatočné daňové priznanie musí byť označené ako „Dodatočné“. V dodatočnom daňovom priznaní sa uvedie  zdaňovacie obdobie, ktorého sa dodatočné daňové priznanie týka a uvedú sa aj rozdiely oproti pôvodne podanému daňovému priznaniu. Colný úrad vráti daň do 30 dní odo dňa podania dodatočného daňového priznania.   </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Na dodatočné daňové priznanie sa neprihliadne, ak colný úrad už začal daňovú kontrolu smerujúcu k preskúmaniu skutočností rozhodujúcich pre správne určenie dane alebo uplatneného vrátenia dane za zdaňovacie obdobie, ktorého by sa dodatočné daňové priznanie týkalo.</w:t>
      </w:r>
    </w:p>
    <w:p w:rsidR="006A1A04">
      <w:pPr>
        <w:numPr>
          <w:numId w:val="196"/>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Daňový dlžník, ktorého daňová povinnosť za zdaňovacie obdobie nepresiahne 100 Sk, nie je povinný podať daňové priznanie a zaplatiť daň.  </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13</w:t>
      </w:r>
    </w:p>
    <w:p w:rsidR="006A1A04">
      <w:pPr>
        <w:pStyle w:val="Heading2"/>
        <w:spacing w:before="0"/>
        <w:rPr>
          <w:szCs w:val="24"/>
        </w:rPr>
      </w:pPr>
      <w:r>
        <w:rPr>
          <w:szCs w:val="24"/>
        </w:rPr>
        <w:t>Vrátenie dane</w:t>
      </w:r>
    </w:p>
    <w:p w:rsidR="006A1A04">
      <w:pPr>
        <w:numPr>
          <w:numId w:val="12"/>
        </w:numPr>
        <w:spacing w:before="240"/>
        <w:jc w:val="both"/>
        <w:rPr>
          <w:rFonts w:ascii="Arial Narrow" w:hAnsi="Arial Narrow" w:cs="Arial Narrow"/>
          <w:sz w:val="22"/>
          <w:szCs w:val="24"/>
        </w:rPr>
      </w:pPr>
      <w:r>
        <w:rPr>
          <w:rFonts w:ascii="Arial Narrow" w:hAnsi="Arial Narrow" w:cs="Arial Narrow"/>
          <w:sz w:val="22"/>
          <w:szCs w:val="24"/>
        </w:rPr>
        <w:t>Daň možno vrátiť za podmienok ustanovených týmto zákonom z preukázateľne zdanenej elektriny  na daňovom území oprávnenému spotrebiteľovi elektriny uvedenému v § 8 ods. 3, ak takúto elektrinu preukázateľne spotreboval na účely oslobodené od dane.</w:t>
      </w:r>
    </w:p>
    <w:p w:rsidR="006A1A04">
      <w:pPr>
        <w:numPr>
          <w:numId w:val="12"/>
        </w:numPr>
        <w:spacing w:before="240"/>
        <w:jc w:val="both"/>
        <w:rPr>
          <w:rFonts w:ascii="Arial Narrow" w:hAnsi="Arial Narrow" w:cs="Arial Narrow"/>
          <w:sz w:val="22"/>
          <w:szCs w:val="24"/>
        </w:rPr>
      </w:pPr>
      <w:r>
        <w:rPr>
          <w:rFonts w:ascii="Arial Narrow" w:hAnsi="Arial Narrow" w:cs="Arial Narrow"/>
          <w:sz w:val="22"/>
          <w:szCs w:val="24"/>
        </w:rPr>
        <w:t>Vrátenie dane sa uplatní v žiadosti o vrátenie dane alebo v dodatočnej žiadosti o vrátenie dane na tlačive podľa § 12 ods. 2, okrem  odseku 7, kedy sa vrátenie dane uplatní  v dodatočnom  daňovom priznaní.</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Preukázateľne zdanenou elektrinou na účely tohto zákona je elektrina, ktorej zdanenie je doložené dokladom potvrdzujúcim jej nadobudnutie za cenu s daňou a dokladom potvrdzujúcim zaplatenie dane v cene elektriny, napríklad výpisom z účtu v banke alebo v pobočke zahraničnej banky alebo dokladom potvrdzujúcim zaplatenie dane colnému úradu.</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 xml:space="preserve">Preukázateľne spotrebovaným množstvom elektriny na účely oslobodené od dane na účely tohto zákona je množstvo elektriny odmerané určeným meradlom, </w:t>
      </w:r>
      <w:r>
        <w:rPr>
          <w:rStyle w:val="FootnoteReference"/>
          <w:rFonts w:ascii="Arial Narrow" w:hAnsi="Arial Narrow" w:cs="Arial Narrow"/>
          <w:sz w:val="22"/>
          <w:szCs w:val="24"/>
        </w:rPr>
        <w:footnoteReference w:id="18"/>
      </w:r>
      <w:r>
        <w:rPr>
          <w:rFonts w:ascii="Arial Narrow" w:hAnsi="Arial Narrow" w:cs="Arial Narrow"/>
          <w:sz w:val="22"/>
          <w:szCs w:val="24"/>
        </w:rPr>
        <w:t xml:space="preserve">) ktoré sa nachádza na mieste odsúhlasenom  colným úradom, a ktoré je opatrené na daňové účely uzáverou colného úradu. V odôvodnených prípadoch môže colný úrad povoliť, na základe písomnej žiadosti právnickej osoby alebo fyzickej osoby spôsob výpočtu                          a preukazovania spotreby elektriny  na účely oslobodené od dane na účely vrátenia dane aj iným spôsobom. </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Žiadosť o vrátenie dane možno podať colnému úradu za zdaňovacie obdobie, v ktorom bola elektrina dodaná a preukázateľne spotrebovaná na účely oslobodené od dane, a to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Ak žiadateľom o vrátenie dane je oprávnený spotrebiteľ elektriny, ktorý platí za dodané množstvo elektriny formou preddavkovej platby, vrátenie dane si uplatní v lehote</w:t>
      </w:r>
      <w:r>
        <w:rPr>
          <w:rFonts w:ascii="Arial Narrow" w:hAnsi="Arial Narrow" w:cs="Arial Narrow"/>
          <w:b/>
          <w:sz w:val="22"/>
          <w:szCs w:val="24"/>
        </w:rPr>
        <w:t xml:space="preserve"> </w:t>
      </w:r>
      <w:r>
        <w:rPr>
          <w:rFonts w:ascii="Arial Narrow" w:hAnsi="Arial Narrow" w:cs="Arial Narrow"/>
          <w:sz w:val="22"/>
          <w:szCs w:val="24"/>
        </w:rPr>
        <w:t>troch rokov</w:t>
      </w:r>
      <w:r>
        <w:rPr>
          <w:rFonts w:ascii="Arial Narrow" w:hAnsi="Arial Narrow" w:cs="Arial Narrow"/>
          <w:b/>
          <w:sz w:val="22"/>
          <w:szCs w:val="24"/>
        </w:rPr>
        <w:t xml:space="preserve"> </w:t>
      </w:r>
      <w:r>
        <w:rPr>
          <w:rFonts w:ascii="Arial Narrow" w:hAnsi="Arial Narrow" w:cs="Arial Narrow"/>
          <w:sz w:val="22"/>
          <w:szCs w:val="24"/>
        </w:rPr>
        <w:t xml:space="preserve">od skončenia zúčtovacieho obdobia. Žiadosť o vrátenie dane musí byť doložená dokladmi preukazujúcimi použitie elektriny na účely oslobodené od dane. </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Daň možno vrátiť aj daňovému dlžníkovi, ak už daň zaplatil a ak daň vypočítal</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 xml:space="preserve">daňový dlžník v neprospech odberateľa elektriny, ktorému vyhotovil dobropis, </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 xml:space="preserve">daňový dlžník vo svoj neprospech, </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colný úrad v neprospech daňového dlžníka, o čom písomne informuje daňového dlžníka.</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 xml:space="preserve">Ak oprávnený spotrebiteľ elektriny zistí, že podaná žiadosť o vrátenie dane je nesprávna alebo neúplná a jej oprava má za následok </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 xml:space="preserve">zvýšenie uplatneného vrátenia dane, môže  uplatniť vrátenie dane v dodatočnej žiadosti o vrátenie dane; to platí aj v prípade, ak túto skutočnosť zistí colný úrad. </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 xml:space="preserve">Dodatočná žiadosť o vrátenie dane musí byť označená ako „Dodatočná“.  V dodatočnej žiadosti o vrátenie dane sa uvedie zdaňovanie obdobie, ktorého sa dodatočná žiadosť o vrátenie dane týka a uvedú sa aj rozdiely oproti pôvodne podanej žiadosti o vrátenie dane. Dodatočnú žiadosť o vrátenie dane možno podať do troch rokov od konca zdaňovacieho obdobia, ktorého sa týka; na základe dodatočnej žiadosti o vrátenie dane podanej po uplynutí tejto lehoty nemožno daň vrátiť.   </w:t>
      </w:r>
    </w:p>
    <w:p w:rsidR="006A1A04">
      <w:pPr>
        <w:numPr>
          <w:numId w:val="12"/>
        </w:numPr>
        <w:spacing w:before="120"/>
        <w:jc w:val="both"/>
        <w:rPr>
          <w:rFonts w:ascii="Arial Narrow" w:hAnsi="Arial Narrow" w:cs="Arial Narrow"/>
          <w:sz w:val="22"/>
          <w:szCs w:val="24"/>
        </w:rPr>
      </w:pPr>
      <w:r>
        <w:rPr>
          <w:rFonts w:ascii="Arial Narrow" w:hAnsi="Arial Narrow" w:cs="Arial Narrow"/>
          <w:sz w:val="22"/>
          <w:szCs w:val="24"/>
        </w:rPr>
        <w:t>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w:t>
      </w:r>
    </w:p>
    <w:p w:rsidR="006A1A04">
      <w:pPr>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Vedenie evidencií</w:t>
      </w:r>
    </w:p>
    <w:p w:rsidR="006A1A04">
      <w:pPr>
        <w:jc w:val="center"/>
        <w:rPr>
          <w:rFonts w:ascii="Arial Narrow" w:hAnsi="Arial Narrow" w:cs="Arial Narrow"/>
          <w:b/>
          <w:sz w:val="22"/>
          <w:szCs w:val="24"/>
        </w:rPr>
      </w:pPr>
      <w:r>
        <w:rPr>
          <w:rFonts w:ascii="Arial Narrow" w:hAnsi="Arial Narrow" w:cs="Arial Narrow"/>
          <w:b/>
          <w:sz w:val="22"/>
          <w:szCs w:val="24"/>
        </w:rPr>
        <w:t>§ 14</w:t>
      </w:r>
    </w:p>
    <w:p w:rsidR="006A1A04">
      <w:pPr>
        <w:numPr>
          <w:numId w:val="212"/>
        </w:numPr>
        <w:spacing w:before="120"/>
        <w:jc w:val="both"/>
        <w:rPr>
          <w:rFonts w:ascii="Arial Narrow" w:hAnsi="Arial Narrow" w:cs="Arial Narrow"/>
          <w:sz w:val="22"/>
          <w:szCs w:val="24"/>
        </w:rPr>
      </w:pPr>
      <w:r>
        <w:rPr>
          <w:rFonts w:ascii="Arial Narrow" w:hAnsi="Arial Narrow" w:cs="Arial Narrow"/>
          <w:sz w:val="22"/>
          <w:szCs w:val="24"/>
        </w:rPr>
        <w:t>Daňový dlžník je povinný priebežne viesť evidenciu množstva elektriny v kilowatthodinách</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vyrobeného,</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odobratého,</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dodaného, z toho na</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1. účely ďalšieho predaja,</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2. účely oslobodené od dane okrem dodania elektriny koncovému odberateľovi elektriny v domácnosti,</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3. účely oslobodené od dane koncovému odberateľovi elektriny v domácnosti,</w:t>
      </w:r>
    </w:p>
    <w:p w:rsidR="006A1A04">
      <w:pPr>
        <w:spacing w:before="120"/>
        <w:ind w:left="360"/>
        <w:jc w:val="both"/>
        <w:rPr>
          <w:rFonts w:ascii="Arial Narrow" w:hAnsi="Arial Narrow" w:cs="Arial Narrow"/>
          <w:color w:val="00FFFF"/>
          <w:sz w:val="22"/>
          <w:szCs w:val="24"/>
        </w:rPr>
      </w:pPr>
      <w:r>
        <w:rPr>
          <w:rFonts w:ascii="Arial Narrow" w:hAnsi="Arial Narrow" w:cs="Arial Narrow"/>
          <w:sz w:val="22"/>
          <w:szCs w:val="24"/>
        </w:rPr>
        <w:t xml:space="preserve">4.  spotrebu konečnému spotrebiteľovi elektriny, </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použitého na vlastnú spotrebu,</w:t>
      </w:r>
    </w:p>
    <w:p w:rsidR="006A1A04">
      <w:pPr>
        <w:numPr>
          <w:ilvl w:val="1"/>
          <w:numId w:val="12"/>
        </w:numPr>
        <w:spacing w:before="120"/>
        <w:jc w:val="both"/>
        <w:rPr>
          <w:rFonts w:ascii="Arial Narrow" w:hAnsi="Arial Narrow" w:cs="Arial Narrow"/>
          <w:sz w:val="22"/>
          <w:szCs w:val="24"/>
        </w:rPr>
      </w:pPr>
      <w:r>
        <w:rPr>
          <w:rFonts w:ascii="Arial Narrow" w:hAnsi="Arial Narrow" w:cs="Arial Narrow"/>
          <w:sz w:val="22"/>
          <w:szCs w:val="24"/>
        </w:rPr>
        <w:t>použitého na výrobu elektriny a na udržanie spôsobilosti zariadenia na výrobu elektriny a z toho straty v technologicky odôvodnenom množstve, a to aj pri prenose elektriny alebo  pri distribúcii elektriny.</w:t>
      </w:r>
    </w:p>
    <w:p w:rsidR="006A1A04">
      <w:pPr>
        <w:numPr>
          <w:numId w:val="212"/>
        </w:numPr>
        <w:tabs>
          <w:tab w:val="num" w:pos="-360"/>
          <w:tab w:val="clear" w:pos="340"/>
        </w:tabs>
        <w:spacing w:before="120"/>
        <w:ind w:left="0" w:firstLine="360"/>
        <w:jc w:val="both"/>
        <w:rPr>
          <w:rFonts w:ascii="Arial Narrow" w:hAnsi="Arial Narrow" w:cs="Arial Narrow"/>
          <w:sz w:val="22"/>
          <w:szCs w:val="24"/>
        </w:rPr>
      </w:pPr>
      <w:r>
        <w:rPr>
          <w:rFonts w:ascii="Arial Narrow" w:hAnsi="Arial Narrow" w:cs="Arial Narrow"/>
          <w:sz w:val="22"/>
          <w:szCs w:val="24"/>
        </w:rPr>
        <w:t xml:space="preserve">Podnikateľ, ktorý má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a ktorý  je povinný požiadať colný úrad o registráciu  podľa  § 11 ods. 5, vedie evidenciu primerane podľa odseku 1.</w:t>
      </w:r>
    </w:p>
    <w:p w:rsidR="006A1A04">
      <w:pPr>
        <w:spacing w:before="120"/>
        <w:ind w:left="540" w:hanging="540"/>
        <w:jc w:val="center"/>
        <w:rPr>
          <w:rFonts w:ascii="Arial Narrow" w:hAnsi="Arial Narrow" w:cs="Arial Narrow"/>
          <w:b/>
          <w:sz w:val="22"/>
          <w:szCs w:val="24"/>
        </w:rPr>
      </w:pPr>
    </w:p>
    <w:p w:rsidR="006A1A04">
      <w:pPr>
        <w:spacing w:before="120"/>
        <w:ind w:left="540" w:hanging="540"/>
        <w:jc w:val="center"/>
        <w:rPr>
          <w:rFonts w:ascii="Arial Narrow" w:hAnsi="Arial Narrow" w:cs="Arial Narrow"/>
          <w:b/>
          <w:sz w:val="22"/>
          <w:szCs w:val="24"/>
        </w:rPr>
      </w:pPr>
      <w:r>
        <w:rPr>
          <w:rFonts w:ascii="Arial Narrow" w:hAnsi="Arial Narrow" w:cs="Arial Narrow"/>
          <w:b/>
          <w:sz w:val="22"/>
          <w:szCs w:val="24"/>
        </w:rPr>
        <w:t>§ 15</w:t>
      </w:r>
    </w:p>
    <w:p w:rsidR="006A1A04">
      <w:pPr>
        <w:numPr>
          <w:numId w:val="16"/>
        </w:numPr>
        <w:spacing w:before="120"/>
        <w:jc w:val="both"/>
        <w:rPr>
          <w:rFonts w:ascii="Arial Narrow" w:hAnsi="Arial Narrow" w:cs="Arial Narrow"/>
          <w:sz w:val="22"/>
          <w:szCs w:val="24"/>
        </w:rPr>
      </w:pPr>
      <w:r>
        <w:rPr>
          <w:rFonts w:ascii="Arial Narrow" w:hAnsi="Arial Narrow" w:cs="Arial Narrow"/>
          <w:sz w:val="22"/>
          <w:szCs w:val="24"/>
        </w:rPr>
        <w:t>Oprávnený spotrebiteľ elektriny uvedený v § 8 ods. 2 je povinný priebežne viesť evidenciu množstva elektriny  v kilowatthodinách</w:t>
      </w:r>
    </w:p>
    <w:p w:rsidR="006A1A04">
      <w:pPr>
        <w:numPr>
          <w:ilvl w:val="1"/>
          <w:numId w:val="42"/>
        </w:numPr>
        <w:tabs>
          <w:tab w:val="num" w:pos="360"/>
          <w:tab w:val="clear" w:pos="1418"/>
        </w:tabs>
        <w:spacing w:before="120"/>
        <w:ind w:left="0"/>
        <w:jc w:val="both"/>
        <w:rPr>
          <w:rFonts w:ascii="Arial Narrow" w:hAnsi="Arial Narrow" w:cs="Arial Narrow"/>
          <w:sz w:val="22"/>
          <w:szCs w:val="24"/>
        </w:rPr>
      </w:pPr>
      <w:r>
        <w:rPr>
          <w:rFonts w:ascii="Arial Narrow" w:hAnsi="Arial Narrow" w:cs="Arial Narrow"/>
          <w:sz w:val="22"/>
          <w:szCs w:val="24"/>
        </w:rPr>
        <w:t>odobratého na účely oslobodené od dane,</w:t>
      </w:r>
    </w:p>
    <w:p w:rsidR="006A1A04">
      <w:pPr>
        <w:numPr>
          <w:ilvl w:val="1"/>
          <w:numId w:val="42"/>
        </w:numPr>
        <w:tabs>
          <w:tab w:val="num" w:pos="360"/>
          <w:tab w:val="clear" w:pos="1418"/>
        </w:tabs>
        <w:spacing w:before="120"/>
        <w:ind w:left="0"/>
        <w:jc w:val="both"/>
        <w:rPr>
          <w:rFonts w:ascii="Arial Narrow" w:hAnsi="Arial Narrow" w:cs="Arial Narrow"/>
          <w:sz w:val="22"/>
          <w:szCs w:val="24"/>
        </w:rPr>
      </w:pPr>
      <w:r>
        <w:rPr>
          <w:rFonts w:ascii="Arial Narrow" w:hAnsi="Arial Narrow" w:cs="Arial Narrow"/>
          <w:sz w:val="22"/>
          <w:szCs w:val="24"/>
        </w:rPr>
        <w:t>použitého na účely oslobodené od dane,</w:t>
      </w:r>
    </w:p>
    <w:p w:rsidR="006A1A04">
      <w:pPr>
        <w:numPr>
          <w:ilvl w:val="1"/>
          <w:numId w:val="42"/>
        </w:numPr>
        <w:tabs>
          <w:tab w:val="num" w:pos="360"/>
          <w:tab w:val="clear" w:pos="1418"/>
        </w:tabs>
        <w:spacing w:before="120"/>
        <w:ind w:left="0"/>
        <w:jc w:val="both"/>
        <w:rPr>
          <w:rFonts w:ascii="Arial Narrow" w:hAnsi="Arial Narrow" w:cs="Arial Narrow"/>
          <w:sz w:val="22"/>
          <w:szCs w:val="24"/>
        </w:rPr>
      </w:pPr>
      <w:r>
        <w:rPr>
          <w:rFonts w:ascii="Arial Narrow" w:hAnsi="Arial Narrow" w:cs="Arial Narrow"/>
          <w:sz w:val="22"/>
          <w:szCs w:val="24"/>
        </w:rPr>
        <w:t>použitého na iný účel, ako je uvedený v § 7.</w:t>
      </w:r>
    </w:p>
    <w:p w:rsidR="006A1A04">
      <w:pPr>
        <w:numPr>
          <w:numId w:val="16"/>
        </w:numPr>
        <w:spacing w:before="120"/>
        <w:jc w:val="both"/>
        <w:rPr>
          <w:rFonts w:ascii="Arial Narrow" w:hAnsi="Arial Narrow" w:cs="Arial Narrow"/>
          <w:sz w:val="22"/>
          <w:szCs w:val="24"/>
        </w:rPr>
      </w:pPr>
      <w:r>
        <w:rPr>
          <w:rFonts w:ascii="Arial Narrow" w:hAnsi="Arial Narrow" w:cs="Arial Narrow"/>
          <w:sz w:val="22"/>
          <w:szCs w:val="24"/>
        </w:rPr>
        <w:t>Oprávnený spotrebiteľ elektriny uvedený v § 8 ods. 3 je povinný priebežne viesť evidenciu množstva elektriny v kilowatthodinách</w:t>
      </w:r>
    </w:p>
    <w:p w:rsidR="006A1A04">
      <w:pPr>
        <w:numPr>
          <w:numId w:val="186"/>
        </w:numPr>
        <w:tabs>
          <w:tab w:val="num" w:pos="360"/>
          <w:tab w:val="clear" w:pos="1437"/>
        </w:tabs>
        <w:spacing w:before="120"/>
        <w:ind w:hanging="1437"/>
        <w:jc w:val="both"/>
        <w:rPr>
          <w:rFonts w:ascii="Arial Narrow" w:hAnsi="Arial Narrow" w:cs="Arial Narrow"/>
          <w:sz w:val="22"/>
          <w:szCs w:val="24"/>
        </w:rPr>
      </w:pPr>
      <w:r>
        <w:rPr>
          <w:rFonts w:ascii="Arial Narrow" w:hAnsi="Arial Narrow" w:cs="Arial Narrow"/>
          <w:sz w:val="22"/>
          <w:szCs w:val="24"/>
        </w:rPr>
        <w:t>odobratého,</w:t>
      </w:r>
    </w:p>
    <w:p w:rsidR="006A1A04">
      <w:pPr>
        <w:numPr>
          <w:numId w:val="186"/>
        </w:numPr>
        <w:tabs>
          <w:tab w:val="num" w:pos="360"/>
          <w:tab w:val="clear" w:pos="1437"/>
        </w:tabs>
        <w:spacing w:before="120"/>
        <w:ind w:hanging="1437"/>
        <w:jc w:val="both"/>
        <w:rPr>
          <w:rFonts w:ascii="Arial Narrow" w:hAnsi="Arial Narrow" w:cs="Arial Narrow"/>
          <w:sz w:val="22"/>
          <w:szCs w:val="24"/>
        </w:rPr>
      </w:pPr>
      <w:r>
        <w:rPr>
          <w:rFonts w:ascii="Arial Narrow" w:hAnsi="Arial Narrow" w:cs="Arial Narrow"/>
          <w:sz w:val="22"/>
          <w:szCs w:val="24"/>
        </w:rPr>
        <w:t>použitého na účely oslobodené od dane.</w:t>
      </w:r>
    </w:p>
    <w:p w:rsidR="006A1A04">
      <w:pPr>
        <w:spacing w:before="240"/>
        <w:rPr>
          <w:rFonts w:ascii="Arial Narrow" w:hAnsi="Arial Narrow" w:cs="Arial Narrow"/>
          <w:b/>
          <w:sz w:val="22"/>
          <w:szCs w:val="24"/>
        </w:rPr>
      </w:pPr>
    </w:p>
    <w:p w:rsidR="006A1A04">
      <w:pPr>
        <w:spacing w:before="240"/>
        <w:jc w:val="center"/>
        <w:rPr>
          <w:rFonts w:ascii="Arial Narrow" w:hAnsi="Arial Narrow" w:cs="Arial Narrow"/>
          <w:b/>
          <w:sz w:val="22"/>
          <w:szCs w:val="24"/>
        </w:rPr>
      </w:pPr>
      <w:r>
        <w:rPr>
          <w:rFonts w:ascii="Arial Narrow" w:hAnsi="Arial Narrow" w:cs="Arial Narrow"/>
          <w:b/>
          <w:sz w:val="22"/>
          <w:szCs w:val="24"/>
        </w:rPr>
        <w:t>TRETIA  ČASŤ</w:t>
      </w:r>
    </w:p>
    <w:p w:rsidR="006A1A04">
      <w:pPr>
        <w:jc w:val="center"/>
        <w:rPr>
          <w:rFonts w:ascii="Arial Narrow" w:hAnsi="Arial Narrow" w:cs="Arial Narrow"/>
          <w:b/>
          <w:sz w:val="22"/>
          <w:szCs w:val="24"/>
        </w:rPr>
      </w:pPr>
      <w:r>
        <w:rPr>
          <w:rFonts w:ascii="Arial Narrow" w:hAnsi="Arial Narrow" w:cs="Arial Narrow"/>
          <w:b/>
          <w:sz w:val="22"/>
          <w:szCs w:val="24"/>
        </w:rPr>
        <w:t>DAŇ   Z  UHLIA</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16</w:t>
      </w:r>
    </w:p>
    <w:p w:rsidR="006A1A04">
      <w:pPr>
        <w:jc w:val="center"/>
        <w:rPr>
          <w:rFonts w:ascii="Arial Narrow" w:hAnsi="Arial Narrow" w:cs="Arial Narrow"/>
          <w:b/>
          <w:sz w:val="22"/>
          <w:szCs w:val="24"/>
        </w:rPr>
      </w:pPr>
      <w:r>
        <w:rPr>
          <w:rFonts w:ascii="Arial Narrow" w:hAnsi="Arial Narrow" w:cs="Arial Narrow"/>
          <w:b/>
          <w:sz w:val="22"/>
          <w:szCs w:val="24"/>
        </w:rPr>
        <w:t>Predmet dane</w:t>
      </w:r>
    </w:p>
    <w:p w:rsidR="006A1A04">
      <w:pPr>
        <w:pStyle w:val="Heading4"/>
        <w:spacing w:before="240"/>
        <w:rPr>
          <w:b w:val="0"/>
          <w:szCs w:val="24"/>
        </w:rPr>
      </w:pPr>
      <w:r>
        <w:rPr>
          <w:b w:val="0"/>
          <w:szCs w:val="24"/>
        </w:rPr>
        <w:t xml:space="preserve">        Predmetom dane je uhlie, ktorým sa na účely tohto zákona rozumie   </w:t>
      </w:r>
    </w:p>
    <w:p w:rsidR="006A1A04">
      <w:pPr>
        <w:spacing w:before="120"/>
        <w:jc w:val="both"/>
        <w:rPr>
          <w:rFonts w:ascii="Arial Narrow" w:hAnsi="Arial Narrow" w:cs="Arial Narrow"/>
          <w:sz w:val="22"/>
          <w:szCs w:val="24"/>
        </w:rPr>
      </w:pPr>
      <w:r>
        <w:rPr>
          <w:rFonts w:ascii="Arial Narrow" w:hAnsi="Arial Narrow" w:cs="Arial Narrow"/>
          <w:sz w:val="22"/>
          <w:szCs w:val="24"/>
        </w:rPr>
        <w:t>a)  čierne uhlie  kódu kombinovanej nomenklatúry 2701,</w:t>
      </w:r>
    </w:p>
    <w:p w:rsidR="006A1A04">
      <w:pPr>
        <w:spacing w:before="120"/>
        <w:jc w:val="both"/>
        <w:rPr>
          <w:rFonts w:ascii="Arial Narrow" w:hAnsi="Arial Narrow" w:cs="Arial Narrow"/>
          <w:sz w:val="22"/>
          <w:szCs w:val="24"/>
        </w:rPr>
      </w:pPr>
      <w:r>
        <w:rPr>
          <w:rFonts w:ascii="Arial Narrow" w:hAnsi="Arial Narrow" w:cs="Arial Narrow"/>
          <w:sz w:val="22"/>
          <w:szCs w:val="24"/>
        </w:rPr>
        <w:t>b)  hnedé uhlie  kódu kombinovanej nomenklatúry 2702,</w:t>
      </w:r>
    </w:p>
    <w:p w:rsidR="006A1A04">
      <w:pPr>
        <w:spacing w:before="120"/>
        <w:jc w:val="both"/>
        <w:rPr>
          <w:rFonts w:ascii="Arial Narrow" w:hAnsi="Arial Narrow" w:cs="Arial Narrow"/>
          <w:sz w:val="22"/>
          <w:szCs w:val="24"/>
        </w:rPr>
      </w:pPr>
      <w:r>
        <w:rPr>
          <w:rFonts w:ascii="Arial Narrow" w:hAnsi="Arial Narrow" w:cs="Arial Narrow"/>
          <w:sz w:val="22"/>
          <w:szCs w:val="24"/>
        </w:rPr>
        <w:t>c)  koks a polokoks z čierneho uhlia  kódu kombinovanej nomenklatúry 2704,</w:t>
      </w:r>
    </w:p>
    <w:p w:rsidR="006A1A04">
      <w:pPr>
        <w:spacing w:before="120"/>
        <w:ind w:left="180" w:hanging="180"/>
        <w:jc w:val="both"/>
        <w:rPr>
          <w:rFonts w:ascii="Arial Narrow" w:hAnsi="Arial Narrow" w:cs="Arial Narrow"/>
          <w:sz w:val="22"/>
          <w:szCs w:val="24"/>
        </w:rPr>
      </w:pPr>
      <w:r>
        <w:rPr>
          <w:rFonts w:ascii="Arial Narrow" w:hAnsi="Arial Narrow" w:cs="Arial Narrow"/>
          <w:sz w:val="22"/>
          <w:szCs w:val="24"/>
        </w:rPr>
        <w:t xml:space="preserve">d)  ostatné pevné uhľovodíky kódu kombinovanej  nomenklatúry  2706 až 2715. </w:t>
      </w:r>
    </w:p>
    <w:p w:rsidR="006A1A04">
      <w:pPr>
        <w:spacing w:before="120"/>
        <w:ind w:left="180" w:hanging="18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17</w:t>
      </w:r>
    </w:p>
    <w:p w:rsidR="006A1A04">
      <w:pPr>
        <w:jc w:val="center"/>
        <w:rPr>
          <w:rFonts w:ascii="Arial Narrow" w:hAnsi="Arial Narrow" w:cs="Arial Narrow"/>
          <w:sz w:val="22"/>
          <w:szCs w:val="24"/>
        </w:rPr>
      </w:pPr>
      <w:r>
        <w:rPr>
          <w:rFonts w:ascii="Arial Narrow" w:hAnsi="Arial Narrow" w:cs="Arial Narrow"/>
          <w:b/>
          <w:sz w:val="22"/>
          <w:szCs w:val="24"/>
        </w:rPr>
        <w:t>Základ dane a výpočet dane</w:t>
      </w:r>
    </w:p>
    <w:p w:rsidR="006A1A04">
      <w:pPr>
        <w:numPr>
          <w:numId w:val="15"/>
        </w:numPr>
        <w:spacing w:before="240"/>
        <w:jc w:val="both"/>
        <w:rPr>
          <w:rFonts w:ascii="Arial Narrow" w:hAnsi="Arial Narrow" w:cs="Arial Narrow"/>
          <w:sz w:val="22"/>
          <w:szCs w:val="24"/>
        </w:rPr>
      </w:pPr>
      <w:r>
        <w:rPr>
          <w:rFonts w:ascii="Arial Narrow" w:hAnsi="Arial Narrow" w:cs="Arial Narrow"/>
          <w:sz w:val="22"/>
          <w:szCs w:val="24"/>
        </w:rPr>
        <w:t>Základom dane je množstvo uhlia vyjadrené v </w:t>
      </w:r>
      <w:r>
        <w:rPr>
          <w:rFonts w:ascii="Arial Narrow" w:hAnsi="Arial Narrow" w:cs="Arial Narrow"/>
          <w:b/>
          <w:sz w:val="22"/>
          <w:szCs w:val="24"/>
        </w:rPr>
        <w:t xml:space="preserve"> </w:t>
      </w:r>
      <w:r>
        <w:rPr>
          <w:rFonts w:ascii="Arial Narrow" w:hAnsi="Arial Narrow" w:cs="Arial Narrow"/>
          <w:sz w:val="22"/>
          <w:szCs w:val="24"/>
        </w:rPr>
        <w:t>tonách (t).</w:t>
      </w:r>
    </w:p>
    <w:p w:rsidR="006A1A04">
      <w:pPr>
        <w:jc w:val="both"/>
        <w:rPr>
          <w:rFonts w:ascii="Arial Narrow" w:hAnsi="Arial Narrow" w:cs="Arial Narrow"/>
          <w:sz w:val="22"/>
          <w:szCs w:val="24"/>
        </w:rPr>
      </w:pPr>
      <w:r>
        <w:rPr>
          <w:rFonts w:ascii="Arial Narrow" w:hAnsi="Arial Narrow" w:cs="Arial Narrow"/>
          <w:sz w:val="22"/>
          <w:szCs w:val="24"/>
        </w:rPr>
        <w:t xml:space="preserve">                                                                                                      </w:t>
      </w:r>
    </w:p>
    <w:p w:rsidR="006A1A04">
      <w:pPr>
        <w:numPr>
          <w:numId w:val="15"/>
        </w:numPr>
        <w:spacing w:before="120"/>
        <w:jc w:val="both"/>
        <w:rPr>
          <w:rFonts w:ascii="Arial Narrow" w:hAnsi="Arial Narrow" w:cs="Arial Narrow"/>
          <w:sz w:val="22"/>
          <w:szCs w:val="24"/>
        </w:rPr>
      </w:pPr>
      <w:r>
        <w:rPr>
          <w:rFonts w:ascii="Arial Narrow" w:hAnsi="Arial Narrow" w:cs="Arial Narrow"/>
          <w:sz w:val="22"/>
          <w:szCs w:val="24"/>
        </w:rPr>
        <w:t>Daň sa vypočíta ako súčin základu dane a príslušnej sadzby dane.</w:t>
      </w: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18</w:t>
      </w:r>
    </w:p>
    <w:p w:rsidR="006A1A04">
      <w:pPr>
        <w:pStyle w:val="Heading2"/>
        <w:spacing w:before="0"/>
        <w:rPr>
          <w:szCs w:val="24"/>
        </w:rPr>
      </w:pPr>
      <w:r>
        <w:rPr>
          <w:szCs w:val="24"/>
        </w:rPr>
        <w:t>Sadzba dane</w:t>
      </w:r>
    </w:p>
    <w:p w:rsidR="006A1A04">
      <w:pPr>
        <w:spacing w:before="120"/>
        <w:jc w:val="both"/>
        <w:rPr>
          <w:rFonts w:ascii="Arial Narrow" w:hAnsi="Arial Narrow" w:cs="Arial Narrow"/>
          <w:sz w:val="22"/>
          <w:szCs w:val="24"/>
        </w:rPr>
      </w:pPr>
      <w:r>
        <w:rPr>
          <w:rFonts w:ascii="Arial Narrow" w:hAnsi="Arial Narrow" w:cs="Arial Narrow"/>
          <w:sz w:val="22"/>
          <w:szCs w:val="24"/>
        </w:rPr>
        <w:t xml:space="preserve">         Sadzba dane na uhlie sa ustanovuje vo výške 320 Sk/t.</w:t>
      </w:r>
    </w:p>
    <w:p w:rsidR="006A1A04">
      <w:pPr>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19</w:t>
      </w:r>
    </w:p>
    <w:p w:rsidR="006A1A04">
      <w:pPr>
        <w:pStyle w:val="Heading3"/>
        <w:spacing w:before="0"/>
        <w:ind w:left="0"/>
        <w:rPr>
          <w:szCs w:val="24"/>
        </w:rPr>
      </w:pPr>
      <w:r>
        <w:rPr>
          <w:szCs w:val="24"/>
        </w:rPr>
        <w:t>Oslobodenie od dane</w:t>
      </w:r>
    </w:p>
    <w:p w:rsidR="006A1A04">
      <w:pPr>
        <w:ind w:left="340"/>
        <w:jc w:val="both"/>
        <w:rPr>
          <w:rFonts w:ascii="Arial Narrow" w:hAnsi="Arial Narrow" w:cs="Arial Narrow"/>
          <w:sz w:val="22"/>
          <w:szCs w:val="24"/>
        </w:rPr>
      </w:pPr>
    </w:p>
    <w:p w:rsidR="006A1A04">
      <w:pPr>
        <w:ind w:left="340"/>
        <w:jc w:val="both"/>
        <w:rPr>
          <w:rFonts w:ascii="Arial Narrow" w:hAnsi="Arial Narrow" w:cs="Arial Narrow"/>
          <w:sz w:val="22"/>
          <w:szCs w:val="24"/>
        </w:rPr>
      </w:pPr>
      <w:r>
        <w:rPr>
          <w:rFonts w:ascii="Arial Narrow" w:hAnsi="Arial Narrow" w:cs="Arial Narrow"/>
          <w:sz w:val="22"/>
          <w:szCs w:val="24"/>
        </w:rPr>
        <w:t xml:space="preserve"> Od dane je oslobodené uhlie,  ak je používané</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 xml:space="preserve">na duálne použitie, </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 xml:space="preserve">v mineralogických procesoch, </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na iný účel ako pohonná látka alebo ako palivo na výrobu tepla,</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na kombinovanú  výrobu elektriny a tepla,</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na výrobu elektriny,</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na výrobu koksu a polokoksu,</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 xml:space="preserve">na prepravu osôb alebo nákladov vykonávanú v rámci podnikania v železničnej doprave alebo v riečnej doprave, </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koncovým odberateľom uhlia v domácnosti,</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 xml:space="preserve">na prevádzkové účely a technologické účely v podniku na ťažbu uhlia a spracovanie uhlia,   </w:t>
      </w:r>
    </w:p>
    <w:p w:rsidR="006A1A04">
      <w:pPr>
        <w:numPr>
          <w:ilvl w:val="1"/>
          <w:numId w:val="13"/>
        </w:numPr>
        <w:spacing w:before="120"/>
        <w:jc w:val="both"/>
        <w:rPr>
          <w:rFonts w:ascii="Arial Narrow" w:hAnsi="Arial Narrow" w:cs="Arial Narrow"/>
          <w:sz w:val="22"/>
          <w:szCs w:val="24"/>
        </w:rPr>
      </w:pPr>
      <w:r>
        <w:rPr>
          <w:rFonts w:ascii="Arial Narrow" w:hAnsi="Arial Narrow" w:cs="Arial Narrow"/>
          <w:sz w:val="22"/>
          <w:szCs w:val="24"/>
        </w:rPr>
        <w:t>na výrobu tepla určeného pre domácnosť.</w:t>
      </w:r>
    </w:p>
    <w:p w:rsidR="006A1A04">
      <w:pPr>
        <w:spacing w:before="120"/>
        <w:jc w:val="center"/>
        <w:rPr>
          <w:rFonts w:ascii="Arial Narrow" w:hAnsi="Arial Narrow" w:cs="Arial Narrow"/>
          <w:b/>
          <w:sz w:val="22"/>
          <w:szCs w:val="24"/>
        </w:rPr>
      </w:pPr>
      <w:r>
        <w:rPr>
          <w:rFonts w:ascii="Arial Narrow" w:hAnsi="Arial Narrow" w:cs="Arial Narrow"/>
          <w:b/>
          <w:sz w:val="22"/>
          <w:szCs w:val="24"/>
        </w:rPr>
        <w:t xml:space="preserve"> </w:t>
      </w:r>
    </w:p>
    <w:p w:rsidR="006A1A04">
      <w:pPr>
        <w:jc w:val="center"/>
        <w:rPr>
          <w:rFonts w:ascii="Arial Narrow" w:hAnsi="Arial Narrow" w:cs="Arial Narrow"/>
          <w:b/>
          <w:sz w:val="22"/>
          <w:szCs w:val="24"/>
        </w:rPr>
      </w:pPr>
      <w:r>
        <w:rPr>
          <w:rFonts w:ascii="Arial Narrow" w:hAnsi="Arial Narrow" w:cs="Arial Narrow"/>
          <w:b/>
          <w:sz w:val="22"/>
          <w:szCs w:val="24"/>
        </w:rPr>
        <w:t>§  20</w:t>
      </w:r>
    </w:p>
    <w:p w:rsidR="006A1A04">
      <w:pPr>
        <w:jc w:val="center"/>
        <w:rPr>
          <w:rFonts w:ascii="Arial Narrow" w:hAnsi="Arial Narrow" w:cs="Arial Narrow"/>
          <w:b/>
          <w:sz w:val="22"/>
          <w:szCs w:val="24"/>
        </w:rPr>
      </w:pPr>
      <w:r>
        <w:rPr>
          <w:rFonts w:ascii="Arial Narrow" w:hAnsi="Arial Narrow" w:cs="Arial Narrow"/>
          <w:b/>
          <w:sz w:val="22"/>
          <w:szCs w:val="24"/>
        </w:rPr>
        <w:t>Oprávnený spotrebiteľ uhlia</w:t>
      </w:r>
    </w:p>
    <w:p w:rsidR="006A1A04">
      <w:pPr>
        <w:jc w:val="center"/>
        <w:rPr>
          <w:rFonts w:ascii="Arial Narrow" w:hAnsi="Arial Narrow" w:cs="Arial Narrow"/>
          <w:b/>
          <w:sz w:val="22"/>
          <w:szCs w:val="24"/>
        </w:rPr>
      </w:pP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Oprávneným spotrebiteľom uhlia na účely tohto zákona je právnická osoba alebo fyzická osoba oprávnená používať uhlie  oslobodené od dane. Právnická osoba alebo fyzická osoba, ktorá chce používať uhlie oslobodené od dane podľa § 19 písm. a) až g),  i) a j), je povinná písomne požiadať colný úrad o registráciu oprávneného spotrebiteľa uhlia a o vydanie povolenia na odber uhlia oslobodeného od dane (ďalej len „povolenie na oslobodené uhlie“)</w:t>
      </w:r>
      <w:r>
        <w:rPr>
          <w:rFonts w:ascii="Arial Narrow" w:hAnsi="Arial Narrow" w:cs="Arial Narrow"/>
          <w:b/>
          <w:sz w:val="22"/>
          <w:szCs w:val="24"/>
        </w:rPr>
        <w:t xml:space="preserve">. </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Výrobca uhlia, ktorý je zaregistrovaný na colnom úrade ako daňový dlžník, nie je povinný priložiť k žiadosti o registráciu oprávneného spotrebiteľa uhlia a vydanie povolenia na oslobodené uhlie  prílohu podľa odseku 4 písm. a).</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Žiadosť o registráciu oprávneného spotrebiteľa uhlia a o vydanie povolenia na oslobodené uhlie musí obsahovať</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účel použitia uhlia oslobodeného od dane  a jeho predpokladané množstvo ročnej spotreby v tonách.</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Prílohami k žiadosti sú</w:t>
      </w:r>
    </w:p>
    <w:p w:rsidR="006A1A04">
      <w:pPr>
        <w:numPr>
          <w:ilvl w:val="1"/>
          <w:numId w:val="16"/>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ilvl w:val="1"/>
          <w:numId w:val="16"/>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uhlia oslobodeného od dane potrebný na posúdenie oprávnenosti oslobodenia a doklady preukazujúce uvedené skutočnosti.</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Colný úrad pred registráciou oprávneného spotrebiteľa uhlia  a pred vydaním povolenia na oslobodené uhlie preverí u žiadateľa  údaje uvedené v žiadosti podľa odseku 3 a v prílohách k žiadosti podľa odseku 4. Ak sú tieto</w:t>
      </w:r>
      <w:r>
        <w:rPr>
          <w:rFonts w:ascii="Arial Narrow" w:hAnsi="Arial Narrow" w:cs="Arial Narrow"/>
          <w:b/>
          <w:sz w:val="22"/>
          <w:szCs w:val="24"/>
        </w:rPr>
        <w:t xml:space="preserve"> </w:t>
      </w:r>
      <w:r>
        <w:rPr>
          <w:rFonts w:ascii="Arial Narrow" w:hAnsi="Arial Narrow" w:cs="Arial Narrow"/>
          <w:sz w:val="22"/>
          <w:szCs w:val="24"/>
        </w:rPr>
        <w:t>údaje  pravdivé, colný úrad  vydá žiadateľovi osvedčenie o registrácii a  povolenie  na oslobodené uhlie.</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V povolení na oslobodené uhlie colný úrad  uvedie údaje podľa odseku 3, okrem rodného čísla a daňového identifikačného čísla, ak obsahuje rodné číslo žiadateľa. Povolenie na oslobodené uhlie sa vydá v troch vyhotoveniach; jedno vyhotovenie si ponechá colný úrad a dve vyhotovenia odovzdá oprávnenému spotrebiteľovi uhlia, ktorý si jedno vyhotovenie ponechá a jedno vyhotovenie predloží svojmu dodávateľovi uhlia, a ak má  viacerých dodávateľov uhlia,  predloží im osvedčenú kópiu povolenia na oslobodené uhlie.</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Oprávnený spotrebiteľ uhlia je povinný každú zmenu  údajov podľa odseku 3 a odseku 4 písm. b)</w:t>
      </w:r>
      <w:r>
        <w:rPr>
          <w:rFonts w:ascii="Arial Narrow" w:hAnsi="Arial Narrow" w:cs="Arial Narrow"/>
          <w:b/>
          <w:sz w:val="22"/>
          <w:szCs w:val="24"/>
        </w:rPr>
        <w:t xml:space="preserve"> </w:t>
      </w:r>
      <w:r>
        <w:rPr>
          <w:rFonts w:ascii="Arial Narrow" w:hAnsi="Arial Narrow" w:cs="Arial Narrow"/>
          <w:sz w:val="22"/>
          <w:szCs w:val="24"/>
        </w:rPr>
        <w:t xml:space="preserve">oznámiť colnému úradu do 15 dní odo dňa jej vzniku. Zmenu údajov podľa odseku 4 písm. a) je povinný oznámiť colnému úradu do 15 dní odo dňa podania návrhu na zmenu údajov príslušnému orgánu. Colný úrad s prihliadnutím na rozsah a závažnosť zmien doplní pôvodné povolenie na oslobodené uhlie alebo vydá nové povolenie na oslobodené uhlie. </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Oprávnený spotrebiteľ uhlia okrem koncového odberateľa uhlia</w:t>
      </w:r>
      <w:r>
        <w:rPr>
          <w:rFonts w:ascii="Arial Narrow" w:hAnsi="Arial Narrow" w:cs="Arial Narrow"/>
          <w:b/>
          <w:sz w:val="22"/>
          <w:szCs w:val="24"/>
        </w:rPr>
        <w:t xml:space="preserve"> </w:t>
      </w:r>
      <w:r>
        <w:rPr>
          <w:rFonts w:ascii="Arial Narrow" w:hAnsi="Arial Narrow" w:cs="Arial Narrow"/>
          <w:sz w:val="22"/>
          <w:szCs w:val="24"/>
        </w:rPr>
        <w:t>v domácnosti je povinný predložiť dodávateľovi uhlia povolenie na oslobodené uhlie najneskôr pri prvom odbere uhlia oslobodeného od dane alebo colnému úradu pri prepustení uhlia do colného režimu voľný obeh. Koncový odberateľ uhlia v domácnosti,   ktorý chce používať uhlie oslobodené od dane podľa § 19 písm. h), je povinný najneskôr pri prvom odbere uhlia oslobodeného od dane predložiť dodávateľovi uhlia prehlásenie o tejto skutočnosti, v ktorom  uvedie aj svoje identifikačné údaje  a číslo občianskeho preukazu. Dodávateľ</w:t>
      </w:r>
      <w:r>
        <w:rPr>
          <w:rFonts w:ascii="Arial Narrow" w:hAnsi="Arial Narrow" w:cs="Arial Narrow"/>
          <w:b/>
          <w:sz w:val="22"/>
          <w:szCs w:val="24"/>
        </w:rPr>
        <w:t xml:space="preserve"> </w:t>
      </w:r>
      <w:r>
        <w:rPr>
          <w:rFonts w:ascii="Arial Narrow" w:hAnsi="Arial Narrow" w:cs="Arial Narrow"/>
          <w:sz w:val="22"/>
          <w:szCs w:val="24"/>
        </w:rPr>
        <w:t>uhlia nesmie dodať uhlie oslobodené od dane</w:t>
      </w:r>
      <w:r>
        <w:rPr>
          <w:rFonts w:ascii="Arial Narrow" w:hAnsi="Arial Narrow" w:cs="Arial Narrow"/>
          <w:b/>
          <w:sz w:val="22"/>
          <w:szCs w:val="24"/>
        </w:rPr>
        <w:t xml:space="preserve"> </w:t>
      </w:r>
      <w:r>
        <w:rPr>
          <w:rFonts w:ascii="Arial Narrow" w:hAnsi="Arial Narrow" w:cs="Arial Narrow"/>
          <w:sz w:val="22"/>
          <w:szCs w:val="24"/>
        </w:rPr>
        <w:t>právnickej osobe alebo fyzickej osobe</w:t>
      </w:r>
      <w:r>
        <w:rPr>
          <w:rFonts w:ascii="Arial Narrow" w:hAnsi="Arial Narrow" w:cs="Arial Narrow"/>
          <w:b/>
          <w:sz w:val="22"/>
          <w:szCs w:val="24"/>
        </w:rPr>
        <w:t xml:space="preserve"> </w:t>
      </w:r>
      <w:r>
        <w:rPr>
          <w:rFonts w:ascii="Arial Narrow" w:hAnsi="Arial Narrow" w:cs="Arial Narrow"/>
          <w:sz w:val="22"/>
          <w:szCs w:val="24"/>
        </w:rPr>
        <w:t xml:space="preserve">bez predloženia povolenia na  oslobodené uhlie alebo koncovému odberateľovi uhlia v domácnosti bez predloženia prehlásenia podľa druhej vety. </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Oprávnený spotrebiteľ uhlia vrátane koncového odberateľa uhlia v</w:t>
      </w:r>
      <w:r>
        <w:rPr>
          <w:rFonts w:ascii="Arial Narrow" w:hAnsi="Arial Narrow" w:cs="Arial Narrow"/>
          <w:b/>
          <w:sz w:val="22"/>
          <w:szCs w:val="24"/>
        </w:rPr>
        <w:t xml:space="preserve"> </w:t>
      </w:r>
      <w:r>
        <w:rPr>
          <w:rFonts w:ascii="Arial Narrow" w:hAnsi="Arial Narrow" w:cs="Arial Narrow"/>
          <w:sz w:val="22"/>
          <w:szCs w:val="24"/>
        </w:rPr>
        <w:t xml:space="preserve">domácnosti môže použiť uhlie oslobodené od dane iba na účel oslobodený od dane podľa tohto zákona. </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Colný úrad odníme povolenie na oslobodené uhlie, ak oprávnený spotrebiteľ uhlia</w:t>
      </w:r>
    </w:p>
    <w:p w:rsidR="006A1A04">
      <w:pPr>
        <w:numPr>
          <w:ilvl w:val="1"/>
          <w:numId w:val="188"/>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opakovane použil uhlie oslobodené od dane podľa § 19 písm. d) až g)  na iný účel, ako oslobodený od dane a výzvy colného úradu a ani uloženie pokuty neviedli k náprave,</w:t>
      </w:r>
    </w:p>
    <w:p w:rsidR="006A1A04">
      <w:pPr>
        <w:numPr>
          <w:ilvl w:val="1"/>
          <w:numId w:val="188"/>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prestal spĺňať podmienky na účely oslobodenia uhlia od dane,</w:t>
      </w:r>
    </w:p>
    <w:p w:rsidR="006A1A04">
      <w:pPr>
        <w:numPr>
          <w:ilvl w:val="1"/>
          <w:numId w:val="188"/>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požiadal o výmaz z obchodného registra alebo z inej evidencie oprávnení na podnikanie ustanovenej osobitným predpisom alebo o zrušenie živnostenského oprávnenia, oznámil ukončenie podnikania alebo bol zrušený, ak nebol zriadený na podnikateľské účely,</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bola fyzická osoba, ktorá zomrela a ak v podnikaní nepokračuje žiadny z oprávnených dedičov alebo súdom ustanovený správca dedičstva, </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bola fyzická osoba a nadobudlo právoplatnosť rozhodnutie súdu o vyhlásení tejto fyzickej osoby za mŕtvu a ak v podnikaní nepokračuje žiadny z oprávnených dedičov alebo súdom ustanovený správca dedičstva,</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 xml:space="preserve"> vstúpil do likvidácie,</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požiadal o odňatie povolenia na oslobodené uhlie,</w:t>
      </w:r>
    </w:p>
    <w:p w:rsidR="006A1A04">
      <w:pPr>
        <w:numPr>
          <w:ilvl w:val="1"/>
          <w:numId w:val="8"/>
        </w:numPr>
        <w:spacing w:before="120"/>
        <w:jc w:val="both"/>
        <w:rPr>
          <w:rFonts w:ascii="Arial Narrow" w:hAnsi="Arial Narrow" w:cs="Arial Narrow"/>
          <w:sz w:val="22"/>
          <w:szCs w:val="24"/>
        </w:rPr>
      </w:pPr>
      <w:r>
        <w:rPr>
          <w:rFonts w:ascii="Arial Narrow" w:hAnsi="Arial Narrow" w:cs="Arial Narrow"/>
          <w:sz w:val="22"/>
          <w:szCs w:val="24"/>
        </w:rPr>
        <w:t>nepoužil povolenie na oslobodené uhlie na odber uhlia oslobodeného od dane v priebehu 12 po sebe nasledujúcich kalendárnych mesiacov odo dňa  jeho vydania.</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Colný úrad odníme povolenie na oslobodené uhlie,</w:t>
      </w:r>
      <w:r>
        <w:rPr>
          <w:rFonts w:ascii="Arial Narrow" w:hAnsi="Arial Narrow" w:cs="Arial Narrow"/>
          <w:b/>
          <w:sz w:val="22"/>
          <w:szCs w:val="24"/>
        </w:rPr>
        <w:t xml:space="preserve"> </w:t>
      </w:r>
      <w:r>
        <w:rPr>
          <w:rFonts w:ascii="Arial Narrow" w:hAnsi="Arial Narrow" w:cs="Arial Narrow"/>
          <w:sz w:val="22"/>
          <w:szCs w:val="24"/>
        </w:rPr>
        <w:t>aj ak nadobudlo právoplatnosť rozhodnutie súdu o vyhlásení konkurzu, o zamietnutí návrhu na vyhlásenie konkurzu pre nedostatok majetku alebo o zrušení konkurzu pre nedostatok majetku, alebo bolo potvrdené nútené vyrovnanie alebo povolené vyrovnanie alebo bola povolená reštrukturalizácia.</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 xml:space="preserve">Colný úrad zruší registráciu oprávneného spotrebiteľa uhlia, ak mu bolo odňaté povolenie na oslobodené uhlie podľa odseku 10 písm. a) až f) a odseku 11.  Oprávnený spotrebiteľ uhlia je pri zrušení registrácie  ku dňu odňatia povolenia na oslobodené uhlie povinný vykonať inventarizáciu zásob uhlia oslobodeného od dane a v lehote určenej colným úradom podať daňové  priznanie a v rovnakej lehote zaplatiť daň, alebo so súhlasom colného úradu môže uhlie oslobodené od dane dodať inému oprávnenému spotrebiteľovi uhlia, ktorý má povolenie na oslobodené uhlie .   </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Oprávnený spotrebiteľ uhlia, ktorému bolo podľa odseku 7 doplnené pôvodné povolenie na oslobodené uhlie, vydané nové povolenie na oslobodené uhlie, alebo ktorému bolo odňaté povolenie na oslobodené uhlie, je povinný doručiť písomnú informáciu o týchto skutočnostiach dodávateľovi uhlia najneskôr do troch pracovných dní odo dňa vzniku týchto skutočností. Na doručenie tejto informácie sa vzťahuje § 8 ods. 15 druhá veta rovnako.</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 xml:space="preserve"> Dodávateľ uhlia je povinný zmenu v zdaňovaní alebo v oslobodení od dane uskutočniť po obdržaní písomnej informácie podľa odseku 13, a to odo dňa účinnosti tejto zmeny. </w:t>
      </w: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21</w:t>
      </w:r>
    </w:p>
    <w:p w:rsidR="006A1A04">
      <w:pPr>
        <w:jc w:val="center"/>
        <w:rPr>
          <w:rFonts w:ascii="Arial Narrow" w:hAnsi="Arial Narrow" w:cs="Arial Narrow"/>
          <w:b/>
          <w:sz w:val="22"/>
          <w:szCs w:val="24"/>
        </w:rPr>
      </w:pPr>
      <w:r>
        <w:rPr>
          <w:rFonts w:ascii="Arial Narrow" w:hAnsi="Arial Narrow" w:cs="Arial Narrow"/>
          <w:b/>
          <w:sz w:val="22"/>
          <w:szCs w:val="24"/>
        </w:rPr>
        <w:t>Vznik daňovej povinnosti</w:t>
      </w:r>
    </w:p>
    <w:p w:rsidR="006A1A04">
      <w:pPr>
        <w:numPr>
          <w:ilvl w:val="2"/>
          <w:numId w:val="10"/>
        </w:numPr>
        <w:spacing w:before="240"/>
        <w:jc w:val="both"/>
        <w:rPr>
          <w:rFonts w:ascii="Arial Narrow" w:hAnsi="Arial Narrow" w:cs="Arial Narrow"/>
          <w:sz w:val="22"/>
          <w:szCs w:val="24"/>
        </w:rPr>
      </w:pPr>
      <w:r>
        <w:rPr>
          <w:rFonts w:ascii="Arial Narrow" w:hAnsi="Arial Narrow" w:cs="Arial Narrow"/>
          <w:sz w:val="22"/>
          <w:szCs w:val="24"/>
        </w:rPr>
        <w:t xml:space="preserve">Daňová povinnosť vzniká dňom </w:t>
      </w:r>
    </w:p>
    <w:p w:rsidR="006A1A04">
      <w:pPr>
        <w:numPr>
          <w:ilvl w:val="1"/>
          <w:numId w:val="7"/>
        </w:numPr>
        <w:spacing w:before="120"/>
        <w:jc w:val="both"/>
        <w:rPr>
          <w:rFonts w:ascii="Arial Narrow" w:hAnsi="Arial Narrow" w:cs="Arial Narrow"/>
          <w:sz w:val="22"/>
          <w:szCs w:val="24"/>
        </w:rPr>
      </w:pPr>
      <w:r>
        <w:rPr>
          <w:rFonts w:ascii="Arial Narrow" w:hAnsi="Arial Narrow" w:cs="Arial Narrow"/>
          <w:sz w:val="22"/>
          <w:szCs w:val="24"/>
        </w:rPr>
        <w:t>dodania uhlia na daňovom území konečnému spotrebiteľovi uhlia,</w:t>
      </w:r>
    </w:p>
    <w:p w:rsidR="006A1A04">
      <w:pPr>
        <w:numPr>
          <w:ilvl w:val="1"/>
          <w:numId w:val="7"/>
        </w:numPr>
        <w:spacing w:before="120"/>
        <w:jc w:val="both"/>
        <w:rPr>
          <w:rFonts w:ascii="Arial Narrow" w:hAnsi="Arial Narrow" w:cs="Arial Narrow"/>
          <w:sz w:val="22"/>
          <w:szCs w:val="24"/>
        </w:rPr>
      </w:pPr>
      <w:r>
        <w:rPr>
          <w:rFonts w:ascii="Arial Narrow" w:hAnsi="Arial Narrow" w:cs="Arial Narrow"/>
          <w:sz w:val="22"/>
          <w:szCs w:val="24"/>
        </w:rPr>
        <w:t xml:space="preserve">spotreby uhlia na daňovom území výrobcom uhlia alebo obchodníkom s uhlím. </w:t>
      </w:r>
    </w:p>
    <w:p w:rsidR="006A1A04">
      <w:pPr>
        <w:numPr>
          <w:ilvl w:val="2"/>
          <w:numId w:val="10"/>
        </w:numPr>
        <w:spacing w:before="240"/>
        <w:jc w:val="both"/>
        <w:rPr>
          <w:rFonts w:ascii="Arial Narrow" w:hAnsi="Arial Narrow" w:cs="Arial Narrow"/>
          <w:sz w:val="22"/>
          <w:szCs w:val="24"/>
        </w:rPr>
      </w:pPr>
      <w:r>
        <w:rPr>
          <w:rFonts w:ascii="Arial Narrow" w:hAnsi="Arial Narrow" w:cs="Arial Narrow"/>
          <w:sz w:val="22"/>
          <w:szCs w:val="24"/>
        </w:rPr>
        <w:t xml:space="preserve">Daňová povinnosť vzniká aj dňom </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prijatia colného vyhlásenia na prepustenie uhlia do colného režimu voľný obeh, ak na colný režim voľný obeh nenadväzuje oslobodenie od dane, alebo dňom vzniku colného dlhu iným spôsobom ako prijatím colného vyhlásenia,</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spotreby uhlia oslobodeného od dane na iný účel, ako je uvedený v § 19,</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spotreby uhlia právnickou osobou alebo fyzickou osobou, ak nevznikla daňová povinnosť podľa odseku 1 a písmena a).</w:t>
      </w:r>
    </w:p>
    <w:p w:rsidR="006A1A04">
      <w:pPr>
        <w:numPr>
          <w:ilvl w:val="2"/>
          <w:numId w:val="10"/>
        </w:numPr>
        <w:tabs>
          <w:tab w:val="num" w:pos="0"/>
          <w:tab w:val="clear" w:pos="340"/>
        </w:tabs>
        <w:spacing w:before="240"/>
        <w:ind w:left="0" w:firstLine="360"/>
        <w:jc w:val="both"/>
        <w:rPr>
          <w:rFonts w:ascii="Arial Narrow" w:hAnsi="Arial Narrow" w:cs="Arial Narrow"/>
          <w:sz w:val="22"/>
          <w:szCs w:val="24"/>
        </w:rPr>
      </w:pPr>
      <w:r>
        <w:rPr>
          <w:rFonts w:ascii="Arial Narrow" w:hAnsi="Arial Narrow" w:cs="Arial Narrow"/>
          <w:sz w:val="22"/>
          <w:szCs w:val="24"/>
        </w:rPr>
        <w:t>Daňová povinnosť nevzniká  právnickej osobe alebo fyzickej osobe, na účet ktorej bolo predložené colné vyhlásenie na prepustenie uhlia do colného režimu voľný obeh, a ktorá je výrobcom uhlia alebo obchodníkom s uhlím.</w:t>
      </w:r>
    </w:p>
    <w:p w:rsidR="006A1A04">
      <w:pPr>
        <w:numPr>
          <w:ilvl w:val="2"/>
          <w:numId w:val="10"/>
        </w:numPr>
        <w:tabs>
          <w:tab w:val="num" w:pos="0"/>
          <w:tab w:val="clear" w:pos="340"/>
        </w:tabs>
        <w:spacing w:before="240"/>
        <w:ind w:left="0" w:firstLine="360"/>
        <w:jc w:val="both"/>
        <w:rPr>
          <w:rFonts w:ascii="Arial Narrow" w:hAnsi="Arial Narrow" w:cs="Arial Narrow"/>
          <w:sz w:val="22"/>
          <w:szCs w:val="24"/>
        </w:rPr>
      </w:pPr>
      <w:r>
        <w:rPr>
          <w:rFonts w:ascii="Arial Narrow" w:hAnsi="Arial Narrow" w:cs="Arial Narrow"/>
          <w:sz w:val="22"/>
          <w:szCs w:val="24"/>
        </w:rPr>
        <w:t>Daňová povinnosť nevzniká na daňovom území právnickej osobe alebo fyzickej osobe pri dodaní uhlia do iného členského  štátu alebo na územie tretieho štátu.</w:t>
      </w:r>
    </w:p>
    <w:p w:rsidR="006A1A04">
      <w:pPr>
        <w:spacing w:before="24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22</w:t>
      </w:r>
    </w:p>
    <w:p w:rsidR="006A1A04">
      <w:pPr>
        <w:pStyle w:val="Heading2"/>
        <w:spacing w:before="0"/>
        <w:rPr>
          <w:szCs w:val="24"/>
        </w:rPr>
      </w:pPr>
      <w:r>
        <w:rPr>
          <w:szCs w:val="24"/>
        </w:rPr>
        <w:t>Daňový dlžník</w:t>
      </w:r>
    </w:p>
    <w:p w:rsidR="006A1A04">
      <w:pPr>
        <w:spacing w:before="240"/>
        <w:ind w:left="340"/>
        <w:jc w:val="both"/>
        <w:rPr>
          <w:rFonts w:ascii="Arial Narrow" w:hAnsi="Arial Narrow" w:cs="Arial Narrow"/>
          <w:sz w:val="22"/>
          <w:szCs w:val="24"/>
        </w:rPr>
      </w:pPr>
      <w:r>
        <w:rPr>
          <w:rFonts w:ascii="Arial Narrow" w:hAnsi="Arial Narrow" w:cs="Arial Narrow"/>
          <w:sz w:val="22"/>
          <w:szCs w:val="24"/>
        </w:rPr>
        <w:t xml:space="preserve">(1) Daňovým dlžníkom na účely tohto zákona je právnická osoba alebo fyzická osoba, ktorá </w:t>
      </w:r>
    </w:p>
    <w:p w:rsidR="006A1A04">
      <w:pPr>
        <w:numPr>
          <w:numId w:val="168"/>
        </w:numPr>
        <w:spacing w:before="120"/>
        <w:jc w:val="both"/>
        <w:rPr>
          <w:rFonts w:ascii="Arial Narrow" w:hAnsi="Arial Narrow" w:cs="Arial Narrow"/>
          <w:sz w:val="22"/>
          <w:szCs w:val="24"/>
        </w:rPr>
      </w:pPr>
      <w:r>
        <w:rPr>
          <w:rFonts w:ascii="Arial Narrow" w:hAnsi="Arial Narrow" w:cs="Arial Narrow"/>
          <w:sz w:val="22"/>
          <w:szCs w:val="24"/>
        </w:rPr>
        <w:t>dodala uhlie na daňovom území  konečnému spotrebiteľovi uhlia,</w:t>
      </w:r>
    </w:p>
    <w:p w:rsidR="006A1A04">
      <w:pPr>
        <w:numPr>
          <w:numId w:val="168"/>
        </w:numPr>
        <w:spacing w:before="120"/>
        <w:jc w:val="both"/>
        <w:rPr>
          <w:rFonts w:ascii="Arial Narrow" w:hAnsi="Arial Narrow" w:cs="Arial Narrow"/>
          <w:sz w:val="22"/>
          <w:szCs w:val="24"/>
        </w:rPr>
      </w:pPr>
      <w:r>
        <w:rPr>
          <w:rFonts w:ascii="Arial Narrow" w:hAnsi="Arial Narrow" w:cs="Arial Narrow"/>
          <w:sz w:val="22"/>
          <w:szCs w:val="24"/>
        </w:rPr>
        <w:t>spotrebovala uhlie na daňovom území, a ktorá je výrobcom uhlia alebo obchodníkom s uhlím.</w:t>
      </w:r>
    </w:p>
    <w:p w:rsidR="006A1A04">
      <w:pPr>
        <w:numPr>
          <w:numId w:val="20"/>
        </w:numPr>
        <w:spacing w:before="120"/>
        <w:jc w:val="both"/>
        <w:rPr>
          <w:rFonts w:ascii="Arial Narrow" w:hAnsi="Arial Narrow" w:cs="Arial Narrow"/>
          <w:sz w:val="22"/>
          <w:szCs w:val="24"/>
        </w:rPr>
      </w:pPr>
      <w:r>
        <w:rPr>
          <w:rFonts w:ascii="Arial Narrow" w:hAnsi="Arial Narrow" w:cs="Arial Narrow"/>
          <w:sz w:val="22"/>
          <w:szCs w:val="24"/>
        </w:rPr>
        <w:t>Daňovým dlžníkom je aj</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konečný spotrebiteľ uhlia okrem koncového odberateľa uhlia v</w:t>
      </w:r>
      <w:r>
        <w:rPr>
          <w:rFonts w:ascii="Arial Narrow" w:hAnsi="Arial Narrow" w:cs="Arial Narrow"/>
          <w:b/>
          <w:sz w:val="22"/>
          <w:szCs w:val="24"/>
        </w:rPr>
        <w:t xml:space="preserve"> </w:t>
      </w:r>
      <w:r>
        <w:rPr>
          <w:rFonts w:ascii="Arial Narrow" w:hAnsi="Arial Narrow" w:cs="Arial Narrow"/>
          <w:sz w:val="22"/>
          <w:szCs w:val="24"/>
        </w:rPr>
        <w:t>domácnosti, ktorému zahraničná osoba dodala uhlie na daňovom území,</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zahraničná osoba, ktorá dodala uhlie na daňovom území  koncovému odberateľovi uhlia v domácnosti,</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spotrebovala uhlie oslobodené od dane na iný účel, ako je uvedený v § 19,</w:t>
      </w:r>
    </w:p>
    <w:p w:rsidR="006A1A04">
      <w:pPr>
        <w:numPr>
          <w:ilvl w:val="1"/>
          <w:numId w:val="20"/>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spotrebovala uhlie, z ktorého nevznikla daňová povinnosť podľa § 21 ods. 1 a ods. 2 písm. a).</w:t>
      </w:r>
    </w:p>
    <w:p w:rsidR="006A1A04">
      <w:pPr>
        <w:numPr>
          <w:numId w:val="20"/>
        </w:numPr>
        <w:spacing w:before="120"/>
        <w:jc w:val="both"/>
        <w:rPr>
          <w:rFonts w:ascii="Arial Narrow" w:hAnsi="Arial Narrow" w:cs="Arial Narrow"/>
          <w:sz w:val="22"/>
          <w:szCs w:val="24"/>
        </w:rPr>
      </w:pPr>
      <w:r>
        <w:rPr>
          <w:rFonts w:ascii="Arial Narrow" w:hAnsi="Arial Narrow" w:cs="Arial Narrow"/>
          <w:sz w:val="22"/>
          <w:szCs w:val="24"/>
        </w:rPr>
        <w:t xml:space="preserve">Daňovým dlžníkom je aj právnická osoba alebo fyzická osoba, </w:t>
      </w:r>
    </w:p>
    <w:p w:rsidR="006A1A04">
      <w:pPr>
        <w:numPr>
          <w:ilvl w:val="1"/>
          <w:numId w:val="20"/>
        </w:numPr>
        <w:spacing w:before="120" w:line="240" w:lineRule="atLeast"/>
        <w:jc w:val="both"/>
        <w:rPr>
          <w:rFonts w:ascii="Arial Narrow" w:hAnsi="Arial Narrow" w:cs="Arial Narrow"/>
          <w:sz w:val="22"/>
          <w:szCs w:val="24"/>
        </w:rPr>
      </w:pPr>
      <w:r>
        <w:rPr>
          <w:rFonts w:ascii="Arial Narrow" w:hAnsi="Arial Narrow" w:cs="Arial Narrow"/>
          <w:sz w:val="22"/>
          <w:szCs w:val="24"/>
        </w:rPr>
        <w:t xml:space="preserve">ktorá je konečným spotrebiteľom uhlia okrem koncového odberateľa uhlia v domácnosti, a na ktorej účet bolo predložené colné vyhlásenie na prepustenie uhlia do colného režimu voľný obeh, ak na colný režim voľný obeh nenadväzuje oslobodenie od dane, </w:t>
      </w:r>
    </w:p>
    <w:p w:rsidR="006A1A04">
      <w:pPr>
        <w:numPr>
          <w:ilvl w:val="1"/>
          <w:numId w:val="20"/>
        </w:numPr>
        <w:spacing w:before="120" w:line="240" w:lineRule="atLeast"/>
        <w:jc w:val="both"/>
        <w:rPr>
          <w:rFonts w:ascii="Arial Narrow" w:hAnsi="Arial Narrow" w:cs="Arial Narrow"/>
          <w:sz w:val="22"/>
          <w:szCs w:val="24"/>
        </w:rPr>
      </w:pPr>
      <w:r>
        <w:rPr>
          <w:rFonts w:ascii="Arial Narrow" w:hAnsi="Arial Narrow" w:cs="Arial Narrow"/>
          <w:sz w:val="22"/>
          <w:szCs w:val="24"/>
        </w:rPr>
        <w:t>ktorej colný dlh vznikol iným spôsobom ako prijatím colného vyhlásenia.</w:t>
      </w:r>
    </w:p>
    <w:p w:rsidR="006A1A04">
      <w:pPr>
        <w:spacing w:before="120"/>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23</w:t>
      </w:r>
    </w:p>
    <w:p w:rsidR="006A1A04">
      <w:pPr>
        <w:jc w:val="center"/>
        <w:rPr>
          <w:rFonts w:ascii="Arial Narrow" w:hAnsi="Arial Narrow" w:cs="Arial Narrow"/>
          <w:b/>
          <w:sz w:val="22"/>
          <w:szCs w:val="24"/>
        </w:rPr>
      </w:pPr>
      <w:r>
        <w:rPr>
          <w:rFonts w:ascii="Arial Narrow" w:hAnsi="Arial Narrow" w:cs="Arial Narrow"/>
          <w:b/>
          <w:sz w:val="22"/>
          <w:szCs w:val="24"/>
        </w:rPr>
        <w:t xml:space="preserve">Registrácia </w:t>
      </w:r>
    </w:p>
    <w:p w:rsidR="006A1A04">
      <w:pPr>
        <w:numPr>
          <w:numId w:val="53"/>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Daňový dlžník podľa § 22 ods. 1 a ods. 2 písm. a) je povinný písomne požiadať colný úrad o registráciu daňového dlžníka najneskôr v deň vzniku prvej daňovej povinnosti. </w:t>
      </w:r>
    </w:p>
    <w:p w:rsidR="006A1A04">
      <w:pPr>
        <w:spacing w:before="240"/>
        <w:jc w:val="both"/>
        <w:rPr>
          <w:rFonts w:ascii="Arial Narrow" w:hAnsi="Arial Narrow" w:cs="Arial Narrow"/>
          <w:sz w:val="22"/>
          <w:szCs w:val="24"/>
        </w:rPr>
      </w:pPr>
    </w:p>
    <w:p w:rsidR="006A1A04">
      <w:pPr>
        <w:numPr>
          <w:numId w:val="53"/>
        </w:numPr>
        <w:spacing w:before="240"/>
        <w:jc w:val="both"/>
        <w:rPr>
          <w:rFonts w:ascii="Arial Narrow" w:hAnsi="Arial Narrow" w:cs="Arial Narrow"/>
          <w:sz w:val="22"/>
          <w:szCs w:val="24"/>
        </w:rPr>
      </w:pPr>
      <w:r>
        <w:rPr>
          <w:rFonts w:ascii="Arial Narrow" w:hAnsi="Arial Narrow" w:cs="Arial Narrow"/>
          <w:sz w:val="22"/>
          <w:szCs w:val="24"/>
        </w:rPr>
        <w:t>Žiadosť musí obsahovať</w:t>
      </w:r>
    </w:p>
    <w:p w:rsidR="006A1A04">
      <w:pPr>
        <w:numPr>
          <w:ilvl w:val="1"/>
          <w:numId w:val="17"/>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ilvl w:val="1"/>
          <w:numId w:val="17"/>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53"/>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Prílohou k žiadosti je 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53"/>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Zahraničná osoba, ktorá je daňovým dlžníkom podľa § 22 ods. 2 písm. b), je povinná písomne požiadať Colný úrad Bratislava o registráciu daňového dlžníka najneskôr v deň vzniku prvej daňovej povinnosti. Na žiadosť sa vzťahujú ustanovenia odsekov  2 a 3 primerane.</w:t>
      </w:r>
    </w:p>
    <w:p w:rsidR="006A1A04">
      <w:pPr>
        <w:numPr>
          <w:numId w:val="53"/>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 xml:space="preserve">Výrobca uhlia alebo obchodník s uhlím, ktorý nie je registrovaný podľa odseku 1, je povinný písomne požiadať colný úrad o registráciu výrobcu uhlia alebo obchodníka s uhlím najneskôr v deň začatia prvej výroby uhlia alebo v deň prvého dodania uhlia. Na žiadosť sa vzťahujú ustanovenia odsekov  2 a 3 primerane. </w:t>
      </w:r>
    </w:p>
    <w:p w:rsidR="006A1A04">
      <w:pPr>
        <w:numPr>
          <w:numId w:val="53"/>
        </w:numPr>
        <w:tabs>
          <w:tab w:val="num" w:pos="0"/>
          <w:tab w:val="clear" w:pos="340"/>
        </w:tabs>
        <w:spacing w:before="240"/>
        <w:ind w:left="0" w:firstLine="340"/>
        <w:jc w:val="both"/>
        <w:rPr>
          <w:rFonts w:ascii="Arial Narrow" w:hAnsi="Arial Narrow" w:cs="Arial Narrow"/>
          <w:sz w:val="22"/>
          <w:szCs w:val="24"/>
        </w:rPr>
      </w:pPr>
      <w:r>
        <w:rPr>
          <w:rFonts w:ascii="Arial Narrow" w:hAnsi="Arial Narrow" w:cs="Arial Narrow"/>
          <w:sz w:val="22"/>
          <w:szCs w:val="24"/>
        </w:rPr>
        <w:t>Ako daňový dlžník je povinná registrovať sa aj  právnická  osoba alebo fyzická osoba, ktorá dodáva uhlie oslobodené od dane, ak už nie je registrovaná podľa odseku 1, a to najneskôr  v deň prvého dodania uhlia  oslobodeného od dane. Na žiadosť sa vzťahujú ustanovenia odsekov  2 a 3.</w:t>
      </w:r>
    </w:p>
    <w:p w:rsidR="006A1A04">
      <w:pPr>
        <w:spacing w:before="24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24</w:t>
      </w:r>
    </w:p>
    <w:p w:rsidR="006A1A04">
      <w:pPr>
        <w:jc w:val="center"/>
        <w:rPr>
          <w:rFonts w:ascii="Arial Narrow" w:hAnsi="Arial Narrow" w:cs="Arial Narrow"/>
          <w:b/>
          <w:sz w:val="22"/>
          <w:szCs w:val="24"/>
        </w:rPr>
      </w:pPr>
      <w:r>
        <w:rPr>
          <w:rFonts w:ascii="Arial Narrow" w:hAnsi="Arial Narrow" w:cs="Arial Narrow"/>
          <w:b/>
          <w:sz w:val="22"/>
          <w:szCs w:val="24"/>
        </w:rPr>
        <w:t>Zdaňovacie obdobie, daňové priznanie, dodatočné daňové priznanie a splatnosť dane</w:t>
      </w:r>
    </w:p>
    <w:p w:rsidR="006A1A04">
      <w:pPr>
        <w:numPr>
          <w:numId w:val="96"/>
        </w:numPr>
        <w:spacing w:before="240"/>
        <w:jc w:val="both"/>
        <w:rPr>
          <w:rFonts w:ascii="Arial Narrow" w:hAnsi="Arial Narrow" w:cs="Arial Narrow"/>
          <w:sz w:val="22"/>
          <w:szCs w:val="24"/>
        </w:rPr>
      </w:pPr>
      <w:r>
        <w:rPr>
          <w:rFonts w:ascii="Arial Narrow" w:hAnsi="Arial Narrow" w:cs="Arial Narrow"/>
          <w:sz w:val="22"/>
          <w:szCs w:val="24"/>
        </w:rPr>
        <w:t>Zdaňovacím obdobím je kalendárny mesiac, ak tento zákon neustanovuje inak.</w:t>
      </w:r>
    </w:p>
    <w:p w:rsidR="006A1A04">
      <w:pPr>
        <w:numPr>
          <w:numId w:val="96"/>
        </w:numPr>
        <w:spacing w:before="120"/>
        <w:jc w:val="both"/>
        <w:rPr>
          <w:rFonts w:ascii="Arial Narrow" w:hAnsi="Arial Narrow" w:cs="Arial Narrow"/>
          <w:sz w:val="22"/>
          <w:szCs w:val="24"/>
        </w:rPr>
      </w:pPr>
      <w:r>
        <w:rPr>
          <w:rFonts w:ascii="Arial Narrow" w:hAnsi="Arial Narrow" w:cs="Arial Narrow"/>
          <w:sz w:val="22"/>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priznanie, žiadosti o vrátenie dane a dodatočnej žiadosti o vrátenie dane ustanoví všeobecne záväzný právny predpis, ktorý vydá ministerstvo. </w:t>
      </w:r>
    </w:p>
    <w:p w:rsidR="006A1A04">
      <w:pPr>
        <w:numPr>
          <w:numId w:val="96"/>
        </w:numPr>
        <w:spacing w:before="120"/>
        <w:jc w:val="both"/>
        <w:rPr>
          <w:rFonts w:ascii="Arial Narrow" w:hAnsi="Arial Narrow" w:cs="Arial Narrow"/>
          <w:sz w:val="22"/>
          <w:szCs w:val="24"/>
        </w:rPr>
      </w:pPr>
      <w:r>
        <w:rPr>
          <w:rFonts w:ascii="Arial Narrow" w:hAnsi="Arial Narrow" w:cs="Arial Narrow"/>
          <w:sz w:val="22"/>
          <w:szCs w:val="24"/>
        </w:rPr>
        <w:t xml:space="preserve">Daňový dlžník v daňovom priznaní uvedie </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celkové  množstvo uhlia v tonách, ktoré dodal,</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množstvo uhlia  v tonách z množstva uhlia podľa písmena a), z ktorého vznikla daňová povinnosť dodaním,</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množstvo uhlia  v tonách z množstva uhlia podľa písmena a), ktoré dodal na účely oslobodené od dane,</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množstvo uhlia v tonách, z ktorého vznikla daňová povinnosť spotrebou,</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celkové množstvo uhlia v tonách, z ktorého vznikla daňová povinnosť,</w:t>
      </w:r>
    </w:p>
    <w:p w:rsidR="006A1A04">
      <w:pPr>
        <w:numPr>
          <w:ilvl w:val="1"/>
          <w:numId w:val="47"/>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výslednú daň, ktorá pripadá na množstvo uhlia, z ktorého vznikla daňová povinnosť.</w:t>
      </w:r>
    </w:p>
    <w:p w:rsidR="006A1A04">
      <w:pPr>
        <w:numPr>
          <w:numId w:val="96"/>
        </w:numPr>
        <w:spacing w:before="120"/>
        <w:jc w:val="both"/>
        <w:rPr>
          <w:rFonts w:ascii="Arial Narrow" w:hAnsi="Arial Narrow" w:cs="Arial Narrow"/>
          <w:sz w:val="22"/>
          <w:szCs w:val="24"/>
        </w:rPr>
      </w:pPr>
      <w:r>
        <w:rPr>
          <w:rFonts w:ascii="Arial Narrow" w:hAnsi="Arial Narrow" w:cs="Arial Narrow"/>
          <w:sz w:val="22"/>
          <w:szCs w:val="24"/>
        </w:rPr>
        <w:t>Daňový dlžník je povinný vypočítať daň sám; ak daňová povinnosť vznikne podľa § 21 ods. 2 písm. a), daň vypočíta colný úrad. Výsledná daň sa zaokrúhľuje na celé koruny smerom nahor.</w:t>
      </w:r>
    </w:p>
    <w:p w:rsidR="006A1A04">
      <w:pPr>
        <w:numPr>
          <w:numId w:val="96"/>
        </w:numPr>
        <w:spacing w:before="240"/>
        <w:jc w:val="both"/>
        <w:rPr>
          <w:rFonts w:ascii="Arial Narrow" w:hAnsi="Arial Narrow" w:cs="Arial Narrow"/>
          <w:sz w:val="22"/>
          <w:szCs w:val="24"/>
        </w:rPr>
      </w:pPr>
      <w:r>
        <w:rPr>
          <w:rFonts w:ascii="Arial Narrow" w:hAnsi="Arial Narrow" w:cs="Arial Narrow"/>
          <w:sz w:val="22"/>
          <w:szCs w:val="24"/>
        </w:rPr>
        <w:t xml:space="preserve">Ak daňový dlžník zistí, že podané daňové priznanie je nesprávne alebo neúplné a jeho oprava má za následok </w:t>
      </w:r>
    </w:p>
    <w:p w:rsidR="006A1A04">
      <w:pPr>
        <w:pStyle w:val="BodyTextIndent2"/>
        <w:rPr>
          <w:szCs w:val="24"/>
        </w:rPr>
      </w:pPr>
      <w:r>
        <w:rPr>
          <w:szCs w:val="24"/>
        </w:rPr>
        <w:t>a) zvýšenie dane, je povinný podať colnému úradu dodatočné daňové priznanie bezodkladne po zistení  nesprávnosti alebo neúplnosti daňového priznania a zaplatiť daň do desiatich pracovných dní odo dňa podania dodatočného daňového priznania,</w:t>
      </w:r>
    </w:p>
    <w:p w:rsidR="006A1A04">
      <w:pPr>
        <w:spacing w:before="240"/>
        <w:jc w:val="both"/>
        <w:rPr>
          <w:rFonts w:ascii="Arial Narrow" w:hAnsi="Arial Narrow" w:cs="Arial Narrow"/>
          <w:sz w:val="22"/>
          <w:szCs w:val="24"/>
        </w:rPr>
      </w:pPr>
      <w:r>
        <w:rPr>
          <w:rFonts w:ascii="Arial Narrow" w:hAnsi="Arial Narrow" w:cs="Arial Narrow"/>
          <w:sz w:val="22"/>
          <w:szCs w:val="24"/>
        </w:rPr>
        <w:t>b) zníženie dane, môže  uplatniť vrátenie dane v dodatočnom daňovom priznaní.</w:t>
      </w:r>
    </w:p>
    <w:p w:rsidR="006A1A04">
      <w:pPr>
        <w:numPr>
          <w:numId w:val="96"/>
        </w:numPr>
        <w:spacing w:before="240"/>
        <w:jc w:val="both"/>
        <w:rPr>
          <w:rFonts w:ascii="Arial Narrow" w:hAnsi="Arial Narrow" w:cs="Arial Narrow"/>
          <w:sz w:val="22"/>
          <w:szCs w:val="24"/>
        </w:rPr>
      </w:pPr>
      <w:r>
        <w:rPr>
          <w:rFonts w:ascii="Arial Narrow" w:hAnsi="Arial Narrow" w:cs="Arial Narrow"/>
          <w:sz w:val="22"/>
          <w:szCs w:val="24"/>
        </w:rPr>
        <w:t xml:space="preserve"> Dodatočné daňové priznanie musí byť označené ako „Dodatočné“. V dodatočnom daňovom priznaní sa uvedie  zdaňovacie obdobie, ktorého sa dodatočné daňové priznanie týka a uvedú sa aj rozdiely oproti pôvodne podanému daňovému priznaniu. Colný úrad vráti daň do 30 dní odo dňa podania dodatočného daňového priznania.  </w:t>
      </w:r>
    </w:p>
    <w:p w:rsidR="006A1A04">
      <w:pPr>
        <w:numPr>
          <w:numId w:val="96"/>
        </w:numPr>
        <w:spacing w:before="240"/>
        <w:jc w:val="both"/>
        <w:rPr>
          <w:rFonts w:ascii="Arial Narrow" w:hAnsi="Arial Narrow" w:cs="Arial Narrow"/>
          <w:sz w:val="22"/>
          <w:szCs w:val="24"/>
        </w:rPr>
      </w:pPr>
      <w:r>
        <w:rPr>
          <w:rFonts w:ascii="Arial Narrow" w:hAnsi="Arial Narrow" w:cs="Arial Narrow"/>
          <w:sz w:val="22"/>
          <w:szCs w:val="24"/>
        </w:rPr>
        <w:t xml:space="preserve">Na dodatočné daňové priznanie sa neprihliadne, ak colný úrad už začal daňovú kontrolu smerujúcu k preskúmaniu skutočností rozhodujúcich pre správne určenie dane alebo uplatneného vrátenia dane za zdaňovacie obdobie, ktorého by sa dodatočné daňové priznanie týkalo. </w:t>
      </w:r>
    </w:p>
    <w:p w:rsidR="006A1A04">
      <w:pPr>
        <w:numPr>
          <w:numId w:val="96"/>
        </w:numPr>
        <w:spacing w:before="240"/>
        <w:jc w:val="both"/>
        <w:rPr>
          <w:rFonts w:ascii="Arial Narrow" w:hAnsi="Arial Narrow" w:cs="Arial Narrow"/>
          <w:sz w:val="22"/>
          <w:szCs w:val="24"/>
        </w:rPr>
      </w:pPr>
      <w:r>
        <w:rPr>
          <w:rFonts w:ascii="Arial Narrow" w:hAnsi="Arial Narrow" w:cs="Arial Narrow"/>
          <w:sz w:val="22"/>
          <w:szCs w:val="24"/>
        </w:rPr>
        <w:t>Daňový dlžník, ktorého daňová povinnosť za zdaňovacie obdobie nepresiahne 100 Sk, nie je povinný podať daňové priznanie a zaplatiť daň; to neplatí, ak daňová povinnosť vznikne podľa §  21 ods. 2 písm. a).</w:t>
      </w: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25</w:t>
      </w:r>
    </w:p>
    <w:p w:rsidR="006A1A04">
      <w:pPr>
        <w:pStyle w:val="Heading2"/>
        <w:spacing w:before="0"/>
        <w:rPr>
          <w:szCs w:val="24"/>
        </w:rPr>
      </w:pPr>
      <w:r>
        <w:rPr>
          <w:szCs w:val="24"/>
        </w:rPr>
        <w:t>Vrátenie dane</w:t>
      </w:r>
    </w:p>
    <w:p w:rsidR="006A1A04">
      <w:pPr>
        <w:numPr>
          <w:numId w:val="76"/>
        </w:numPr>
        <w:spacing w:before="240"/>
        <w:jc w:val="both"/>
        <w:rPr>
          <w:rFonts w:ascii="Arial Narrow" w:hAnsi="Arial Narrow" w:cs="Arial Narrow"/>
          <w:sz w:val="22"/>
          <w:szCs w:val="24"/>
        </w:rPr>
      </w:pPr>
      <w:r>
        <w:rPr>
          <w:rFonts w:ascii="Arial Narrow" w:hAnsi="Arial Narrow" w:cs="Arial Narrow"/>
          <w:sz w:val="22"/>
          <w:szCs w:val="24"/>
        </w:rPr>
        <w:t>Daň možno vrátiť za podmienok ustanovených týmto zákonom z preukázateľne zdaneného uhlia na daňovom území oprávnenému spotrebiteľovi uhlia podľa § 20 ods. 1, ak má povolenie na oslobodené uhlie a  takéto uhlie preukázateľne spotreboval na účely oslobodené od dane.</w:t>
      </w:r>
    </w:p>
    <w:p w:rsidR="006A1A04">
      <w:pPr>
        <w:numPr>
          <w:numId w:val="76"/>
        </w:numPr>
        <w:spacing w:before="240"/>
        <w:jc w:val="both"/>
        <w:rPr>
          <w:rFonts w:ascii="Arial Narrow" w:hAnsi="Arial Narrow" w:cs="Arial Narrow"/>
          <w:sz w:val="22"/>
          <w:szCs w:val="24"/>
        </w:rPr>
      </w:pPr>
      <w:r>
        <w:rPr>
          <w:rFonts w:ascii="Arial Narrow" w:hAnsi="Arial Narrow" w:cs="Arial Narrow"/>
          <w:sz w:val="22"/>
          <w:szCs w:val="24"/>
        </w:rPr>
        <w:t>Vrátenie dane sa uplatní v žiadosti o vrátenie dane alebo v dodatočnej žiadosti o vrátenie dane na tlačive podľa § 24 ods. 2, okrem odseku 5, kedy sa vrátenie dane uplatní  v dodatočnom  daňovom priznaní.</w:t>
      </w:r>
    </w:p>
    <w:p w:rsidR="006A1A04">
      <w:pPr>
        <w:numPr>
          <w:numId w:val="76"/>
        </w:numPr>
        <w:spacing w:before="240"/>
        <w:jc w:val="both"/>
        <w:rPr>
          <w:rFonts w:ascii="Arial Narrow" w:hAnsi="Arial Narrow" w:cs="Arial Narrow"/>
          <w:sz w:val="22"/>
          <w:szCs w:val="24"/>
        </w:rPr>
      </w:pPr>
      <w:r>
        <w:rPr>
          <w:rFonts w:ascii="Arial Narrow" w:hAnsi="Arial Narrow" w:cs="Arial Narrow"/>
          <w:sz w:val="22"/>
          <w:szCs w:val="24"/>
        </w:rPr>
        <w:t xml:space="preserve">Preukázateľne zdaneným uhlím na účely tohto zákona je uhlie, ktorého zdanenie je doložené dokladom potvrdzujúcim jeho nadobudnutie za cenu s daňou a dokladom potvrdzujúcim zaplatenia dane v cene uhlia, napríklad výpisom z účtu v banke alebo v pobočke zahraničnej banky alebo dokladom potvrdzujúcim zaplatenie dane colnému úradu. </w:t>
      </w:r>
    </w:p>
    <w:p w:rsidR="006A1A04">
      <w:pPr>
        <w:numPr>
          <w:numId w:val="76"/>
        </w:numPr>
        <w:spacing w:before="120"/>
        <w:jc w:val="both"/>
        <w:rPr>
          <w:rFonts w:ascii="Arial Narrow" w:hAnsi="Arial Narrow" w:cs="Arial Narrow"/>
          <w:sz w:val="22"/>
          <w:szCs w:val="24"/>
        </w:rPr>
      </w:pPr>
      <w:r>
        <w:rPr>
          <w:rFonts w:ascii="Arial Narrow" w:hAnsi="Arial Narrow" w:cs="Arial Narrow"/>
          <w:sz w:val="22"/>
          <w:szCs w:val="24"/>
        </w:rPr>
        <w:t>Žiadosť o vrátenie dane možno podať colnému úradu za zdaňovacie obdobie, v ktorom bolo uhlie dodané, a to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A1A04">
      <w:pPr>
        <w:numPr>
          <w:numId w:val="76"/>
        </w:numPr>
        <w:spacing w:before="120"/>
        <w:jc w:val="both"/>
        <w:rPr>
          <w:rFonts w:ascii="Arial Narrow" w:hAnsi="Arial Narrow" w:cs="Arial Narrow"/>
          <w:sz w:val="22"/>
          <w:szCs w:val="24"/>
        </w:rPr>
      </w:pPr>
      <w:r>
        <w:rPr>
          <w:rFonts w:ascii="Arial Narrow" w:hAnsi="Arial Narrow" w:cs="Arial Narrow"/>
          <w:sz w:val="22"/>
          <w:szCs w:val="24"/>
        </w:rPr>
        <w:t>Daň možno vrátiť aj daňovému dlžníkovi, ak už daň zaplatil a ak daň vypočítal</w:t>
      </w:r>
    </w:p>
    <w:p w:rsidR="006A1A04">
      <w:pPr>
        <w:numPr>
          <w:ilvl w:val="1"/>
          <w:numId w:val="18"/>
        </w:numPr>
        <w:spacing w:before="120"/>
        <w:jc w:val="both"/>
        <w:rPr>
          <w:rFonts w:ascii="Arial Narrow" w:hAnsi="Arial Narrow" w:cs="Arial Narrow"/>
          <w:sz w:val="22"/>
          <w:szCs w:val="24"/>
        </w:rPr>
      </w:pPr>
      <w:r>
        <w:rPr>
          <w:rFonts w:ascii="Arial Narrow" w:hAnsi="Arial Narrow" w:cs="Arial Narrow"/>
          <w:sz w:val="22"/>
          <w:szCs w:val="24"/>
        </w:rPr>
        <w:t xml:space="preserve">daňový dlžník v neprospech odberateľa uhlia, ktorému vyhotovil dobropis, </w:t>
      </w:r>
    </w:p>
    <w:p w:rsidR="006A1A04">
      <w:pPr>
        <w:numPr>
          <w:ilvl w:val="1"/>
          <w:numId w:val="18"/>
        </w:numPr>
        <w:spacing w:before="120"/>
        <w:jc w:val="both"/>
        <w:rPr>
          <w:rFonts w:ascii="Arial Narrow" w:hAnsi="Arial Narrow" w:cs="Arial Narrow"/>
          <w:sz w:val="22"/>
          <w:szCs w:val="24"/>
        </w:rPr>
      </w:pPr>
      <w:r>
        <w:rPr>
          <w:rFonts w:ascii="Arial Narrow" w:hAnsi="Arial Narrow" w:cs="Arial Narrow"/>
          <w:sz w:val="22"/>
          <w:szCs w:val="24"/>
        </w:rPr>
        <w:t xml:space="preserve">daňový dlžník vo svoj neprospech, </w:t>
      </w:r>
    </w:p>
    <w:p w:rsidR="006A1A04">
      <w:pPr>
        <w:numPr>
          <w:ilvl w:val="1"/>
          <w:numId w:val="18"/>
        </w:numPr>
        <w:spacing w:before="120"/>
        <w:jc w:val="both"/>
        <w:rPr>
          <w:rFonts w:ascii="Arial Narrow" w:hAnsi="Arial Narrow" w:cs="Arial Narrow"/>
          <w:sz w:val="22"/>
          <w:szCs w:val="24"/>
        </w:rPr>
      </w:pPr>
      <w:r>
        <w:rPr>
          <w:rFonts w:ascii="Arial Narrow" w:hAnsi="Arial Narrow" w:cs="Arial Narrow"/>
          <w:sz w:val="22"/>
          <w:szCs w:val="24"/>
        </w:rPr>
        <w:t>colný úrad v neprospech daňového dlžníka, o čom písomne informuje daňového dlžníka.</w:t>
      </w:r>
    </w:p>
    <w:p w:rsidR="006A1A04">
      <w:pPr>
        <w:numPr>
          <w:numId w:val="76"/>
        </w:numPr>
        <w:spacing w:before="120"/>
        <w:jc w:val="both"/>
        <w:rPr>
          <w:rFonts w:ascii="Arial Narrow" w:hAnsi="Arial Narrow" w:cs="Arial Narrow"/>
          <w:sz w:val="22"/>
          <w:szCs w:val="24"/>
        </w:rPr>
      </w:pPr>
      <w:r>
        <w:rPr>
          <w:rFonts w:ascii="Arial Narrow" w:hAnsi="Arial Narrow" w:cs="Arial Narrow"/>
          <w:sz w:val="22"/>
          <w:szCs w:val="24"/>
        </w:rPr>
        <w:t xml:space="preserve">Ak oprávnený spotrebiteľ uhlia zistí, že podaná žiadosť o vrátenie dane je nesprávna alebo neúplná a jej oprava má za následok </w:t>
      </w:r>
    </w:p>
    <w:p w:rsidR="006A1A04">
      <w:pPr>
        <w:numPr>
          <w:numId w:val="206"/>
        </w:numPr>
        <w:tabs>
          <w:tab w:val="clear" w:pos="720"/>
        </w:tabs>
        <w:spacing w:before="120"/>
        <w:ind w:left="360"/>
        <w:jc w:val="both"/>
        <w:rPr>
          <w:rFonts w:ascii="Arial Narrow" w:hAnsi="Arial Narrow" w:cs="Arial Narrow"/>
          <w:sz w:val="22"/>
          <w:szCs w:val="24"/>
        </w:rPr>
      </w:pPr>
      <w:r>
        <w:rPr>
          <w:rFonts w:ascii="Arial Narrow" w:hAnsi="Arial Narrow" w:cs="Arial Narrow"/>
          <w:sz w:val="22"/>
          <w:szCs w:val="24"/>
        </w:rPr>
        <w:t xml:space="preserve">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  </w:t>
      </w:r>
    </w:p>
    <w:p w:rsidR="006A1A04">
      <w:pPr>
        <w:numPr>
          <w:numId w:val="206"/>
        </w:numPr>
        <w:tabs>
          <w:tab w:val="num" w:pos="-1080"/>
          <w:tab w:val="clear" w:pos="720"/>
        </w:tabs>
        <w:spacing w:before="120"/>
        <w:ind w:left="360"/>
        <w:jc w:val="both"/>
        <w:rPr>
          <w:rFonts w:ascii="Arial Narrow" w:hAnsi="Arial Narrow" w:cs="Arial Narrow"/>
          <w:sz w:val="22"/>
          <w:szCs w:val="24"/>
        </w:rPr>
      </w:pPr>
      <w:r>
        <w:rPr>
          <w:rFonts w:ascii="Arial Narrow" w:hAnsi="Arial Narrow" w:cs="Arial Narrow"/>
          <w:sz w:val="22"/>
          <w:szCs w:val="24"/>
        </w:rPr>
        <w:t xml:space="preserve">zvýšenie uplatneného vrátenia dane, môže uplatniť vrátenie dane v dodatočnej žiadosti o vrátenie dane; to platí aj v prípade, ak túto skutočnosť zistí colný úrad. </w:t>
      </w:r>
    </w:p>
    <w:p w:rsidR="006A1A04">
      <w:pPr>
        <w:numPr>
          <w:numId w:val="76"/>
        </w:numPr>
        <w:spacing w:before="120"/>
        <w:jc w:val="both"/>
        <w:rPr>
          <w:rFonts w:ascii="Arial Narrow" w:hAnsi="Arial Narrow" w:cs="Arial Narrow"/>
          <w:sz w:val="22"/>
          <w:szCs w:val="24"/>
        </w:rPr>
      </w:pPr>
      <w:r>
        <w:rPr>
          <w:rFonts w:ascii="Arial Narrow" w:hAnsi="Arial Narrow" w:cs="Arial Narrow"/>
          <w:sz w:val="22"/>
          <w:szCs w:val="24"/>
        </w:rPr>
        <w:t xml:space="preserve">Dodatočná žiadosť o vrátenie dane musí byť označená ako „Dodatočná“.  V dodatočnej žiadosti o vrátenie dane sa uvedie zdaňovacie obdobie, ktorého sa dodatočná žiadosť o vrátenie dane týka a uvedú sa aj rozdiely oproti podanej žiadosti o vrátenie dane. Dodatočnú žiadosť o vrátenie dane možno podať do troch rokov od konca zdaňovacieho obdobia, ktorého sa týka; na základe dodatočnej žiadosti o vrátenie dane podanej po uplynutí tejto lehoty nemožno daň vrátiť.   </w:t>
      </w:r>
    </w:p>
    <w:p w:rsidR="006A1A04">
      <w:pPr>
        <w:numPr>
          <w:numId w:val="76"/>
        </w:numPr>
        <w:spacing w:before="120"/>
        <w:jc w:val="both"/>
        <w:rPr>
          <w:rFonts w:ascii="Arial Narrow" w:hAnsi="Arial Narrow" w:cs="Arial Narrow"/>
          <w:sz w:val="22"/>
          <w:szCs w:val="24"/>
        </w:rPr>
      </w:pPr>
      <w:r>
        <w:rPr>
          <w:rFonts w:ascii="Arial Narrow" w:hAnsi="Arial Narrow" w:cs="Arial Narrow"/>
          <w:sz w:val="22"/>
          <w:szCs w:val="24"/>
        </w:rPr>
        <w:t xml:space="preserve">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 </w:t>
      </w:r>
    </w:p>
    <w:p w:rsidR="006A1A04">
      <w:pPr>
        <w:numPr>
          <w:numId w:val="76"/>
        </w:numPr>
        <w:spacing w:before="240"/>
        <w:jc w:val="both"/>
        <w:rPr>
          <w:rFonts w:ascii="Arial Narrow" w:hAnsi="Arial Narrow" w:cs="Arial Narrow"/>
          <w:sz w:val="22"/>
          <w:szCs w:val="24"/>
        </w:rPr>
      </w:pPr>
      <w:r>
        <w:rPr>
          <w:rFonts w:ascii="Arial Narrow" w:hAnsi="Arial Narrow" w:cs="Arial Narrow"/>
          <w:sz w:val="22"/>
          <w:szCs w:val="24"/>
        </w:rPr>
        <w:t>Daň možno vrátiť aj z preukázateľne zdaneného uhlia na daňovom území právnickej osobe alebo fyzickej osobe, ktorá  má  zdanené uhlie a nie je jeho konečným spotrebiteľom.</w:t>
      </w: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Vedenie evidencií</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26</w:t>
      </w:r>
    </w:p>
    <w:p w:rsidR="006A1A04">
      <w:pPr>
        <w:jc w:val="center"/>
        <w:rPr>
          <w:rFonts w:ascii="Arial Narrow" w:hAnsi="Arial Narrow" w:cs="Arial Narrow"/>
          <w:b/>
          <w:sz w:val="22"/>
          <w:szCs w:val="24"/>
        </w:rPr>
      </w:pPr>
    </w:p>
    <w:p w:rsidR="006A1A04">
      <w:pPr>
        <w:numPr>
          <w:numId w:val="79"/>
        </w:numPr>
        <w:jc w:val="both"/>
        <w:rPr>
          <w:rFonts w:ascii="Arial Narrow" w:hAnsi="Arial Narrow" w:cs="Arial Narrow"/>
          <w:sz w:val="22"/>
          <w:szCs w:val="24"/>
        </w:rPr>
      </w:pPr>
      <w:r>
        <w:rPr>
          <w:rFonts w:ascii="Arial Narrow" w:hAnsi="Arial Narrow" w:cs="Arial Narrow"/>
          <w:sz w:val="22"/>
          <w:szCs w:val="24"/>
        </w:rPr>
        <w:t>Daňový dlžník je povinný priebežne viesť evidenciu množstva uhlia v tonách</w:t>
      </w:r>
    </w:p>
    <w:p w:rsidR="006A1A04">
      <w:pPr>
        <w:numPr>
          <w:ilvl w:val="1"/>
          <w:numId w:val="35"/>
        </w:numPr>
        <w:tabs>
          <w:tab w:val="num" w:pos="360"/>
          <w:tab w:val="clear" w:pos="1763"/>
        </w:tabs>
        <w:spacing w:before="120"/>
        <w:ind w:left="0" w:firstLine="0"/>
        <w:jc w:val="both"/>
        <w:rPr>
          <w:rFonts w:ascii="Arial Narrow" w:hAnsi="Arial Narrow" w:cs="Arial Narrow"/>
          <w:sz w:val="22"/>
          <w:szCs w:val="24"/>
        </w:rPr>
      </w:pPr>
      <w:r>
        <w:rPr>
          <w:rFonts w:ascii="Arial Narrow" w:hAnsi="Arial Narrow" w:cs="Arial Narrow"/>
          <w:sz w:val="22"/>
          <w:szCs w:val="24"/>
        </w:rPr>
        <w:t>vyrobeného,</w:t>
      </w:r>
    </w:p>
    <w:p w:rsidR="006A1A04">
      <w:pPr>
        <w:numPr>
          <w:ilvl w:val="1"/>
          <w:numId w:val="35"/>
        </w:numPr>
        <w:tabs>
          <w:tab w:val="num" w:pos="360"/>
          <w:tab w:val="clear" w:pos="1763"/>
        </w:tabs>
        <w:spacing w:before="120"/>
        <w:ind w:left="0" w:firstLine="0"/>
        <w:jc w:val="both"/>
        <w:rPr>
          <w:rFonts w:ascii="Arial Narrow" w:hAnsi="Arial Narrow" w:cs="Arial Narrow"/>
          <w:sz w:val="22"/>
          <w:szCs w:val="24"/>
        </w:rPr>
      </w:pPr>
      <w:r>
        <w:rPr>
          <w:rFonts w:ascii="Arial Narrow" w:hAnsi="Arial Narrow" w:cs="Arial Narrow"/>
          <w:sz w:val="22"/>
          <w:szCs w:val="24"/>
        </w:rPr>
        <w:t>odobratého,</w:t>
      </w:r>
    </w:p>
    <w:p w:rsidR="006A1A04">
      <w:pPr>
        <w:numPr>
          <w:ilvl w:val="1"/>
          <w:numId w:val="35"/>
        </w:numPr>
        <w:tabs>
          <w:tab w:val="num" w:pos="360"/>
          <w:tab w:val="clear" w:pos="1763"/>
        </w:tabs>
        <w:spacing w:before="120"/>
        <w:ind w:left="0" w:firstLine="0"/>
        <w:jc w:val="both"/>
        <w:rPr>
          <w:rFonts w:ascii="Arial Narrow" w:hAnsi="Arial Narrow" w:cs="Arial Narrow"/>
          <w:sz w:val="22"/>
          <w:szCs w:val="24"/>
        </w:rPr>
      </w:pPr>
      <w:r>
        <w:rPr>
          <w:rFonts w:ascii="Arial Narrow" w:hAnsi="Arial Narrow" w:cs="Arial Narrow"/>
          <w:sz w:val="22"/>
          <w:szCs w:val="24"/>
        </w:rPr>
        <w:t>dodaného, z toho na</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1. účely ďalšieho predaja,</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2. účely oslobodené od dane okrem dodania uhlia  koncovému odberateľovi  uhlia v</w:t>
      </w:r>
      <w:r>
        <w:rPr>
          <w:rFonts w:ascii="Arial Narrow" w:hAnsi="Arial Narrow" w:cs="Arial Narrow"/>
          <w:b/>
          <w:sz w:val="22"/>
          <w:szCs w:val="24"/>
        </w:rPr>
        <w:t xml:space="preserve"> </w:t>
      </w:r>
      <w:r>
        <w:rPr>
          <w:rFonts w:ascii="Arial Narrow" w:hAnsi="Arial Narrow" w:cs="Arial Narrow"/>
          <w:sz w:val="22"/>
          <w:szCs w:val="24"/>
        </w:rPr>
        <w:t xml:space="preserve">domácnosti, </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3. účely oslobodené od dane koncovému odberateľovi uhlia v domácnosti,</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4. spotrebu konečnému spotrebiteľovi uhlia,</w:t>
      </w:r>
    </w:p>
    <w:p w:rsidR="006A1A04">
      <w:pPr>
        <w:numPr>
          <w:ilvl w:val="1"/>
          <w:numId w:val="35"/>
        </w:numPr>
        <w:tabs>
          <w:tab w:val="num" w:pos="360"/>
          <w:tab w:val="clear" w:pos="1763"/>
        </w:tabs>
        <w:spacing w:before="120"/>
        <w:ind w:left="0" w:firstLine="0"/>
        <w:jc w:val="both"/>
        <w:rPr>
          <w:rFonts w:ascii="Arial Narrow" w:hAnsi="Arial Narrow" w:cs="Arial Narrow"/>
          <w:sz w:val="22"/>
          <w:szCs w:val="24"/>
        </w:rPr>
      </w:pPr>
      <w:r>
        <w:rPr>
          <w:rFonts w:ascii="Arial Narrow" w:hAnsi="Arial Narrow" w:cs="Arial Narrow"/>
          <w:sz w:val="22"/>
          <w:szCs w:val="24"/>
        </w:rPr>
        <w:t>použitého na vlastnú spotrebu,</w:t>
      </w:r>
    </w:p>
    <w:p w:rsidR="006A1A04">
      <w:pPr>
        <w:numPr>
          <w:ilvl w:val="1"/>
          <w:numId w:val="35"/>
        </w:numPr>
        <w:tabs>
          <w:tab w:val="num" w:pos="360"/>
          <w:tab w:val="clear" w:pos="1763"/>
        </w:tabs>
        <w:spacing w:before="120"/>
        <w:ind w:left="0" w:firstLine="0"/>
        <w:jc w:val="both"/>
        <w:rPr>
          <w:rFonts w:ascii="Arial Narrow" w:hAnsi="Arial Narrow" w:cs="Arial Narrow"/>
          <w:sz w:val="22"/>
          <w:szCs w:val="24"/>
        </w:rPr>
      </w:pPr>
      <w:r>
        <w:rPr>
          <w:rFonts w:ascii="Arial Narrow" w:hAnsi="Arial Narrow" w:cs="Arial Narrow"/>
          <w:sz w:val="22"/>
          <w:szCs w:val="24"/>
        </w:rPr>
        <w:t>použitého na  prevádzkové a technologické účely  výrobcom uhlia.</w:t>
      </w:r>
    </w:p>
    <w:p w:rsidR="006A1A04">
      <w:pPr>
        <w:numPr>
          <w:numId w:val="79"/>
        </w:numPr>
        <w:spacing w:before="120"/>
        <w:jc w:val="both"/>
        <w:rPr>
          <w:rFonts w:ascii="Arial Narrow" w:hAnsi="Arial Narrow" w:cs="Arial Narrow"/>
          <w:sz w:val="22"/>
          <w:szCs w:val="24"/>
        </w:rPr>
      </w:pPr>
      <w:r>
        <w:rPr>
          <w:rFonts w:ascii="Arial Narrow" w:hAnsi="Arial Narrow" w:cs="Arial Narrow"/>
          <w:sz w:val="22"/>
          <w:szCs w:val="24"/>
        </w:rPr>
        <w:t xml:space="preserve">Pri dodaní uhlia koncovému odberateľovi uhlia v domácnosti je v evidencii podľa odseku 1 písm. c) tretieho bodu potrebné uviesť identifikačné údaje a číslo občianskeho preukazu koncového odberateľa uhlia v domácnosti.  </w:t>
      </w:r>
    </w:p>
    <w:p w:rsidR="006A1A04">
      <w:pPr>
        <w:numPr>
          <w:numId w:val="79"/>
        </w:numPr>
        <w:spacing w:before="120"/>
        <w:jc w:val="both"/>
        <w:rPr>
          <w:rFonts w:ascii="Arial Narrow" w:hAnsi="Arial Narrow" w:cs="Arial Narrow"/>
          <w:sz w:val="22"/>
          <w:szCs w:val="24"/>
        </w:rPr>
      </w:pPr>
      <w:r>
        <w:rPr>
          <w:rFonts w:ascii="Arial Narrow" w:hAnsi="Arial Narrow" w:cs="Arial Narrow"/>
          <w:sz w:val="22"/>
          <w:szCs w:val="24"/>
        </w:rPr>
        <w:t>Výrobca uhlia alebo obchodník s uhlím, ktorý je povinný požiadať colný úrad o registráciu                  podľa  § 23 ods. 5, vedie evidenciu primerane podľa odseku 1.</w:t>
      </w:r>
    </w:p>
    <w:p w:rsidR="006A1A04">
      <w:pPr>
        <w:spacing w:before="120"/>
        <w:rPr>
          <w:rFonts w:ascii="Arial Narrow" w:hAnsi="Arial Narrow" w:cs="Arial Narrow"/>
          <w:b/>
          <w:sz w:val="22"/>
          <w:szCs w:val="24"/>
        </w:rPr>
      </w:pPr>
    </w:p>
    <w:p w:rsidR="006A1A04">
      <w:pPr>
        <w:spacing w:before="120"/>
        <w:jc w:val="center"/>
        <w:rPr>
          <w:rFonts w:ascii="Arial Narrow" w:hAnsi="Arial Narrow" w:cs="Arial Narrow"/>
          <w:b/>
          <w:sz w:val="22"/>
          <w:szCs w:val="24"/>
        </w:rPr>
      </w:pPr>
      <w:r>
        <w:rPr>
          <w:rFonts w:ascii="Arial Narrow" w:hAnsi="Arial Narrow" w:cs="Arial Narrow"/>
          <w:b/>
          <w:sz w:val="22"/>
          <w:szCs w:val="24"/>
        </w:rPr>
        <w:t>§ 27</w:t>
      </w:r>
    </w:p>
    <w:p w:rsidR="006A1A04">
      <w:pPr>
        <w:spacing w:before="120"/>
        <w:ind w:firstLine="540"/>
        <w:jc w:val="both"/>
        <w:rPr>
          <w:rFonts w:ascii="Arial Narrow" w:hAnsi="Arial Narrow" w:cs="Arial Narrow"/>
          <w:sz w:val="22"/>
          <w:szCs w:val="24"/>
        </w:rPr>
      </w:pPr>
      <w:r>
        <w:rPr>
          <w:rFonts w:ascii="Arial Narrow" w:hAnsi="Arial Narrow" w:cs="Arial Narrow"/>
          <w:sz w:val="22"/>
          <w:szCs w:val="24"/>
        </w:rPr>
        <w:t>Oprávnený spotrebiteľ uhlia je povinný priebežne viesť evidenciu množstva uhlia v  tonách</w:t>
      </w:r>
    </w:p>
    <w:p w:rsidR="006A1A04">
      <w:pPr>
        <w:spacing w:before="120"/>
        <w:jc w:val="both"/>
        <w:rPr>
          <w:rFonts w:ascii="Arial Narrow" w:hAnsi="Arial Narrow" w:cs="Arial Narrow"/>
          <w:sz w:val="22"/>
          <w:szCs w:val="24"/>
        </w:rPr>
      </w:pPr>
      <w:r>
        <w:rPr>
          <w:rFonts w:ascii="Arial Narrow" w:hAnsi="Arial Narrow" w:cs="Arial Narrow"/>
          <w:sz w:val="22"/>
          <w:szCs w:val="24"/>
        </w:rPr>
        <w:t>a) odobratého,</w:t>
      </w:r>
    </w:p>
    <w:p w:rsidR="006A1A04">
      <w:pPr>
        <w:spacing w:before="120"/>
        <w:jc w:val="both"/>
        <w:rPr>
          <w:rFonts w:ascii="Arial Narrow" w:hAnsi="Arial Narrow" w:cs="Arial Narrow"/>
          <w:sz w:val="22"/>
          <w:szCs w:val="24"/>
        </w:rPr>
      </w:pPr>
      <w:r>
        <w:rPr>
          <w:rFonts w:ascii="Arial Narrow" w:hAnsi="Arial Narrow" w:cs="Arial Narrow"/>
          <w:sz w:val="22"/>
          <w:szCs w:val="24"/>
        </w:rPr>
        <w:t>b) použitého na účely oslobodené od dane.</w:t>
      </w:r>
    </w:p>
    <w:p w:rsidR="006A1A04">
      <w:pPr>
        <w:rPr>
          <w:rFonts w:ascii="Arial Narrow" w:hAnsi="Arial Narrow" w:cs="Arial Narrow"/>
          <w:b/>
          <w:sz w:val="22"/>
          <w:szCs w:val="24"/>
        </w:rPr>
      </w:pPr>
    </w:p>
    <w:p w:rsidR="006A1A04">
      <w:pPr>
        <w:rPr>
          <w:rFonts w:ascii="Arial Narrow" w:hAnsi="Arial Narrow" w:cs="Arial Narrow"/>
          <w:b/>
          <w:sz w:val="22"/>
          <w:szCs w:val="24"/>
        </w:rPr>
      </w:pPr>
    </w:p>
    <w:p w:rsidR="006A1A04">
      <w:pPr>
        <w:pStyle w:val="Heading1"/>
        <w:spacing w:before="240"/>
        <w:jc w:val="center"/>
        <w:rPr>
          <w:szCs w:val="24"/>
        </w:rPr>
      </w:pPr>
      <w:r>
        <w:rPr>
          <w:szCs w:val="24"/>
        </w:rPr>
        <w:t>ŠTVRTÁ  ČASŤ</w:t>
      </w:r>
    </w:p>
    <w:p w:rsidR="006A1A04">
      <w:pPr>
        <w:jc w:val="center"/>
        <w:rPr>
          <w:rFonts w:ascii="Arial Narrow" w:hAnsi="Arial Narrow" w:cs="Arial Narrow"/>
          <w:b/>
          <w:sz w:val="22"/>
          <w:szCs w:val="24"/>
        </w:rPr>
      </w:pPr>
      <w:r>
        <w:rPr>
          <w:rFonts w:ascii="Arial Narrow" w:hAnsi="Arial Narrow" w:cs="Arial Narrow"/>
          <w:b/>
          <w:sz w:val="22"/>
          <w:szCs w:val="24"/>
        </w:rPr>
        <w:t>DAŇ  ZO  ZEMNÉHO  PLYNU</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28</w:t>
      </w:r>
    </w:p>
    <w:p w:rsidR="006A1A04">
      <w:pPr>
        <w:jc w:val="center"/>
        <w:rPr>
          <w:rFonts w:ascii="Arial Narrow" w:hAnsi="Arial Narrow" w:cs="Arial Narrow"/>
          <w:b/>
          <w:sz w:val="22"/>
          <w:szCs w:val="24"/>
        </w:rPr>
      </w:pPr>
      <w:r>
        <w:rPr>
          <w:rFonts w:ascii="Arial Narrow" w:hAnsi="Arial Narrow" w:cs="Arial Narrow"/>
          <w:b/>
          <w:sz w:val="22"/>
          <w:szCs w:val="24"/>
        </w:rPr>
        <w:t>Predmet  dane</w:t>
      </w:r>
    </w:p>
    <w:p w:rsidR="006A1A04">
      <w:pPr>
        <w:spacing w:before="240"/>
        <w:jc w:val="both"/>
        <w:rPr>
          <w:rFonts w:ascii="Arial Narrow" w:hAnsi="Arial Narrow" w:cs="Arial Narrow"/>
          <w:sz w:val="22"/>
          <w:szCs w:val="24"/>
        </w:rPr>
      </w:pPr>
      <w:r>
        <w:rPr>
          <w:rFonts w:ascii="Arial Narrow" w:hAnsi="Arial Narrow" w:cs="Arial Narrow"/>
          <w:sz w:val="22"/>
          <w:szCs w:val="24"/>
        </w:rPr>
        <w:t xml:space="preserve">     Predmetom dane je zemný plyn, ktorým sa na účely tohto zákona rozumie  </w:t>
      </w:r>
    </w:p>
    <w:p w:rsidR="006A1A04">
      <w:pPr>
        <w:spacing w:before="240"/>
        <w:jc w:val="both"/>
        <w:rPr>
          <w:rFonts w:ascii="Arial Narrow" w:hAnsi="Arial Narrow" w:cs="Arial Narrow"/>
          <w:color w:val="000000"/>
          <w:sz w:val="22"/>
          <w:szCs w:val="24"/>
        </w:rPr>
      </w:pPr>
      <w:r>
        <w:rPr>
          <w:rFonts w:ascii="Arial Narrow" w:hAnsi="Arial Narrow" w:cs="Arial Narrow"/>
          <w:sz w:val="22"/>
          <w:szCs w:val="24"/>
        </w:rPr>
        <w:t xml:space="preserve">a)  tovar kódu kombinovanej nomenklatúry  </w:t>
      </w:r>
      <w:r>
        <w:rPr>
          <w:rFonts w:ascii="Arial Narrow" w:hAnsi="Arial Narrow" w:cs="Arial Narrow"/>
          <w:color w:val="000000"/>
          <w:sz w:val="22"/>
          <w:szCs w:val="24"/>
        </w:rPr>
        <w:t>2711 11,</w:t>
      </w:r>
    </w:p>
    <w:p w:rsidR="006A1A04">
      <w:pPr>
        <w:spacing w:before="240"/>
        <w:jc w:val="both"/>
        <w:rPr>
          <w:rFonts w:ascii="Arial Narrow" w:hAnsi="Arial Narrow" w:cs="Arial Narrow"/>
          <w:color w:val="000000"/>
          <w:sz w:val="22"/>
          <w:szCs w:val="24"/>
        </w:rPr>
      </w:pPr>
      <w:r>
        <w:rPr>
          <w:rFonts w:ascii="Arial Narrow" w:hAnsi="Arial Narrow" w:cs="Arial Narrow"/>
          <w:color w:val="000000"/>
          <w:sz w:val="22"/>
          <w:szCs w:val="24"/>
        </w:rPr>
        <w:t xml:space="preserve">b) </w:t>
      </w:r>
      <w:r>
        <w:rPr>
          <w:rFonts w:ascii="Arial Narrow" w:hAnsi="Arial Narrow" w:cs="Arial Narrow"/>
          <w:sz w:val="22"/>
          <w:szCs w:val="24"/>
        </w:rPr>
        <w:t xml:space="preserve"> tovar kódu kombinovanej nomenklatúry  </w:t>
      </w:r>
      <w:r>
        <w:rPr>
          <w:rFonts w:ascii="Arial Narrow" w:hAnsi="Arial Narrow" w:cs="Arial Narrow"/>
          <w:color w:val="000000"/>
          <w:sz w:val="22"/>
          <w:szCs w:val="24"/>
        </w:rPr>
        <w:t xml:space="preserve">2711 21, </w:t>
      </w:r>
    </w:p>
    <w:p w:rsidR="006A1A04">
      <w:pPr>
        <w:spacing w:before="240"/>
        <w:jc w:val="both"/>
        <w:rPr>
          <w:rFonts w:ascii="Arial Narrow" w:hAnsi="Arial Narrow" w:cs="Arial Narrow"/>
          <w:color w:val="000000"/>
          <w:sz w:val="22"/>
          <w:szCs w:val="24"/>
        </w:rPr>
      </w:pPr>
      <w:r>
        <w:rPr>
          <w:rFonts w:ascii="Arial Narrow" w:hAnsi="Arial Narrow" w:cs="Arial Narrow"/>
          <w:sz w:val="22"/>
          <w:szCs w:val="24"/>
        </w:rPr>
        <w:t xml:space="preserve">c)  tovar kódu kombinovanej nomenklatúry  </w:t>
      </w:r>
      <w:r>
        <w:rPr>
          <w:rFonts w:ascii="Arial Narrow" w:hAnsi="Arial Narrow" w:cs="Arial Narrow"/>
          <w:color w:val="000000"/>
          <w:sz w:val="22"/>
          <w:szCs w:val="24"/>
        </w:rPr>
        <w:t>2711 29,</w:t>
      </w:r>
    </w:p>
    <w:p w:rsidR="006A1A04">
      <w:pPr>
        <w:spacing w:before="240"/>
        <w:jc w:val="both"/>
        <w:rPr>
          <w:rFonts w:ascii="Arial Narrow" w:hAnsi="Arial Narrow" w:cs="Arial Narrow"/>
          <w:color w:val="000000"/>
          <w:sz w:val="22"/>
          <w:szCs w:val="24"/>
        </w:rPr>
      </w:pPr>
      <w:r>
        <w:rPr>
          <w:rFonts w:ascii="Arial Narrow" w:hAnsi="Arial Narrow" w:cs="Arial Narrow"/>
          <w:color w:val="000000"/>
          <w:sz w:val="22"/>
          <w:szCs w:val="24"/>
        </w:rPr>
        <w:t>d)  tovar kódu kombinovanej nomenklatúry  2705.</w:t>
      </w:r>
    </w:p>
    <w:p w:rsidR="006A1A04">
      <w:pPr>
        <w:spacing w:before="240"/>
        <w:jc w:val="both"/>
        <w:rPr>
          <w:rFonts w:ascii="Arial Narrow" w:hAnsi="Arial Narrow" w:cs="Arial Narrow"/>
          <w:color w:val="000000"/>
          <w:sz w:val="22"/>
          <w:szCs w:val="24"/>
        </w:rPr>
      </w:pPr>
    </w:p>
    <w:p w:rsidR="006A1A04">
      <w:pPr>
        <w:spacing w:before="240"/>
        <w:jc w:val="both"/>
        <w:rPr>
          <w:rFonts w:ascii="Arial Narrow" w:hAnsi="Arial Narrow" w:cs="Arial Narrow"/>
          <w:color w:val="000000"/>
          <w:sz w:val="22"/>
          <w:szCs w:val="24"/>
        </w:rPr>
      </w:pPr>
    </w:p>
    <w:p w:rsidR="006A1A04">
      <w:pPr>
        <w:spacing w:before="240"/>
        <w:jc w:val="both"/>
        <w:rPr>
          <w:rFonts w:ascii="Arial Narrow" w:hAnsi="Arial Narrow" w:cs="Arial Narrow"/>
          <w:color w:val="000000"/>
          <w:sz w:val="22"/>
          <w:szCs w:val="24"/>
        </w:rPr>
      </w:pPr>
    </w:p>
    <w:p w:rsidR="00BE1E00">
      <w:pPr>
        <w:spacing w:before="240"/>
        <w:jc w:val="both"/>
        <w:rPr>
          <w:rFonts w:ascii="Arial Narrow" w:hAnsi="Arial Narrow" w:cs="Arial Narrow"/>
          <w:color w:val="000000"/>
          <w:sz w:val="22"/>
          <w:szCs w:val="24"/>
        </w:rPr>
      </w:pPr>
    </w:p>
    <w:p w:rsidR="00BE1E00">
      <w:pPr>
        <w:spacing w:before="240"/>
        <w:jc w:val="both"/>
        <w:rPr>
          <w:rFonts w:ascii="Arial Narrow" w:hAnsi="Arial Narrow" w:cs="Arial Narrow"/>
          <w:color w:val="000000"/>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29</w:t>
      </w:r>
    </w:p>
    <w:p w:rsidR="006A1A04">
      <w:pPr>
        <w:jc w:val="center"/>
        <w:rPr>
          <w:rFonts w:ascii="Arial Narrow" w:hAnsi="Arial Narrow" w:cs="Arial Narrow"/>
          <w:b/>
          <w:sz w:val="22"/>
          <w:szCs w:val="24"/>
        </w:rPr>
      </w:pPr>
      <w:r>
        <w:rPr>
          <w:rFonts w:ascii="Arial Narrow" w:hAnsi="Arial Narrow" w:cs="Arial Narrow"/>
          <w:b/>
          <w:sz w:val="22"/>
          <w:szCs w:val="24"/>
        </w:rPr>
        <w:t>Základ dane a výpočet dane</w:t>
      </w:r>
    </w:p>
    <w:p w:rsidR="006A1A04">
      <w:pPr>
        <w:spacing w:before="120"/>
        <w:jc w:val="center"/>
        <w:rPr>
          <w:rFonts w:ascii="Arial Narrow" w:hAnsi="Arial Narrow" w:cs="Arial Narrow"/>
          <w:sz w:val="22"/>
          <w:szCs w:val="24"/>
        </w:rPr>
      </w:pPr>
    </w:p>
    <w:p w:rsidR="006A1A04">
      <w:pPr>
        <w:ind w:firstLine="340"/>
        <w:jc w:val="both"/>
        <w:rPr>
          <w:rFonts w:ascii="Arial Narrow" w:hAnsi="Arial Narrow" w:cs="Arial Narrow"/>
          <w:b/>
          <w:sz w:val="22"/>
          <w:szCs w:val="24"/>
        </w:rPr>
      </w:pPr>
      <w:r>
        <w:rPr>
          <w:rFonts w:ascii="Arial Narrow" w:hAnsi="Arial Narrow" w:cs="Arial Narrow"/>
          <w:sz w:val="22"/>
          <w:szCs w:val="24"/>
        </w:rPr>
        <w:t>(1)  Základom dane je množstvo zemného plynu vyjadrené v kilowatthodinách (kWh).</w:t>
      </w:r>
    </w:p>
    <w:p w:rsidR="006A1A04">
      <w:pPr>
        <w:ind w:left="340"/>
        <w:jc w:val="both"/>
        <w:rPr>
          <w:rFonts w:ascii="Arial Narrow" w:hAnsi="Arial Narrow" w:cs="Arial Narrow"/>
          <w:sz w:val="22"/>
          <w:szCs w:val="24"/>
        </w:rPr>
      </w:pPr>
    </w:p>
    <w:p w:rsidR="006A1A04">
      <w:pPr>
        <w:numPr>
          <w:numId w:val="35"/>
        </w:numPr>
        <w:jc w:val="both"/>
        <w:rPr>
          <w:rFonts w:ascii="Arial Narrow" w:hAnsi="Arial Narrow" w:cs="Arial Narrow"/>
          <w:sz w:val="22"/>
          <w:szCs w:val="24"/>
        </w:rPr>
      </w:pPr>
      <w:r>
        <w:rPr>
          <w:rFonts w:ascii="Arial Narrow" w:hAnsi="Arial Narrow" w:cs="Arial Narrow"/>
          <w:sz w:val="22"/>
          <w:szCs w:val="24"/>
        </w:rPr>
        <w:t>Daň sa vypočíta ako súčin základu dane a príslušnej sadzby dane.</w:t>
      </w:r>
    </w:p>
    <w:p w:rsidR="006A1A04">
      <w:pPr>
        <w:jc w:val="both"/>
        <w:rPr>
          <w:rFonts w:ascii="Arial Narrow" w:hAnsi="Arial Narrow" w:cs="Arial Narrow"/>
          <w:sz w:val="22"/>
          <w:szCs w:val="24"/>
        </w:rPr>
      </w:pPr>
    </w:p>
    <w:p w:rsidR="006A1A04">
      <w:pPr>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30</w:t>
      </w:r>
    </w:p>
    <w:p w:rsidR="006A1A04">
      <w:pPr>
        <w:pStyle w:val="Heading2"/>
        <w:spacing w:before="0"/>
        <w:rPr>
          <w:szCs w:val="24"/>
        </w:rPr>
      </w:pPr>
      <w:r>
        <w:rPr>
          <w:szCs w:val="24"/>
        </w:rPr>
        <w:t>Sadzba dane</w:t>
      </w:r>
    </w:p>
    <w:p w:rsidR="006A1A04">
      <w:pPr>
        <w:rPr>
          <w:rFonts w:ascii="Times New Roman" w:hAnsi="Times New Roman" w:cs="Times New Roman"/>
          <w:szCs w:val="24"/>
        </w:rPr>
      </w:pPr>
    </w:p>
    <w:p w:rsidR="006A1A04">
      <w:pPr>
        <w:numPr>
          <w:numId w:val="216"/>
        </w:numPr>
        <w:jc w:val="both"/>
        <w:rPr>
          <w:rFonts w:ascii="Arial Narrow" w:hAnsi="Arial Narrow" w:cs="Arial Narrow"/>
          <w:sz w:val="22"/>
          <w:szCs w:val="24"/>
        </w:rPr>
      </w:pPr>
      <w:r>
        <w:rPr>
          <w:rFonts w:ascii="Arial Narrow" w:hAnsi="Arial Narrow" w:cs="Arial Narrow"/>
          <w:sz w:val="22"/>
          <w:szCs w:val="24"/>
        </w:rPr>
        <w:t>Sadzba dane na zemný plyn sa ustanovuje od 1.júla  2008 do 31.decembra 2009, ak je používaný ako</w:t>
      </w:r>
    </w:p>
    <w:p w:rsidR="006A1A04">
      <w:pPr>
        <w:spacing w:before="120"/>
        <w:jc w:val="both"/>
        <w:rPr>
          <w:rFonts w:ascii="Arial Narrow" w:hAnsi="Arial Narrow" w:cs="Arial Narrow"/>
          <w:sz w:val="22"/>
          <w:szCs w:val="24"/>
        </w:rPr>
      </w:pPr>
      <w:r>
        <w:rPr>
          <w:rFonts w:ascii="Arial Narrow" w:hAnsi="Arial Narrow" w:cs="Arial Narrow"/>
          <w:sz w:val="22"/>
          <w:szCs w:val="24"/>
        </w:rPr>
        <w:t>a)  pohonná látka                                    vo výške  0,20 Sk/kWh,</w:t>
      </w:r>
    </w:p>
    <w:p w:rsidR="006A1A04">
      <w:pPr>
        <w:spacing w:before="120"/>
        <w:jc w:val="both"/>
        <w:rPr>
          <w:rFonts w:ascii="Arial Narrow" w:hAnsi="Arial Narrow" w:cs="Arial Narrow"/>
          <w:sz w:val="22"/>
          <w:szCs w:val="24"/>
        </w:rPr>
      </w:pPr>
      <w:r>
        <w:rPr>
          <w:rFonts w:ascii="Arial Narrow" w:hAnsi="Arial Narrow" w:cs="Arial Narrow"/>
          <w:sz w:val="22"/>
          <w:szCs w:val="24"/>
        </w:rPr>
        <w:t xml:space="preserve">b)  palivo na výrobu tepla                        vo výške   0,02 Sk/kWh.     </w:t>
      </w:r>
    </w:p>
    <w:p w:rsidR="006A1A04">
      <w:pPr>
        <w:spacing w:before="120"/>
        <w:jc w:val="both"/>
        <w:rPr>
          <w:rFonts w:ascii="Arial Narrow" w:hAnsi="Arial Narrow" w:cs="Arial Narrow"/>
          <w:sz w:val="22"/>
          <w:szCs w:val="24"/>
        </w:rPr>
      </w:pPr>
      <w:r>
        <w:rPr>
          <w:rFonts w:ascii="Arial Narrow" w:hAnsi="Arial Narrow" w:cs="Arial Narrow"/>
          <w:sz w:val="22"/>
          <w:szCs w:val="24"/>
        </w:rPr>
        <w:t xml:space="preserve">    </w:t>
      </w:r>
    </w:p>
    <w:p w:rsidR="006A1A04">
      <w:pPr>
        <w:numPr>
          <w:numId w:val="216"/>
        </w:numPr>
        <w:jc w:val="both"/>
        <w:rPr>
          <w:rFonts w:ascii="Arial Narrow" w:hAnsi="Arial Narrow" w:cs="Arial Narrow"/>
          <w:sz w:val="22"/>
          <w:szCs w:val="24"/>
        </w:rPr>
      </w:pPr>
      <w:r>
        <w:rPr>
          <w:rFonts w:ascii="Arial Narrow" w:hAnsi="Arial Narrow" w:cs="Arial Narrow"/>
          <w:sz w:val="22"/>
          <w:szCs w:val="24"/>
        </w:rPr>
        <w:t>Sadzba dane na zemný plyn sa ustanovuje od 1. januára  2010, ak je používaný ako</w:t>
      </w:r>
    </w:p>
    <w:p w:rsidR="006A1A04">
      <w:pPr>
        <w:spacing w:before="120"/>
        <w:jc w:val="both"/>
        <w:rPr>
          <w:rFonts w:ascii="Arial Narrow" w:hAnsi="Arial Narrow" w:cs="Arial Narrow"/>
          <w:sz w:val="22"/>
          <w:szCs w:val="24"/>
        </w:rPr>
      </w:pPr>
      <w:r>
        <w:rPr>
          <w:rFonts w:ascii="Arial Narrow" w:hAnsi="Arial Narrow" w:cs="Arial Narrow"/>
          <w:sz w:val="22"/>
          <w:szCs w:val="24"/>
        </w:rPr>
        <w:t>a)  pohonná látka                                    vo výške  0,40  Sk/ kWh,</w:t>
      </w:r>
    </w:p>
    <w:p w:rsidR="006A1A04" w:rsidP="00230B41">
      <w:pPr>
        <w:spacing w:before="120"/>
        <w:jc w:val="both"/>
        <w:rPr>
          <w:rFonts w:ascii="Arial Narrow" w:hAnsi="Arial Narrow" w:cs="Arial Narrow"/>
          <w:sz w:val="22"/>
          <w:szCs w:val="24"/>
        </w:rPr>
      </w:pPr>
      <w:r>
        <w:rPr>
          <w:rFonts w:ascii="Arial Narrow" w:hAnsi="Arial Narrow" w:cs="Arial Narrow"/>
          <w:sz w:val="22"/>
          <w:szCs w:val="24"/>
        </w:rPr>
        <w:t xml:space="preserve">b)  palivo na výrobu tepla                        vo výške   0,04 Sk/ kWh.       </w:t>
      </w:r>
    </w:p>
    <w:p w:rsidR="006A1A04">
      <w:pPr>
        <w:jc w:val="both"/>
        <w:rPr>
          <w:rFonts w:ascii="Arial Narrow" w:hAnsi="Arial Narrow" w:cs="Arial Narrow"/>
          <w:sz w:val="22"/>
          <w:szCs w:val="24"/>
        </w:rPr>
      </w:pPr>
      <w:r>
        <w:rPr>
          <w:rFonts w:ascii="Arial Narrow" w:hAnsi="Arial Narrow" w:cs="Arial Narrow"/>
          <w:sz w:val="22"/>
          <w:szCs w:val="24"/>
        </w:rPr>
        <w:t xml:space="preserve"> </w:t>
      </w:r>
    </w:p>
    <w:p w:rsidR="006A1A04">
      <w:pPr>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31</w:t>
      </w:r>
    </w:p>
    <w:p w:rsidR="006A1A04">
      <w:pPr>
        <w:pStyle w:val="Heading3"/>
        <w:spacing w:before="0"/>
        <w:ind w:left="0"/>
        <w:rPr>
          <w:szCs w:val="24"/>
        </w:rPr>
      </w:pPr>
      <w:r>
        <w:rPr>
          <w:szCs w:val="24"/>
        </w:rPr>
        <w:t>Oslobodenie od dane</w:t>
      </w:r>
    </w:p>
    <w:p w:rsidR="006A1A04">
      <w:pPr>
        <w:spacing w:before="120"/>
        <w:ind w:left="284"/>
        <w:rPr>
          <w:rFonts w:ascii="Arial Narrow" w:hAnsi="Arial Narrow" w:cs="Arial Narrow"/>
          <w:sz w:val="22"/>
          <w:szCs w:val="24"/>
        </w:rPr>
      </w:pPr>
    </w:p>
    <w:p w:rsidR="006A1A04">
      <w:pPr>
        <w:ind w:left="340"/>
        <w:jc w:val="both"/>
        <w:rPr>
          <w:rFonts w:ascii="Arial Narrow" w:hAnsi="Arial Narrow" w:cs="Arial Narrow"/>
          <w:sz w:val="22"/>
          <w:szCs w:val="24"/>
        </w:rPr>
      </w:pPr>
      <w:r>
        <w:rPr>
          <w:rFonts w:ascii="Arial Narrow" w:hAnsi="Arial Narrow" w:cs="Arial Narrow"/>
          <w:sz w:val="22"/>
          <w:szCs w:val="24"/>
        </w:rPr>
        <w:t>(1) Od dane je oslobodený zemný plyn, ak je používaný</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duálne použitie,</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 xml:space="preserve">v mineralogických procesoch, </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iný účel ako pohonná látka alebo ako palivo na výrobu tepla,</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kombinovanú  výrobu elektriny a tepla,</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výrobu elektriny,</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ako pohonná látka,</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 xml:space="preserve">koncovým odberateľom zemného plynu v domácnosti, </w:t>
      </w:r>
      <w:r>
        <w:rPr>
          <w:rFonts w:ascii="Arial Narrow" w:hAnsi="Arial Narrow" w:cs="Arial Narrow"/>
          <w:sz w:val="22"/>
          <w:szCs w:val="24"/>
          <w:vertAlign w:val="superscript"/>
        </w:rPr>
        <w:t>7</w:t>
      </w:r>
      <w:r>
        <w:rPr>
          <w:rFonts w:ascii="Arial Narrow" w:hAnsi="Arial Narrow" w:cs="Arial Narrow"/>
          <w:sz w:val="22"/>
          <w:szCs w:val="24"/>
        </w:rPr>
        <w:t>)</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prevádzkové účely a technologické účely v plynárenskom podniku, vrátane strát v technologicky odôvodnenom množstve, a to aj pri preprave zemného plynu alebo distribúcii zemného plynu, pričom  príslušný colný úrad  je oprávnený  na základe rozhodnutia Úradu pre reguláciu sieťových odvetví posúdiť</w:t>
      </w:r>
      <w:r>
        <w:rPr>
          <w:rFonts w:ascii="Arial Narrow" w:hAnsi="Arial Narrow" w:cs="Arial Narrow"/>
          <w:b/>
          <w:sz w:val="22"/>
          <w:szCs w:val="24"/>
        </w:rPr>
        <w:t xml:space="preserve">, </w:t>
      </w:r>
      <w:r>
        <w:rPr>
          <w:rFonts w:ascii="Arial Narrow" w:hAnsi="Arial Narrow" w:cs="Arial Narrow"/>
          <w:sz w:val="22"/>
          <w:szCs w:val="24"/>
        </w:rPr>
        <w:t>či vzniknuté straty zemného plynu  zodpovedajú charakteru činnosti plynárenského podniku a obvyklej výške strát iného plynárenského podniku pri rovnakej alebo obdobnej činnosti,</w:t>
      </w:r>
    </w:p>
    <w:p w:rsidR="006A1A04">
      <w:pPr>
        <w:numPr>
          <w:numId w:val="151"/>
        </w:numPr>
        <w:spacing w:before="120"/>
        <w:jc w:val="both"/>
        <w:rPr>
          <w:rFonts w:ascii="Arial Narrow" w:hAnsi="Arial Narrow" w:cs="Arial Narrow"/>
          <w:sz w:val="22"/>
          <w:szCs w:val="24"/>
        </w:rPr>
      </w:pPr>
      <w:r>
        <w:rPr>
          <w:rFonts w:ascii="Arial Narrow" w:hAnsi="Arial Narrow" w:cs="Arial Narrow"/>
          <w:sz w:val="22"/>
          <w:szCs w:val="24"/>
        </w:rPr>
        <w:t>na výrobu tepla určeného  pre domácnosť.</w:t>
      </w:r>
    </w:p>
    <w:p w:rsidR="006A1A04">
      <w:pPr>
        <w:numPr>
          <w:numId w:val="149"/>
        </w:numPr>
        <w:spacing w:before="120"/>
        <w:ind w:firstLine="340"/>
        <w:jc w:val="both"/>
        <w:rPr>
          <w:rFonts w:ascii="Arial Narrow" w:hAnsi="Arial Narrow" w:cs="Arial Narrow"/>
          <w:sz w:val="22"/>
          <w:szCs w:val="24"/>
        </w:rPr>
      </w:pPr>
      <w:r>
        <w:rPr>
          <w:rFonts w:ascii="Arial Narrow" w:hAnsi="Arial Narrow" w:cs="Arial Narrow"/>
          <w:sz w:val="22"/>
          <w:szCs w:val="24"/>
        </w:rPr>
        <w:t>Od dane je oslobodený aj zemný plyn určený na výrobu stlačeného zemného plynu používaného ako pohonná látka.</w:t>
      </w:r>
    </w:p>
    <w:p w:rsidR="006A1A04">
      <w:pPr>
        <w:numPr>
          <w:numId w:val="149"/>
        </w:numPr>
        <w:spacing w:before="120"/>
        <w:ind w:firstLine="340"/>
        <w:jc w:val="both"/>
        <w:rPr>
          <w:rFonts w:ascii="Arial Narrow" w:hAnsi="Arial Narrow" w:cs="Arial Narrow"/>
          <w:sz w:val="22"/>
          <w:szCs w:val="24"/>
        </w:rPr>
      </w:pPr>
      <w:r>
        <w:rPr>
          <w:rFonts w:ascii="Arial Narrow" w:hAnsi="Arial Narrow" w:cs="Arial Narrow"/>
          <w:sz w:val="22"/>
          <w:szCs w:val="24"/>
        </w:rPr>
        <w:t xml:space="preserve">Od dane je oslobodený aj zemný plyn nachádzajúci sa v bežných nádržiach motorových dopravných prostriedkov, pracovných strojov, klimatizačných, chladiarenských a iných podobných zariadení, pri ich vstupe na daňové územie z členského štátu alebo z územia tretieho štátu, ktorý slúži na ich vlastný pohon alebo prevádzku; bežnou nádržou sa na účely tohto zákona rozumie nádrž, ktorá umožňuje priame použitie pohonnej látky.  </w:t>
      </w:r>
    </w:p>
    <w:p w:rsidR="006A1A04">
      <w:pPr>
        <w:spacing w:before="120"/>
        <w:rPr>
          <w:rFonts w:ascii="Arial Narrow" w:hAnsi="Arial Narrow" w:cs="Arial Narrow"/>
          <w:b/>
          <w:sz w:val="22"/>
          <w:szCs w:val="24"/>
        </w:rPr>
      </w:pPr>
    </w:p>
    <w:p w:rsidR="006A1A04">
      <w:pPr>
        <w:spacing w:before="120"/>
        <w:rPr>
          <w:rFonts w:ascii="Arial Narrow" w:hAnsi="Arial Narrow" w:cs="Arial Narrow"/>
          <w:b/>
          <w:sz w:val="22"/>
          <w:szCs w:val="24"/>
        </w:rPr>
      </w:pPr>
    </w:p>
    <w:p w:rsidR="006A1A04">
      <w:pPr>
        <w:spacing w:before="120"/>
        <w:rPr>
          <w:rFonts w:ascii="Arial Narrow" w:hAnsi="Arial Narrow" w:cs="Arial Narrow"/>
          <w:b/>
          <w:sz w:val="22"/>
          <w:szCs w:val="24"/>
        </w:rPr>
      </w:pPr>
    </w:p>
    <w:p w:rsidR="006A1A04">
      <w:pPr>
        <w:spacing w:before="120"/>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32</w:t>
      </w:r>
    </w:p>
    <w:p w:rsidR="006A1A04">
      <w:pPr>
        <w:pStyle w:val="Heading2"/>
        <w:spacing w:before="0"/>
        <w:rPr>
          <w:szCs w:val="24"/>
        </w:rPr>
      </w:pPr>
      <w:r>
        <w:rPr>
          <w:szCs w:val="24"/>
        </w:rPr>
        <w:t>Oprávnený spotrebiteľ zemného plynu</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Oprávneným spotrebiteľom zemného plynu na účely tohto zákona je právnická osoba alebo fyzická osoba oprávnená používať zemný plyn oslobodený od dane. Právnická osoba alebo fyzická osoba, ktorá chce používať  zemný plyn oslobodený od dane  podľa   § 31 ods. 1 písm. a) až e) a i), je povinná písomne požiadať colný úrad o registráciu oprávneného spotrebiteľa zemného plynu.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  Právnická osoba alebo fyzická osoba, ktorá chce priamo odoberať zemný plyn oslobodený od dane podľa § 31 ods. 1 písm. a) až e) a i),  musí mať  samostatné odberné miesto </w:t>
      </w:r>
      <w:r>
        <w:rPr>
          <w:rStyle w:val="FootnoteReference"/>
          <w:rFonts w:ascii="Arial Narrow" w:hAnsi="Arial Narrow" w:cs="Arial Narrow"/>
          <w:sz w:val="22"/>
          <w:szCs w:val="24"/>
        </w:rPr>
        <w:footnoteReference w:id="19"/>
      </w:r>
      <w:r>
        <w:rPr>
          <w:rFonts w:ascii="Arial Narrow" w:hAnsi="Arial Narrow" w:cs="Arial Narrow"/>
          <w:sz w:val="22"/>
          <w:szCs w:val="24"/>
        </w:rPr>
        <w:t xml:space="preserve">) výlučne na odber zemného plynu oslobodeného od dane a je povinná písomne požiadať colný úrad aj o vydanie povolenia na odber zemného plynu oslobodeného od dane (ďalej len „povolenie na  oslobodený zemný plyn“).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Právnická osoba alebo fyzická osoba, ktorá chce používať zemný plyn oslobodený od dane podľa § 31 ods. 1 písm. a) až e) a i), a ktorá nemá samostatné odberné miesto </w:t>
      </w:r>
      <w:r>
        <w:rPr>
          <w:rFonts w:ascii="Arial Narrow" w:hAnsi="Arial Narrow" w:cs="Arial Narrow"/>
          <w:sz w:val="22"/>
          <w:szCs w:val="24"/>
          <w:vertAlign w:val="superscript"/>
        </w:rPr>
        <w:t>20</w:t>
      </w:r>
      <w:r>
        <w:rPr>
          <w:rFonts w:ascii="Arial Narrow" w:hAnsi="Arial Narrow" w:cs="Arial Narrow"/>
          <w:sz w:val="22"/>
          <w:szCs w:val="24"/>
        </w:rPr>
        <w:t>) výlučne na odber zemného plynu oslobodeného od dane, môže  uplatniť podľa § 37 vrátenie dane z množstva preukázateľne zdaneného zemného plynu skutočne použitého na účely oslobodené od dane za podmienok ustanovených týmto zákonom.</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 Plynárenský podnik, ktorý je zaregistrovaný na colnom úrade ako daňový dlžník, nie je povinný priložiť k žiadosti o registráciu oprávneného spotrebiteľa zemného plynu  a vydanie povolenia na oslobodený zemný plyn prílohu podľa  odseku 6 písm. a).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Žiadosť o registráciu oprávneného spotrebiteľa zemného plynu a o vydanie povolenia na oslobodený zemný plyn musí obsahovať</w:t>
      </w:r>
    </w:p>
    <w:p w:rsidR="006A1A04">
      <w:pPr>
        <w:numPr>
          <w:numId w:val="118"/>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numId w:val="118"/>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118"/>
        </w:numPr>
        <w:spacing w:before="120"/>
        <w:jc w:val="both"/>
        <w:rPr>
          <w:rFonts w:ascii="Arial Narrow" w:hAnsi="Arial Narrow" w:cs="Arial Narrow"/>
          <w:sz w:val="22"/>
          <w:szCs w:val="24"/>
        </w:rPr>
      </w:pPr>
      <w:r>
        <w:rPr>
          <w:rFonts w:ascii="Arial Narrow" w:hAnsi="Arial Narrow" w:cs="Arial Narrow"/>
          <w:sz w:val="22"/>
          <w:szCs w:val="24"/>
        </w:rPr>
        <w:t xml:space="preserve">účel použitia zemného plynu oslobodeného od dane a jeho predpokladané množstvo ročnej spotreby v kilowatthodinách, </w:t>
      </w:r>
    </w:p>
    <w:p w:rsidR="006A1A04">
      <w:pPr>
        <w:numPr>
          <w:numId w:val="118"/>
        </w:numPr>
        <w:spacing w:before="120"/>
        <w:jc w:val="both"/>
        <w:rPr>
          <w:rFonts w:ascii="Arial Narrow" w:hAnsi="Arial Narrow" w:cs="Arial Narrow"/>
          <w:sz w:val="22"/>
          <w:szCs w:val="24"/>
        </w:rPr>
      </w:pPr>
      <w:r>
        <w:rPr>
          <w:rFonts w:ascii="Arial Narrow" w:hAnsi="Arial Narrow" w:cs="Arial Narrow"/>
          <w:sz w:val="22"/>
          <w:szCs w:val="24"/>
        </w:rPr>
        <w:t xml:space="preserve">číslo samostatného odberného miesta, </w:t>
      </w:r>
      <w:r>
        <w:rPr>
          <w:rFonts w:ascii="Arial Narrow" w:hAnsi="Arial Narrow" w:cs="Arial Narrow"/>
          <w:sz w:val="22"/>
          <w:szCs w:val="24"/>
          <w:vertAlign w:val="superscript"/>
        </w:rPr>
        <w:t>20</w:t>
      </w:r>
      <w:r>
        <w:rPr>
          <w:rFonts w:ascii="Arial Narrow" w:hAnsi="Arial Narrow" w:cs="Arial Narrow"/>
          <w:sz w:val="22"/>
          <w:szCs w:val="24"/>
        </w:rPr>
        <w:t xml:space="preserve">) výlučne na odber zemného plynu oslobodeného od dane, ak ide o žiadateľa podľa odseku 2, </w:t>
      </w:r>
    </w:p>
    <w:p w:rsidR="006A1A04">
      <w:pPr>
        <w:numPr>
          <w:numId w:val="118"/>
        </w:numPr>
        <w:spacing w:before="120"/>
        <w:jc w:val="both"/>
        <w:rPr>
          <w:rFonts w:ascii="Arial Narrow" w:hAnsi="Arial Narrow" w:cs="Arial Narrow"/>
          <w:sz w:val="22"/>
          <w:szCs w:val="24"/>
        </w:rPr>
      </w:pPr>
      <w:r>
        <w:rPr>
          <w:rFonts w:ascii="Arial Narrow" w:hAnsi="Arial Narrow" w:cs="Arial Narrow"/>
          <w:sz w:val="22"/>
          <w:szCs w:val="24"/>
        </w:rPr>
        <w:t>identifikačné údaje dodávateľa zemného plynu.</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Prílohami k žiadosti sú</w:t>
      </w:r>
    </w:p>
    <w:p w:rsidR="006A1A04">
      <w:pPr>
        <w:numPr>
          <w:numId w:val="120"/>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120"/>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zemného plynu oslobodeného od dane potrebný na posúdenie oprávnenosti oslobodenia a doklady preukazujúce uvedené skutočnosti,</w:t>
      </w:r>
    </w:p>
    <w:p w:rsidR="006A1A04">
      <w:pPr>
        <w:numPr>
          <w:numId w:val="120"/>
        </w:numPr>
        <w:spacing w:before="120"/>
        <w:jc w:val="both"/>
        <w:rPr>
          <w:rFonts w:ascii="Arial Narrow" w:hAnsi="Arial Narrow" w:cs="Arial Narrow"/>
          <w:sz w:val="22"/>
          <w:szCs w:val="24"/>
        </w:rPr>
      </w:pPr>
      <w:r>
        <w:rPr>
          <w:rFonts w:ascii="Arial Narrow" w:hAnsi="Arial Narrow" w:cs="Arial Narrow"/>
          <w:sz w:val="22"/>
          <w:szCs w:val="24"/>
        </w:rPr>
        <w:t>údaj o celkovom ročnom objeme spotreby zemného plynu a údaj o ročnom objeme spotreby zemného plynu na účely oslobodené od dane; ak nemožno vychádzať zo skutočnej spotreby zemného plynu za predchádzajúci kalendárny rok, žiadateľ vychádza z predpokladaného množstva spotreby zemného plynu za kalendárny rok.</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Colný úrad pred registráciou oprávneného spotrebiteľa zemného plynu a pred vydaním povolenia na oslobodený zemný plyn preverí u žiadateľa údaje uvedené v žiadosti podľa odseku 5 a v prílohách k žiadosti podľa odseku 6. Ak sú tieto</w:t>
      </w:r>
      <w:r>
        <w:rPr>
          <w:rFonts w:ascii="Arial Narrow" w:hAnsi="Arial Narrow" w:cs="Arial Narrow"/>
          <w:b/>
          <w:sz w:val="22"/>
          <w:szCs w:val="24"/>
        </w:rPr>
        <w:t xml:space="preserve"> </w:t>
      </w:r>
      <w:r>
        <w:rPr>
          <w:rFonts w:ascii="Arial Narrow" w:hAnsi="Arial Narrow" w:cs="Arial Narrow"/>
          <w:sz w:val="22"/>
          <w:szCs w:val="24"/>
        </w:rPr>
        <w:t xml:space="preserve">údaje pravdivé, colný úrad  vydá žiadateľovi  osvedčenie o registrácii a žiadateľovi, ktorý má samostatné odberné miesto výlučne na odber zemného plynu  oslobodeného od dane, colný úrad  vydá aj povolenie na oslobodený zemný plyn.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V povolení na oslobodený zemný plyn colný úrad  uvedie údaje podľa odseku 5, okrem rodného čísla a daňového identifikačného čísla, ak obsahuje rodné číslo žiadateľa. Povolenie na oslobodený zemný plyn sa vydá v troch vyhotoveniach; jedno vyhotovenie si ponechá colný úrad a dve vyhotovenia odovzdá oprávnenému spotrebiteľovi zemného plynu, ktorý si jedno vyhotovenie ponechá a jedno vyhotovenie predloží svojmu dodávateľovi zemného plynu, a  ak má viacerých dodávateľov zemného plynu, predloží im osvedčenú kópiu povolenia na oslobodený zemný plyn.</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Oprávnený spotrebiteľ zemného plynu je povinný každú zmenu  údajov podľa odseku 5 a odseku 6 písm. b)  oznámiť colnému úradu do 15 dní odo dňa jej vzniku. Zmenu údajov podľa odseku 6 písm. a) je povinný oznámiť colnému úradu do 15 dní odo dňa podania návrhu na zmenu údajov príslušnému orgánu. Colný úrad s prihliadnutím na rozsah a závažnosť zmien doplní pôvodné povolenie na oslobodený zemný plyn alebo vydá nové povolenie na oslobodený zemný plyn.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Oprávnený spotrebiteľ zemného plynu podľa odseku 2 okrem koncového odberateľa zemného plynu v domácnosti je povinný predložiť dodávateľovi zemného plynu povolenie na oslobodený zemný plyn najneskôr pri prvom odbere zemného plynu oslobodeného od dane. Oprávnený spotrebiteľ zemného plynu okrem koncového odberateľa zemného plynu v domácnosti, je povinný predložiť dodávateľovi zemného plynu údaj o stave meradla ku dňu bezprostredne predchádzajúcemu dňu prvého odberu zemného plynu oslobodeného od dane. Dodávateľ zemného plynu nesmie dodať zemný plyn oslobodený od dane právnickej osobe alebo fyzickej osobe  bez predloženia povolenia na oslobodený zemný plyn.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Oprávnený spotrebiteľ zemného plynu vrátane  koncového odberateľa zemného plynu v domácnosti môže použiť zemný plyn oslobodený od dane iba na účel oslobodený od dane  podľa tohto zákona. </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Colný úrad odníme povolenie na oslobodený zemný plyn, ak oprávnený spotrebiteľ zemného plynu</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opakovane použil zemný plyn oslobodený od dane podľa § 31 ods.1 písm. d) a e) na iný účel, ako oslobodený od dane a výzvy colného úradu a ani uloženie pokuty neviedli k náprave,</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prestal spĺňať podmienky na účely oslobodenia zemného plynu od dane,</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 xml:space="preserve">požiadal o výmaz z obchodného registra alebo z inej evidencie oprávnení na podnikanie ustanovenej osobitným predpisom alebo o zrušenie živnostenského oprávnenia, oznámil ukončenie podnikania alebo bol zrušený, ak nebol zriadený na podnikateľské účely, </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 xml:space="preserve">bola fyzická osoba, ktorá zomrela a ak v podnikaní nepokračuje žiadny z oprávnených dedičov alebo súdom ustanovený správca dedičstva, </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bola fyzická osoba a nadobudlo právoplatnosť rozhodnutie súdu o vyhlásení tejto fyzickej osoby za mŕtvu a ak v podnikaní nepokračuje žiadny z oprávnených dedičov alebo súdom ustanovený správca dedičstva,</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vstúpil do likvidácie,</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požiadal o odňatie povolenia na oslobodený zemný plyn,</w:t>
      </w:r>
    </w:p>
    <w:p w:rsidR="006A1A04">
      <w:pPr>
        <w:numPr>
          <w:numId w:val="116"/>
        </w:numPr>
        <w:spacing w:before="120"/>
        <w:jc w:val="both"/>
        <w:rPr>
          <w:rFonts w:ascii="Arial Narrow" w:hAnsi="Arial Narrow" w:cs="Arial Narrow"/>
          <w:sz w:val="22"/>
          <w:szCs w:val="24"/>
        </w:rPr>
      </w:pPr>
      <w:r>
        <w:rPr>
          <w:rFonts w:ascii="Arial Narrow" w:hAnsi="Arial Narrow" w:cs="Arial Narrow"/>
          <w:sz w:val="22"/>
          <w:szCs w:val="24"/>
        </w:rPr>
        <w:t>nepoužil povolenie na oslobodený zemný plyn na odber zemného plynu oslobodeného od dane v priebehu 12 po sebe nasledujúcich kalendárnych mesiacov odo dňa  jeho vydania.</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Colný úrad odníme povolenie na oslobodený zemný plyn, aj ak nadobudlo právoplatnosť rozhodnutie súdu o vyhlásení konkurzu, o zamietnutí návrhu na vyhlásenie konkurzu pre nedostatok majetku alebo o zrušení konkurzu pre nedostatok majetku, alebo bolo potvrdené nútené vyrovnanie alebo povolené vyrovnanie alebo bola povolená reštrukturalizácia.</w:t>
      </w:r>
    </w:p>
    <w:p w:rsidR="006A1A04">
      <w:pPr>
        <w:numPr>
          <w:numId w:val="106"/>
        </w:numPr>
        <w:spacing w:before="120"/>
        <w:jc w:val="both"/>
        <w:rPr>
          <w:rFonts w:ascii="Arial Narrow" w:hAnsi="Arial Narrow" w:cs="Arial Narrow"/>
          <w:sz w:val="22"/>
          <w:szCs w:val="24"/>
        </w:rPr>
      </w:pPr>
      <w:r>
        <w:rPr>
          <w:rFonts w:ascii="Arial Narrow" w:hAnsi="Arial Narrow" w:cs="Arial Narrow"/>
          <w:sz w:val="22"/>
          <w:szCs w:val="24"/>
        </w:rPr>
        <w:t xml:space="preserve"> Colný úrad zruší registráciu oprávneného spotrebiteľa zemného plynu, ak mu bolo odňaté povolenie na oslobodený zemný plyn podľa odseku 12 písm. a) až f) a odseku 13.</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 xml:space="preserve"> Oprávnený spotrebiteľ zemného plynu ktorému bolo podľa odseku 9 doplnené pôvodné povolenie na oslobodený zemný plyn, vydané nové povolenie na oslobodený zemný plyn, alebo ktorému bolo odňaté povolenie na oslobodený zemný plyn, je povinný doručiť písomnú informáciu o týchto skutočnostiach dodávateľovi zemného plynu najneskôr do troch pracovných dní odo dňa  vzniku týchto skutočností.  Na doručenie tejto informácie sa vzťahuje § 8 ods. 15 druhá veta rovnako.</w:t>
      </w:r>
    </w:p>
    <w:p w:rsidR="006A1A04">
      <w:pPr>
        <w:numPr>
          <w:numId w:val="188"/>
        </w:numPr>
        <w:spacing w:before="120"/>
        <w:jc w:val="both"/>
        <w:rPr>
          <w:rFonts w:ascii="Arial Narrow" w:hAnsi="Arial Narrow" w:cs="Arial Narrow"/>
          <w:sz w:val="22"/>
          <w:szCs w:val="24"/>
        </w:rPr>
      </w:pPr>
      <w:r>
        <w:rPr>
          <w:rFonts w:ascii="Arial Narrow" w:hAnsi="Arial Narrow" w:cs="Arial Narrow"/>
          <w:sz w:val="22"/>
          <w:szCs w:val="24"/>
        </w:rPr>
        <w:t xml:space="preserve">Dodávateľ zemného plynu je povinný zmenu v zdaňovaní alebo v oslobodení od dane uskutočniť po obdržaní písomnej informácie podľa odseku 15. Zmenu vykoná do 15. dňa odo dňa doručenia oznámenia  po vykonaní  merania odberu.   </w:t>
      </w: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33</w:t>
      </w:r>
    </w:p>
    <w:p w:rsidR="006A1A04">
      <w:pPr>
        <w:pStyle w:val="Heading2"/>
        <w:spacing w:before="0"/>
        <w:rPr>
          <w:szCs w:val="24"/>
        </w:rPr>
      </w:pPr>
      <w:r>
        <w:rPr>
          <w:szCs w:val="24"/>
        </w:rPr>
        <w:t>Vznik daňovej povinnosti</w:t>
      </w:r>
    </w:p>
    <w:p w:rsidR="006A1A04">
      <w:pPr>
        <w:numPr>
          <w:numId w:val="107"/>
        </w:numPr>
        <w:spacing w:before="240"/>
        <w:jc w:val="both"/>
        <w:rPr>
          <w:rFonts w:ascii="Arial Narrow" w:hAnsi="Arial Narrow" w:cs="Arial Narrow"/>
          <w:sz w:val="22"/>
          <w:szCs w:val="24"/>
        </w:rPr>
      </w:pPr>
      <w:r>
        <w:rPr>
          <w:rFonts w:ascii="Arial Narrow" w:hAnsi="Arial Narrow" w:cs="Arial Narrow"/>
          <w:sz w:val="22"/>
          <w:szCs w:val="24"/>
        </w:rPr>
        <w:t xml:space="preserve">Daňová povinnosť vzniká dňom </w:t>
      </w:r>
    </w:p>
    <w:p w:rsidR="006A1A04">
      <w:pPr>
        <w:numPr>
          <w:numId w:val="125"/>
        </w:numPr>
        <w:spacing w:before="120"/>
        <w:jc w:val="both"/>
        <w:rPr>
          <w:rFonts w:ascii="Arial Narrow" w:hAnsi="Arial Narrow" w:cs="Arial Narrow"/>
          <w:sz w:val="22"/>
          <w:szCs w:val="24"/>
        </w:rPr>
      </w:pPr>
      <w:r>
        <w:rPr>
          <w:rFonts w:ascii="Arial Narrow" w:hAnsi="Arial Narrow" w:cs="Arial Narrow"/>
          <w:sz w:val="22"/>
          <w:szCs w:val="24"/>
        </w:rPr>
        <w:t>dodania zemného plynu na daňovom území konečnému spotrebiteľovi zemného plynu okrem dodania zemného plynu plynárenskému podniku alebo dodávateľovi zemného plynu,</w:t>
      </w:r>
    </w:p>
    <w:p w:rsidR="006A1A04">
      <w:pPr>
        <w:numPr>
          <w:numId w:val="125"/>
        </w:numPr>
        <w:spacing w:before="120"/>
        <w:jc w:val="both"/>
        <w:rPr>
          <w:rFonts w:ascii="Arial Narrow" w:hAnsi="Arial Narrow" w:cs="Arial Narrow"/>
          <w:sz w:val="22"/>
          <w:szCs w:val="24"/>
        </w:rPr>
      </w:pPr>
      <w:r>
        <w:rPr>
          <w:rFonts w:ascii="Arial Narrow" w:hAnsi="Arial Narrow" w:cs="Arial Narrow"/>
          <w:sz w:val="22"/>
          <w:szCs w:val="24"/>
        </w:rPr>
        <w:t>spotreby zemného plynu na daňovom území plynárenským podnikom alebo dodávateľom zemného plynu.</w:t>
      </w:r>
    </w:p>
    <w:p w:rsidR="006A1A04">
      <w:pPr>
        <w:numPr>
          <w:numId w:val="107"/>
        </w:numPr>
        <w:spacing w:before="240"/>
        <w:jc w:val="both"/>
        <w:rPr>
          <w:rFonts w:ascii="Arial Narrow" w:hAnsi="Arial Narrow" w:cs="Arial Narrow"/>
          <w:sz w:val="22"/>
          <w:szCs w:val="24"/>
        </w:rPr>
      </w:pPr>
      <w:r>
        <w:rPr>
          <w:rFonts w:ascii="Arial Narrow" w:hAnsi="Arial Narrow" w:cs="Arial Narrow"/>
          <w:sz w:val="22"/>
          <w:szCs w:val="24"/>
        </w:rPr>
        <w:t xml:space="preserve">Daňová povinnosť vzniká aj dňom </w:t>
      </w:r>
    </w:p>
    <w:p w:rsidR="006A1A04">
      <w:pPr>
        <w:spacing w:before="120"/>
        <w:jc w:val="both"/>
        <w:rPr>
          <w:rFonts w:ascii="Arial Narrow" w:hAnsi="Arial Narrow" w:cs="Arial Narrow"/>
          <w:sz w:val="22"/>
          <w:szCs w:val="24"/>
        </w:rPr>
      </w:pPr>
      <w:r>
        <w:rPr>
          <w:rFonts w:ascii="Arial Narrow" w:hAnsi="Arial Narrow" w:cs="Arial Narrow"/>
          <w:sz w:val="22"/>
          <w:szCs w:val="24"/>
        </w:rPr>
        <w:t xml:space="preserve">a)    zistenia neoprávneného odberu zemného plynu, </w:t>
      </w:r>
      <w:r>
        <w:rPr>
          <w:rStyle w:val="FootnoteReference"/>
          <w:rFonts w:ascii="Arial Narrow" w:hAnsi="Arial Narrow" w:cs="Arial Narrow"/>
          <w:sz w:val="22"/>
          <w:szCs w:val="24"/>
        </w:rPr>
        <w:footnoteReference w:id="20"/>
      </w:r>
      <w:r>
        <w:rPr>
          <w:rFonts w:ascii="Arial Narrow" w:hAnsi="Arial Narrow" w:cs="Arial Narrow"/>
          <w:sz w:val="22"/>
          <w:szCs w:val="24"/>
        </w:rPr>
        <w:t>)</w:t>
      </w:r>
    </w:p>
    <w:p w:rsidR="006A1A04">
      <w:pPr>
        <w:spacing w:before="120"/>
        <w:jc w:val="both"/>
        <w:rPr>
          <w:rFonts w:ascii="Arial Narrow" w:hAnsi="Arial Narrow" w:cs="Arial Narrow"/>
          <w:sz w:val="22"/>
          <w:szCs w:val="24"/>
        </w:rPr>
      </w:pPr>
      <w:r>
        <w:rPr>
          <w:rFonts w:ascii="Arial Narrow" w:hAnsi="Arial Narrow" w:cs="Arial Narrow"/>
          <w:sz w:val="22"/>
          <w:szCs w:val="24"/>
        </w:rPr>
        <w:t xml:space="preserve">b)    spotreby zemného plynu oslobodeného od dane na iný účel, ako je uvedený  v  §  31.           </w:t>
      </w:r>
    </w:p>
    <w:p w:rsidR="006A1A04">
      <w:pPr>
        <w:numPr>
          <w:numId w:val="107"/>
        </w:numPr>
        <w:tabs>
          <w:tab w:val="num" w:pos="0"/>
          <w:tab w:val="clear" w:pos="340"/>
        </w:tabs>
        <w:spacing w:before="240"/>
        <w:jc w:val="both"/>
        <w:rPr>
          <w:rFonts w:ascii="Arial Narrow" w:hAnsi="Arial Narrow" w:cs="Arial Narrow"/>
          <w:sz w:val="22"/>
          <w:szCs w:val="24"/>
        </w:rPr>
      </w:pPr>
      <w:r>
        <w:rPr>
          <w:rFonts w:ascii="Arial Narrow" w:hAnsi="Arial Narrow" w:cs="Arial Narrow"/>
          <w:sz w:val="22"/>
          <w:szCs w:val="24"/>
        </w:rPr>
        <w:t xml:space="preserve">Dňom dodania zemného plynu pri opakovaných dodávkach, </w:t>
      </w:r>
      <w:r>
        <w:rPr>
          <w:rFonts w:ascii="Arial Narrow" w:hAnsi="Arial Narrow" w:cs="Arial Narrow"/>
          <w:sz w:val="22"/>
          <w:szCs w:val="24"/>
          <w:vertAlign w:val="superscript"/>
        </w:rPr>
        <w:t>18</w:t>
      </w:r>
      <w:r>
        <w:rPr>
          <w:rFonts w:ascii="Arial Narrow" w:hAnsi="Arial Narrow" w:cs="Arial Narrow"/>
          <w:sz w:val="22"/>
          <w:szCs w:val="24"/>
        </w:rPr>
        <w:t>) je najneskôr posledný deň obdobia, na ktoré sa platba za dodané množstvo zemného plynu vzťahuje. Dňom dodania zemného plynu je aj deň, ku ktorému sa vykoná odpočet skutočne dodaného množstva zemného plynu za zúčtovacie obdobie, ak vznikol rozdiel medzi celkovým množstvom zemného plynu dodaného za jednotlivé obdobia, ktoré sú predmetom zúčtovania a skutočne dodaným množstvom zemného plynu za zúčtovacie obdobie. Pri vystavení dobropisu alebo ťarchopisu  pre odberateľa zemného plynu  sa zistený rozdiel na dani uvedie v daňovom priznaní za zdaňovacie obdobie, v ktorom bola vystavená faktúra opravujúca základ dane.  Dňom dodania zemného plynu pri jednorázových dodávkach je deň, keď odberateľ nadobudne právo nakladať so zemným plynom ako vlastník.</w:t>
      </w:r>
    </w:p>
    <w:p w:rsidR="006A1A04">
      <w:pPr>
        <w:numPr>
          <w:numId w:val="107"/>
        </w:numPr>
        <w:spacing w:before="240"/>
        <w:jc w:val="both"/>
        <w:rPr>
          <w:rFonts w:ascii="Arial Narrow" w:hAnsi="Arial Narrow" w:cs="Arial Narrow"/>
          <w:sz w:val="22"/>
          <w:szCs w:val="24"/>
        </w:rPr>
      </w:pPr>
      <w:r>
        <w:rPr>
          <w:rFonts w:ascii="Arial Narrow" w:hAnsi="Arial Narrow" w:cs="Arial Narrow"/>
          <w:sz w:val="22"/>
          <w:szCs w:val="24"/>
        </w:rPr>
        <w:t>Dňom spotreby zemného plynu je najneskôr posledný deň kalendárneho mesiaca, v ktorom došlo k spotrebe zemného plynu.</w:t>
      </w:r>
    </w:p>
    <w:p w:rsidR="006A1A04">
      <w:pPr>
        <w:numPr>
          <w:numId w:val="107"/>
        </w:numPr>
        <w:spacing w:before="240"/>
        <w:jc w:val="both"/>
        <w:rPr>
          <w:rFonts w:ascii="Arial Narrow" w:hAnsi="Arial Narrow" w:cs="Arial Narrow"/>
          <w:sz w:val="22"/>
          <w:szCs w:val="24"/>
        </w:rPr>
      </w:pPr>
      <w:r>
        <w:rPr>
          <w:rFonts w:ascii="Arial Narrow" w:hAnsi="Arial Narrow" w:cs="Arial Narrow"/>
          <w:sz w:val="22"/>
          <w:szCs w:val="24"/>
        </w:rPr>
        <w:t>Daňová povinnosť nevzniká na daňovom území právnickej osobe alebo fyzickej osobe pri dodaní zemného plynu do iného členského štátu alebo na územie tretieho štátu.</w:t>
      </w:r>
    </w:p>
    <w:p w:rsidR="006A1A04">
      <w:pPr>
        <w:spacing w:before="24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34</w:t>
      </w:r>
    </w:p>
    <w:p w:rsidR="006A1A04">
      <w:pPr>
        <w:jc w:val="center"/>
        <w:rPr>
          <w:rFonts w:ascii="Arial Narrow" w:hAnsi="Arial Narrow" w:cs="Arial Narrow"/>
          <w:b/>
          <w:sz w:val="22"/>
          <w:szCs w:val="24"/>
        </w:rPr>
      </w:pPr>
      <w:r>
        <w:rPr>
          <w:rFonts w:ascii="Arial Narrow" w:hAnsi="Arial Narrow" w:cs="Arial Narrow"/>
          <w:b/>
          <w:sz w:val="22"/>
          <w:szCs w:val="24"/>
        </w:rPr>
        <w:t>Daňový dlžník</w:t>
      </w:r>
    </w:p>
    <w:p w:rsidR="006A1A04">
      <w:pPr>
        <w:numPr>
          <w:numId w:val="108"/>
        </w:numPr>
        <w:spacing w:before="240"/>
        <w:jc w:val="both"/>
        <w:rPr>
          <w:rFonts w:ascii="Arial Narrow" w:hAnsi="Arial Narrow" w:cs="Arial Narrow"/>
          <w:sz w:val="22"/>
          <w:szCs w:val="24"/>
        </w:rPr>
      </w:pPr>
      <w:r>
        <w:rPr>
          <w:rFonts w:ascii="Arial Narrow" w:hAnsi="Arial Narrow" w:cs="Arial Narrow"/>
          <w:sz w:val="22"/>
          <w:szCs w:val="24"/>
        </w:rPr>
        <w:t xml:space="preserve">Daňovým dlžníkom na účely tohto zákona je právnická osoba alebo fyzická osoba, ktorá </w:t>
      </w:r>
    </w:p>
    <w:p w:rsidR="006A1A04">
      <w:pPr>
        <w:numPr>
          <w:numId w:val="127"/>
        </w:numPr>
        <w:spacing w:before="120"/>
        <w:jc w:val="both"/>
        <w:rPr>
          <w:rFonts w:ascii="Arial Narrow" w:hAnsi="Arial Narrow" w:cs="Arial Narrow"/>
          <w:sz w:val="22"/>
          <w:szCs w:val="24"/>
        </w:rPr>
      </w:pPr>
      <w:r>
        <w:rPr>
          <w:rFonts w:ascii="Arial Narrow" w:hAnsi="Arial Narrow" w:cs="Arial Narrow"/>
          <w:sz w:val="22"/>
          <w:szCs w:val="24"/>
        </w:rPr>
        <w:t>dodala zemný plyn na daňovom území konečnému spotrebiteľovi zemného plynu okrem</w:t>
      </w:r>
      <w:r>
        <w:rPr>
          <w:rFonts w:ascii="Arial Narrow" w:hAnsi="Arial Narrow" w:cs="Arial Narrow"/>
          <w:b/>
          <w:sz w:val="22"/>
          <w:szCs w:val="24"/>
        </w:rPr>
        <w:t xml:space="preserve"> </w:t>
      </w:r>
      <w:r>
        <w:rPr>
          <w:rFonts w:ascii="Arial Narrow" w:hAnsi="Arial Narrow" w:cs="Arial Narrow"/>
          <w:sz w:val="22"/>
          <w:szCs w:val="24"/>
        </w:rPr>
        <w:t>dodania zemného plynu plynárenskému podniku alebo dodávateľovi zemného plynu,</w:t>
      </w:r>
    </w:p>
    <w:p w:rsidR="006A1A04">
      <w:pPr>
        <w:numPr>
          <w:numId w:val="127"/>
        </w:numPr>
        <w:spacing w:before="120"/>
        <w:jc w:val="both"/>
        <w:rPr>
          <w:rFonts w:ascii="Arial Narrow" w:hAnsi="Arial Narrow" w:cs="Arial Narrow"/>
          <w:sz w:val="22"/>
          <w:szCs w:val="24"/>
        </w:rPr>
      </w:pPr>
      <w:r>
        <w:rPr>
          <w:rFonts w:ascii="Arial Narrow" w:hAnsi="Arial Narrow" w:cs="Arial Narrow"/>
          <w:sz w:val="22"/>
          <w:szCs w:val="24"/>
        </w:rPr>
        <w:t>spotrebovala zemný plyn na daňovom území, a ktorá je plynárenským podnikom alebo dodávateľom zemného plynu.</w:t>
      </w:r>
    </w:p>
    <w:p w:rsidR="006A1A04">
      <w:pPr>
        <w:numPr>
          <w:numId w:val="108"/>
        </w:numPr>
        <w:spacing w:before="240"/>
        <w:jc w:val="both"/>
        <w:rPr>
          <w:rFonts w:ascii="Arial Narrow" w:hAnsi="Arial Narrow" w:cs="Arial Narrow"/>
          <w:sz w:val="22"/>
          <w:szCs w:val="24"/>
        </w:rPr>
      </w:pPr>
      <w:r>
        <w:rPr>
          <w:rFonts w:ascii="Arial Narrow" w:hAnsi="Arial Narrow" w:cs="Arial Narrow"/>
          <w:sz w:val="22"/>
          <w:szCs w:val="24"/>
        </w:rPr>
        <w:t xml:space="preserve">Daňovým dlžníkom je aj </w:t>
      </w:r>
    </w:p>
    <w:p w:rsidR="006A1A04">
      <w:pPr>
        <w:numPr>
          <w:numId w:val="129"/>
        </w:numPr>
        <w:spacing w:before="120"/>
        <w:jc w:val="both"/>
        <w:rPr>
          <w:rFonts w:ascii="Arial Narrow" w:hAnsi="Arial Narrow" w:cs="Arial Narrow"/>
          <w:sz w:val="22"/>
          <w:szCs w:val="24"/>
        </w:rPr>
      </w:pPr>
      <w:r>
        <w:rPr>
          <w:rFonts w:ascii="Arial Narrow" w:hAnsi="Arial Narrow" w:cs="Arial Narrow"/>
          <w:sz w:val="22"/>
          <w:szCs w:val="24"/>
        </w:rPr>
        <w:t>konečný spotrebiteľ zemného plynu okrem koncového odberateľa zemného plynu v domácnosti, ktorému dodala zahraničná osoba zemný plyn na daňovom území,</w:t>
      </w:r>
    </w:p>
    <w:p w:rsidR="006A1A04">
      <w:pPr>
        <w:numPr>
          <w:numId w:val="129"/>
        </w:numPr>
        <w:spacing w:before="120"/>
        <w:jc w:val="both"/>
        <w:rPr>
          <w:rFonts w:ascii="Arial Narrow" w:hAnsi="Arial Narrow" w:cs="Arial Narrow"/>
          <w:sz w:val="22"/>
          <w:szCs w:val="24"/>
        </w:rPr>
      </w:pPr>
      <w:r>
        <w:rPr>
          <w:rFonts w:ascii="Arial Narrow" w:hAnsi="Arial Narrow" w:cs="Arial Narrow"/>
          <w:sz w:val="22"/>
          <w:szCs w:val="24"/>
        </w:rPr>
        <w:t>zahraničná osoba, ktorá dodala zemný plyn na daňovom území koncovému odberateľovi zemného plynu                     v domácnosti,</w:t>
      </w:r>
    </w:p>
    <w:p w:rsidR="006A1A04">
      <w:pPr>
        <w:numPr>
          <w:numId w:val="129"/>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neoprávnene odobrala zemný plyn,</w:t>
      </w:r>
      <w:r>
        <w:rPr>
          <w:rFonts w:ascii="Arial Narrow" w:hAnsi="Arial Narrow" w:cs="Arial Narrow"/>
          <w:sz w:val="22"/>
          <w:szCs w:val="24"/>
          <w:vertAlign w:val="superscript"/>
        </w:rPr>
        <w:t xml:space="preserve"> 21</w:t>
      </w:r>
      <w:r>
        <w:rPr>
          <w:rFonts w:ascii="Arial Narrow" w:hAnsi="Arial Narrow" w:cs="Arial Narrow"/>
          <w:sz w:val="22"/>
          <w:szCs w:val="24"/>
        </w:rPr>
        <w:t xml:space="preserve">) </w:t>
      </w:r>
    </w:p>
    <w:p w:rsidR="006A1A04">
      <w:pPr>
        <w:numPr>
          <w:numId w:val="129"/>
        </w:numPr>
        <w:spacing w:before="120"/>
        <w:jc w:val="both"/>
        <w:rPr>
          <w:rFonts w:ascii="Arial Narrow" w:hAnsi="Arial Narrow" w:cs="Arial Narrow"/>
          <w:sz w:val="22"/>
          <w:szCs w:val="24"/>
        </w:rPr>
      </w:pPr>
      <w:r>
        <w:rPr>
          <w:rFonts w:ascii="Arial Narrow" w:hAnsi="Arial Narrow" w:cs="Arial Narrow"/>
          <w:sz w:val="22"/>
          <w:szCs w:val="24"/>
        </w:rPr>
        <w:t>právnická osoba alebo fyzická osoba, ktorá spotrebovala zemný plyn oslobodený od dane na iný účel, ako je uvedený v § 31.</w:t>
      </w:r>
    </w:p>
    <w:p w:rsidR="006A1A04">
      <w:pPr>
        <w:spacing w:before="240"/>
        <w:jc w:val="center"/>
        <w:rPr>
          <w:rFonts w:ascii="Arial Narrow" w:hAnsi="Arial Narrow" w:cs="Arial Narrow"/>
          <w:b/>
          <w:sz w:val="22"/>
          <w:szCs w:val="24"/>
        </w:rPr>
      </w:pPr>
      <w:r>
        <w:rPr>
          <w:rFonts w:ascii="Arial Narrow" w:hAnsi="Arial Narrow" w:cs="Arial Narrow"/>
          <w:b/>
          <w:sz w:val="22"/>
          <w:szCs w:val="24"/>
        </w:rPr>
        <w:t>§ 35</w:t>
      </w:r>
    </w:p>
    <w:p w:rsidR="006A1A04">
      <w:pPr>
        <w:jc w:val="center"/>
        <w:rPr>
          <w:rFonts w:ascii="Arial Narrow" w:hAnsi="Arial Narrow" w:cs="Arial Narrow"/>
          <w:b/>
          <w:sz w:val="22"/>
          <w:szCs w:val="24"/>
        </w:rPr>
      </w:pPr>
      <w:r>
        <w:rPr>
          <w:rFonts w:ascii="Arial Narrow" w:hAnsi="Arial Narrow" w:cs="Arial Narrow"/>
          <w:b/>
          <w:sz w:val="22"/>
          <w:szCs w:val="24"/>
        </w:rPr>
        <w:t xml:space="preserve">Registrácia </w:t>
      </w:r>
    </w:p>
    <w:p w:rsidR="006A1A04">
      <w:pPr>
        <w:numPr>
          <w:numId w:val="109"/>
        </w:numPr>
        <w:spacing w:before="240"/>
        <w:jc w:val="both"/>
        <w:rPr>
          <w:rFonts w:ascii="Arial Narrow" w:hAnsi="Arial Narrow" w:cs="Arial Narrow"/>
          <w:sz w:val="22"/>
          <w:szCs w:val="24"/>
        </w:rPr>
      </w:pPr>
      <w:r>
        <w:rPr>
          <w:rFonts w:ascii="Arial Narrow" w:hAnsi="Arial Narrow" w:cs="Arial Narrow"/>
          <w:sz w:val="22"/>
          <w:szCs w:val="24"/>
        </w:rPr>
        <w:t>Daňový dlžník podľa § 34 ods. 1 a ods. 2 písm. a) je povinný písomne požiadať colný úrad o registráciu daňového dlžníka najneskôr v deň vzniku prvej daňovej povinnosti.</w:t>
      </w:r>
    </w:p>
    <w:p w:rsidR="006A1A04">
      <w:pPr>
        <w:numPr>
          <w:numId w:val="109"/>
        </w:numPr>
        <w:spacing w:before="240"/>
        <w:jc w:val="both"/>
        <w:rPr>
          <w:rFonts w:ascii="Arial Narrow" w:hAnsi="Arial Narrow" w:cs="Arial Narrow"/>
          <w:sz w:val="22"/>
          <w:szCs w:val="24"/>
        </w:rPr>
      </w:pPr>
      <w:r>
        <w:rPr>
          <w:rFonts w:ascii="Arial Narrow" w:hAnsi="Arial Narrow" w:cs="Arial Narrow"/>
          <w:sz w:val="22"/>
          <w:szCs w:val="24"/>
        </w:rPr>
        <w:t>Žiadosť musí obsahovať</w:t>
      </w:r>
    </w:p>
    <w:p w:rsidR="006A1A04">
      <w:pPr>
        <w:numPr>
          <w:numId w:val="131"/>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numId w:val="131"/>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109"/>
        </w:numPr>
        <w:spacing w:before="120"/>
        <w:jc w:val="both"/>
        <w:rPr>
          <w:rFonts w:ascii="Arial Narrow" w:hAnsi="Arial Narrow" w:cs="Arial Narrow"/>
          <w:sz w:val="22"/>
          <w:szCs w:val="24"/>
        </w:rPr>
      </w:pPr>
      <w:r>
        <w:rPr>
          <w:rFonts w:ascii="Arial Narrow" w:hAnsi="Arial Narrow" w:cs="Arial Narrow"/>
          <w:sz w:val="22"/>
          <w:szCs w:val="24"/>
        </w:rPr>
        <w:t>Prílohou k žiadosti je 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109"/>
        </w:numPr>
        <w:spacing w:before="240"/>
        <w:jc w:val="both"/>
        <w:rPr>
          <w:rFonts w:ascii="Arial Narrow" w:hAnsi="Arial Narrow" w:cs="Arial Narrow"/>
          <w:sz w:val="22"/>
          <w:szCs w:val="24"/>
        </w:rPr>
      </w:pPr>
      <w:r>
        <w:rPr>
          <w:rFonts w:ascii="Arial Narrow" w:hAnsi="Arial Narrow" w:cs="Arial Narrow"/>
          <w:sz w:val="22"/>
          <w:szCs w:val="24"/>
        </w:rPr>
        <w:t>Zahraničná osoba, ktorá je daňovým dlžníkom podľa § 34 ods. 2 písm. b), je povinná písomne požiadať Colný úrad Bratislava o registráciu daňového dlžníka najneskôr v deň vzniku prvej daňovej povinnosti. Na žiadosť sa vzťahujú ustanovenia odsekov  2 a 3 primerane.</w:t>
      </w:r>
    </w:p>
    <w:p w:rsidR="006A1A04">
      <w:pPr>
        <w:numPr>
          <w:numId w:val="109"/>
        </w:numPr>
        <w:spacing w:before="240"/>
        <w:jc w:val="both"/>
        <w:rPr>
          <w:rFonts w:ascii="Arial Narrow" w:hAnsi="Arial Narrow" w:cs="Arial Narrow"/>
          <w:sz w:val="22"/>
          <w:szCs w:val="24"/>
        </w:rPr>
      </w:pPr>
      <w:r>
        <w:rPr>
          <w:rFonts w:ascii="Arial Narrow" w:hAnsi="Arial Narrow" w:cs="Arial Narrow"/>
          <w:sz w:val="22"/>
          <w:szCs w:val="24"/>
        </w:rPr>
        <w:t xml:space="preserve">Podnikateľ, ktorý má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a nakupuje zemný plyn len na účely ďalšieho predaja, a ktorý nie je povinný registrovať sa podľa odseku 1, je povinný písomne požiadať colný úrad o registráciu najneskôr v deň prvého dodania zemného plynu. Na žiadosť sa vzťahujú ustanovenia odsekov  2 a 3 primerane. Doklad o registrácii vydaný colným úradom je tento podnikateľ</w:t>
      </w:r>
      <w:r>
        <w:rPr>
          <w:rFonts w:ascii="Arial Narrow" w:hAnsi="Arial Narrow" w:cs="Arial Narrow"/>
          <w:b/>
          <w:sz w:val="22"/>
          <w:szCs w:val="24"/>
        </w:rPr>
        <w:t xml:space="preserve"> </w:t>
      </w:r>
      <w:r>
        <w:rPr>
          <w:rFonts w:ascii="Arial Narrow" w:hAnsi="Arial Narrow" w:cs="Arial Narrow"/>
          <w:sz w:val="22"/>
          <w:szCs w:val="24"/>
        </w:rPr>
        <w:t>povinný predložiť najneskôr v deň prvého dodania zemného plynu tej právnickej osobe alebo fyzickej osobe, od ktorej  chce zemný plyn  nakupovať</w:t>
      </w:r>
      <w:r>
        <w:rPr>
          <w:rFonts w:ascii="Arial Narrow" w:hAnsi="Arial Narrow" w:cs="Arial Narrow"/>
          <w:b/>
          <w:sz w:val="22"/>
          <w:szCs w:val="24"/>
        </w:rPr>
        <w:t>.</w:t>
      </w:r>
    </w:p>
    <w:p w:rsidR="006A1A04">
      <w:pPr>
        <w:numPr>
          <w:numId w:val="109"/>
        </w:numPr>
        <w:spacing w:before="240"/>
        <w:jc w:val="both"/>
        <w:rPr>
          <w:rFonts w:ascii="Arial Narrow" w:hAnsi="Arial Narrow" w:cs="Arial Narrow"/>
          <w:sz w:val="22"/>
          <w:szCs w:val="24"/>
        </w:rPr>
      </w:pPr>
      <w:r>
        <w:rPr>
          <w:rFonts w:ascii="Arial Narrow" w:hAnsi="Arial Narrow" w:cs="Arial Narrow"/>
          <w:sz w:val="22"/>
          <w:szCs w:val="24"/>
        </w:rPr>
        <w:t>Ako daňový dlžník je povinná registrovať sa aj  právnická  osoba alebo fyzická osoba, ktorá dodáva zemný plyn oslobodený od dane, ak už nie je registrovaná podľa odseku 1, a to najneskôr  v deň prvého dodania zemného plynu  oslobodeného od dane. Na žiadosť sa vzťahujú ustanovenia odsekov  2 a 3.</w:t>
      </w:r>
    </w:p>
    <w:p w:rsidR="006A1A04">
      <w:pPr>
        <w:spacing w:before="24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36</w:t>
      </w:r>
    </w:p>
    <w:p w:rsidR="006A1A04">
      <w:pPr>
        <w:jc w:val="center"/>
        <w:rPr>
          <w:rFonts w:ascii="Arial Narrow" w:hAnsi="Arial Narrow" w:cs="Arial Narrow"/>
          <w:b/>
          <w:sz w:val="22"/>
          <w:szCs w:val="24"/>
        </w:rPr>
      </w:pPr>
      <w:r>
        <w:rPr>
          <w:rFonts w:ascii="Arial Narrow" w:hAnsi="Arial Narrow" w:cs="Arial Narrow"/>
          <w:b/>
          <w:sz w:val="22"/>
          <w:szCs w:val="24"/>
        </w:rPr>
        <w:t>Zdaňovacie obdobie, daňové priznanie, dodatočné daňové priznanie a splatnosť dane</w:t>
      </w:r>
    </w:p>
    <w:p w:rsidR="006A1A04">
      <w:pPr>
        <w:numPr>
          <w:numId w:val="110"/>
        </w:numPr>
        <w:spacing w:before="240"/>
        <w:jc w:val="both"/>
        <w:rPr>
          <w:rFonts w:ascii="Arial Narrow" w:hAnsi="Arial Narrow" w:cs="Arial Narrow"/>
          <w:sz w:val="22"/>
          <w:szCs w:val="24"/>
        </w:rPr>
      </w:pPr>
      <w:r>
        <w:rPr>
          <w:rFonts w:ascii="Arial Narrow" w:hAnsi="Arial Narrow" w:cs="Arial Narrow"/>
          <w:sz w:val="22"/>
          <w:szCs w:val="24"/>
        </w:rPr>
        <w:t>Zdaňovacím obdobím je kalendárny mesiac, ak tento zákon neustanovuje inak.</w:t>
      </w:r>
    </w:p>
    <w:p w:rsidR="006A1A04">
      <w:pPr>
        <w:numPr>
          <w:numId w:val="110"/>
        </w:numPr>
        <w:spacing w:before="120"/>
        <w:jc w:val="both"/>
        <w:rPr>
          <w:rFonts w:ascii="Arial Narrow" w:hAnsi="Arial Narrow" w:cs="Arial Narrow"/>
          <w:sz w:val="22"/>
          <w:szCs w:val="24"/>
        </w:rPr>
      </w:pPr>
      <w:r>
        <w:rPr>
          <w:rFonts w:ascii="Arial Narrow" w:hAnsi="Arial Narrow" w:cs="Arial Narrow"/>
          <w:sz w:val="22"/>
          <w:szCs w:val="24"/>
        </w:rPr>
        <w:t xml:space="preserve">Daňový dlžník je povinný najneskôr do 25. dňa kalendárneho mesiaca nasledujúceho po kalendárnom mesiaci, v ktorom mu vznikla daňová povinnosť, podať colnému úradu daňové priznanie  a v rovnakej lehote zaplatiť daň. Vzor tlačiva daňového priznania, dodatočného daňového priznania, žiadosti o vrátenie dane a dodatočnej žiadosti o vrátenie dane ustanoví všeobecne záväzný právny predpis, ktorý vydá ministerstvo. </w:t>
      </w:r>
    </w:p>
    <w:p w:rsidR="006A1A04">
      <w:pPr>
        <w:numPr>
          <w:numId w:val="110"/>
        </w:numPr>
        <w:spacing w:before="120"/>
        <w:jc w:val="both"/>
        <w:rPr>
          <w:rFonts w:ascii="Arial Narrow" w:hAnsi="Arial Narrow" w:cs="Arial Narrow"/>
          <w:sz w:val="22"/>
          <w:szCs w:val="24"/>
        </w:rPr>
      </w:pPr>
      <w:r>
        <w:rPr>
          <w:rFonts w:ascii="Arial Narrow" w:hAnsi="Arial Narrow" w:cs="Arial Narrow"/>
          <w:sz w:val="22"/>
          <w:szCs w:val="24"/>
        </w:rPr>
        <w:t xml:space="preserve">Daňový dlžník v daňovom priznaní uvedie </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 xml:space="preserve">celkové  množstvo zemného plynu v kilowatthodinách, ktoré dodal, </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množstvo zemného plynu v kilowatthodinách, z množstva zemného plynu podľa písmena a), z ktorého vznikla daňová  povinnosť dodaním,</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množstvo zemného plynu v kilowatthodinách, z množstva zemného plynu podľa písmena a), ktoré dodal na účely oslobodené od dane,</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množstvo zemného plynu v kilowatthodinách, z ktorého vznikla daňová povinnosť spotrebou,</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celkové množstvo zemného plynu v kilowatthodinách, z ktorého vznikla daňová povinnosť,</w:t>
      </w:r>
    </w:p>
    <w:p w:rsidR="006A1A04">
      <w:pPr>
        <w:numPr>
          <w:numId w:val="198"/>
        </w:numPr>
        <w:spacing w:before="120"/>
        <w:jc w:val="both"/>
        <w:rPr>
          <w:rFonts w:ascii="Arial Narrow" w:hAnsi="Arial Narrow" w:cs="Arial Narrow"/>
          <w:sz w:val="22"/>
          <w:szCs w:val="24"/>
        </w:rPr>
      </w:pPr>
      <w:r>
        <w:rPr>
          <w:rFonts w:ascii="Arial Narrow" w:hAnsi="Arial Narrow" w:cs="Arial Narrow"/>
          <w:sz w:val="22"/>
          <w:szCs w:val="24"/>
        </w:rPr>
        <w:t>výslednú daň, ktorá pripadá na množstvo zemného plynu, z ktorého vznikla daňová povinnosť.</w:t>
      </w:r>
    </w:p>
    <w:p w:rsidR="006A1A04">
      <w:pPr>
        <w:numPr>
          <w:numId w:val="110"/>
        </w:numPr>
        <w:spacing w:before="120"/>
        <w:jc w:val="both"/>
        <w:rPr>
          <w:rFonts w:ascii="Arial Narrow" w:hAnsi="Arial Narrow" w:cs="Arial Narrow"/>
          <w:sz w:val="22"/>
          <w:szCs w:val="24"/>
        </w:rPr>
      </w:pPr>
      <w:r>
        <w:rPr>
          <w:rFonts w:ascii="Arial Narrow" w:hAnsi="Arial Narrow" w:cs="Arial Narrow"/>
          <w:sz w:val="22"/>
          <w:szCs w:val="24"/>
        </w:rPr>
        <w:t>Pri preddavkovej platbe sa za dodané množstvo zemného plynu považuje predpokladané množstvo spotrebovaného zemného plynu, na ktoré sa preddavková platba vzťahuje.</w:t>
      </w:r>
    </w:p>
    <w:p w:rsidR="006A1A04">
      <w:pPr>
        <w:numPr>
          <w:numId w:val="110"/>
        </w:numPr>
        <w:spacing w:before="120"/>
        <w:jc w:val="both"/>
        <w:rPr>
          <w:rFonts w:ascii="Arial Narrow" w:hAnsi="Arial Narrow" w:cs="Arial Narrow"/>
          <w:sz w:val="22"/>
          <w:szCs w:val="24"/>
        </w:rPr>
      </w:pPr>
      <w:r>
        <w:rPr>
          <w:rFonts w:ascii="Arial Narrow" w:hAnsi="Arial Narrow" w:cs="Arial Narrow"/>
          <w:sz w:val="22"/>
          <w:szCs w:val="24"/>
        </w:rPr>
        <w:t>Daňový dlžník je povinný vypočítať daň sám. Výsledná daň sa zaokrúhľuje na celé koruny smerom nahor.</w:t>
      </w:r>
    </w:p>
    <w:p w:rsidR="006A1A04">
      <w:pPr>
        <w:numPr>
          <w:numId w:val="110"/>
        </w:numPr>
        <w:spacing w:before="120"/>
        <w:jc w:val="both"/>
        <w:rPr>
          <w:rFonts w:ascii="Arial Narrow" w:hAnsi="Arial Narrow" w:cs="Arial Narrow"/>
          <w:sz w:val="22"/>
          <w:szCs w:val="24"/>
        </w:rPr>
      </w:pPr>
      <w:r>
        <w:rPr>
          <w:rFonts w:ascii="Arial Narrow" w:hAnsi="Arial Narrow" w:cs="Arial Narrow"/>
          <w:sz w:val="22"/>
          <w:szCs w:val="24"/>
        </w:rPr>
        <w:t xml:space="preserve">Ak daňový dlžník zistí, že podané daňové priznanie je nesprávne alebo neúplné a jeho oprava má za následok </w:t>
      </w:r>
    </w:p>
    <w:p w:rsidR="006A1A04">
      <w:pPr>
        <w:numPr>
          <w:ilvl w:val="1"/>
          <w:numId w:val="198"/>
        </w:numPr>
        <w:spacing w:before="240"/>
        <w:jc w:val="both"/>
        <w:rPr>
          <w:rFonts w:ascii="Arial Narrow" w:hAnsi="Arial Narrow" w:cs="Arial Narrow"/>
          <w:sz w:val="22"/>
          <w:szCs w:val="24"/>
        </w:rPr>
      </w:pPr>
      <w:r>
        <w:rPr>
          <w:rFonts w:ascii="Arial Narrow" w:hAnsi="Arial Narrow" w:cs="Arial Narrow"/>
          <w:sz w:val="22"/>
          <w:szCs w:val="24"/>
        </w:rPr>
        <w:t>zvýšenie dane, je povinný podať colnému úradu dodatočné daňové priznanie bezodkladne po zistení nesprávnosti alebo neúplnosti daňového priznania a zaplatiť daň do desiatich pracovných dní odo dňa podania dodatočného daňového priznania,</w:t>
      </w:r>
    </w:p>
    <w:p w:rsidR="006A1A04">
      <w:pPr>
        <w:numPr>
          <w:ilvl w:val="1"/>
          <w:numId w:val="198"/>
        </w:numPr>
        <w:spacing w:before="240"/>
        <w:jc w:val="both"/>
        <w:rPr>
          <w:rFonts w:ascii="Arial Narrow" w:hAnsi="Arial Narrow" w:cs="Arial Narrow"/>
          <w:sz w:val="22"/>
          <w:szCs w:val="24"/>
        </w:rPr>
      </w:pPr>
      <w:r>
        <w:rPr>
          <w:rFonts w:ascii="Arial Narrow" w:hAnsi="Arial Narrow" w:cs="Arial Narrow"/>
          <w:sz w:val="22"/>
          <w:szCs w:val="24"/>
        </w:rPr>
        <w:t xml:space="preserve">zníženie dane, môže uplatniť vrátenie dane v dodatočnom daňovom priznaní. </w:t>
      </w:r>
    </w:p>
    <w:p w:rsidR="006A1A04">
      <w:pPr>
        <w:numPr>
          <w:numId w:val="110"/>
        </w:numPr>
        <w:spacing w:before="240"/>
        <w:jc w:val="both"/>
        <w:rPr>
          <w:rFonts w:ascii="Arial Narrow" w:hAnsi="Arial Narrow" w:cs="Arial Narrow"/>
          <w:sz w:val="22"/>
          <w:szCs w:val="24"/>
        </w:rPr>
      </w:pPr>
      <w:r>
        <w:rPr>
          <w:rFonts w:ascii="Arial Narrow" w:hAnsi="Arial Narrow" w:cs="Arial Narrow"/>
          <w:sz w:val="22"/>
          <w:szCs w:val="24"/>
        </w:rPr>
        <w:t xml:space="preserve">Dodatočné daňové priznanie musí byť označené ako „Dodatočné“. V dodatočnom daňovom priznaní sa uvedie zdaňovacie obdobie, ktorého sa dodatočné daňové priznanie týka a uvedú sa aj rozdiely oproti pôvodne podanému daňovému priznaniu. Colný úrad vráti daň do 30 dní odo dňa podania dodatočného daňového priznania. </w:t>
      </w:r>
    </w:p>
    <w:p w:rsidR="006A1A04">
      <w:pPr>
        <w:numPr>
          <w:numId w:val="110"/>
        </w:numPr>
        <w:spacing w:before="240"/>
        <w:jc w:val="both"/>
        <w:rPr>
          <w:rFonts w:ascii="Arial Narrow" w:hAnsi="Arial Narrow" w:cs="Arial Narrow"/>
          <w:sz w:val="22"/>
          <w:szCs w:val="24"/>
        </w:rPr>
      </w:pPr>
      <w:r>
        <w:rPr>
          <w:rFonts w:ascii="Arial Narrow" w:hAnsi="Arial Narrow" w:cs="Arial Narrow"/>
          <w:sz w:val="22"/>
          <w:szCs w:val="24"/>
        </w:rPr>
        <w:t>Na dodatočné daňové priznanie sa neprihliadne, ak colný úrad už začal daňovú kontrolu smerujúcu k preskúmaniu skutočností rozhodujúcich pre správne určenie dane alebo uplatneného vrátenia dane za zdaňovacie obdobie, ktorého by sa dodatočné daňové priznanie týkalo.</w:t>
      </w:r>
    </w:p>
    <w:p w:rsidR="006A1A04">
      <w:pPr>
        <w:numPr>
          <w:numId w:val="110"/>
        </w:numPr>
        <w:spacing w:before="240"/>
        <w:jc w:val="both"/>
        <w:rPr>
          <w:rFonts w:ascii="Arial Narrow" w:hAnsi="Arial Narrow" w:cs="Arial Narrow"/>
          <w:sz w:val="22"/>
          <w:szCs w:val="24"/>
        </w:rPr>
      </w:pPr>
      <w:r>
        <w:rPr>
          <w:rFonts w:ascii="Arial Narrow" w:hAnsi="Arial Narrow" w:cs="Arial Narrow"/>
          <w:sz w:val="22"/>
          <w:szCs w:val="24"/>
        </w:rPr>
        <w:t xml:space="preserve">Daňový dlžník, ktorého daňová povinnosť za zdaňovacie obdobie nepresiahne 100 Sk, nie je povinný podať daňové priznanie a zaplatiť daň.  </w:t>
      </w:r>
    </w:p>
    <w:p w:rsidR="006A1A04">
      <w:pPr>
        <w:spacing w:before="12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37</w:t>
      </w:r>
    </w:p>
    <w:p w:rsidR="006A1A04">
      <w:pPr>
        <w:pStyle w:val="Heading2"/>
        <w:spacing w:before="0"/>
        <w:rPr>
          <w:szCs w:val="24"/>
        </w:rPr>
      </w:pPr>
      <w:r>
        <w:rPr>
          <w:szCs w:val="24"/>
        </w:rPr>
        <w:t>Vrátenie dane</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 xml:space="preserve">Daň možno vrátiť za podmienok ustanovených týmto zákonom z preukázateľne zdaneného zemného plynu na daňovom území oprávnenému spotrebiteľovi zemného plynu uvedenému v § 32 ods. 3, ak takýto zemný plyn preukázateľne spotreboval na účely oslobodené od dane.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Vrátenie dane sa uplatní v žiadosti o vrátenie dane alebo v dodatočnej žiadosti o vrátenie dane na tlačive podľa § 36 ods. 2, okrem odseku 7, kedy sa vrátenie dane uplatní  v dodatočnom  daňovom priznaní.</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Preukázateľne zdaneným zemným plynom na účely tohto zákona je zemný plyn, ktorého zdanenie je doložené dokladom potvrdzujúcim jeho nadobudnutie za cenu s daňou a dokladom potvrdzujúcim zaplatenie dane v cene zemného plynu, napríklad výpisom z účtu v banke alebo v pobočke zahraničnej banky alebo dokladom potvrdzujúcim zaplatenie dane colnému úradu.</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 xml:space="preserve">Preukázateľne spotrebovaným množstvom zemného plynu na účely oslobodené od dane na účely tohto zákona je množstvo zemného plynu odmerané určeným meradlom, </w:t>
      </w:r>
      <w:r>
        <w:rPr>
          <w:rFonts w:ascii="Arial Narrow" w:hAnsi="Arial Narrow" w:cs="Arial Narrow"/>
          <w:sz w:val="22"/>
          <w:szCs w:val="24"/>
          <w:vertAlign w:val="superscript"/>
        </w:rPr>
        <w:t>19</w:t>
      </w:r>
      <w:r>
        <w:rPr>
          <w:rFonts w:ascii="Arial Narrow" w:hAnsi="Arial Narrow" w:cs="Arial Narrow"/>
          <w:sz w:val="22"/>
          <w:szCs w:val="24"/>
        </w:rPr>
        <w:t xml:space="preserve">) ktoré sa nachádza na mieste odsúhlasenom colným úradom, a ktoré je opatrené na daňové účely uzáverou colného úradu. V odôvodnených prípadoch môže colný úrad povoliť, na základe písomnej žiadosti právnickej osoby alebo fyzickej osoby,   spôsob výpočtu a preukazovania spotreby zemného plynu na účely oslobodené od dane na účely vrátenia dane aj iným spôsobom.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Žiadosť o vrátenie dane možno podať colnému úradu za zdaňovacie obdobie až po skončení toho kalendárneho mesiaca, v ktorom boli splnené podmienky na uplatnenie vrátenia dane, najneskôr však do troch rokov od konca kalendárneho mesiaca, v ktorom možnosť na uplatnenie vrátenia dane vznikla; na základe žiadosti o vrátenie dane podanej po uplynutí tejto lehoty nemožno daň vrátiť.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Ak žiadateľom o vrátenie dane je oprávnený spotrebiteľ zemného plynu, ktorý platí za dodané množstvo zemného plynu formou preddavkovej platby, vrátenie dane si uplatní v lehote</w:t>
      </w:r>
      <w:r>
        <w:rPr>
          <w:rFonts w:ascii="Arial Narrow" w:hAnsi="Arial Narrow" w:cs="Arial Narrow"/>
          <w:b/>
          <w:sz w:val="22"/>
          <w:szCs w:val="24"/>
        </w:rPr>
        <w:t xml:space="preserve"> </w:t>
      </w:r>
      <w:r>
        <w:rPr>
          <w:rFonts w:ascii="Arial Narrow" w:hAnsi="Arial Narrow" w:cs="Arial Narrow"/>
          <w:sz w:val="22"/>
          <w:szCs w:val="24"/>
        </w:rPr>
        <w:t xml:space="preserve">troch rokov od skončenia zúčtovacieho obdobia. Žiadosť o vrátenie dane musí byť doložená dokladmi preukazujúcimi použitie zemného plynu na účely oslobodené od dane.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Daň možno vrátiť aj daňovému dlžníkovi, ak už daň zaplatil a ak daň vypočítal</w:t>
      </w:r>
    </w:p>
    <w:p w:rsidR="006A1A04">
      <w:pPr>
        <w:numPr>
          <w:ilvl w:val="2"/>
          <w:numId w:val="198"/>
        </w:numPr>
        <w:spacing w:before="240"/>
        <w:jc w:val="both"/>
        <w:rPr>
          <w:rFonts w:ascii="Arial Narrow" w:hAnsi="Arial Narrow" w:cs="Arial Narrow"/>
          <w:sz w:val="22"/>
          <w:szCs w:val="24"/>
        </w:rPr>
      </w:pPr>
      <w:r>
        <w:rPr>
          <w:rFonts w:ascii="Arial Narrow" w:hAnsi="Arial Narrow" w:cs="Arial Narrow"/>
          <w:sz w:val="22"/>
          <w:szCs w:val="24"/>
        </w:rPr>
        <w:t xml:space="preserve">daňový dlžník v neprospech odberateľa zemného plynu, ktorému vyhotovil dobropis, </w:t>
      </w:r>
    </w:p>
    <w:p w:rsidR="006A1A04">
      <w:pPr>
        <w:numPr>
          <w:ilvl w:val="2"/>
          <w:numId w:val="198"/>
        </w:numPr>
        <w:spacing w:before="240"/>
        <w:jc w:val="both"/>
        <w:rPr>
          <w:rFonts w:ascii="Arial Narrow" w:hAnsi="Arial Narrow" w:cs="Arial Narrow"/>
          <w:sz w:val="22"/>
          <w:szCs w:val="24"/>
        </w:rPr>
      </w:pPr>
      <w:r>
        <w:rPr>
          <w:rFonts w:ascii="Arial Narrow" w:hAnsi="Arial Narrow" w:cs="Arial Narrow"/>
          <w:sz w:val="22"/>
          <w:szCs w:val="24"/>
        </w:rPr>
        <w:t xml:space="preserve">daňový dlžník vo svoj neprospech, </w:t>
      </w:r>
    </w:p>
    <w:p w:rsidR="006A1A04">
      <w:pPr>
        <w:numPr>
          <w:ilvl w:val="1"/>
          <w:numId w:val="198"/>
        </w:numPr>
        <w:spacing w:before="240"/>
        <w:jc w:val="both"/>
        <w:rPr>
          <w:rFonts w:ascii="Arial Narrow" w:hAnsi="Arial Narrow" w:cs="Arial Narrow"/>
          <w:sz w:val="22"/>
          <w:szCs w:val="24"/>
        </w:rPr>
      </w:pPr>
      <w:r>
        <w:rPr>
          <w:rFonts w:ascii="Arial Narrow" w:hAnsi="Arial Narrow" w:cs="Arial Narrow"/>
          <w:sz w:val="22"/>
          <w:szCs w:val="24"/>
        </w:rPr>
        <w:t>colný úrad v neprospech daňového dlžníka, o čom písomne informuje daňového dlžníka.</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 xml:space="preserve">Ak oprávnený spotrebiteľ zemného plynu zistí, že podaná žiadosť o vrátenie dane je nesprávna alebo neúplná a jej oprava má za následok </w:t>
      </w:r>
    </w:p>
    <w:p w:rsidR="006A1A04">
      <w:pPr>
        <w:numPr>
          <w:ilvl w:val="2"/>
          <w:numId w:val="198"/>
        </w:numPr>
        <w:spacing w:before="240"/>
        <w:jc w:val="both"/>
        <w:rPr>
          <w:rFonts w:ascii="Arial Narrow" w:hAnsi="Arial Narrow" w:cs="Arial Narrow"/>
          <w:sz w:val="22"/>
          <w:szCs w:val="24"/>
        </w:rPr>
      </w:pPr>
      <w:r>
        <w:rPr>
          <w:rFonts w:ascii="Arial Narrow" w:hAnsi="Arial Narrow" w:cs="Arial Narrow"/>
          <w:sz w:val="22"/>
          <w:szCs w:val="24"/>
        </w:rPr>
        <w:t>zníženie uplatneného vrátenia dane, je povinný podať colnému úradu dodatočnú žiadosť o vrátenie dane bezodkladne po zistení nesprávnosti alebo neúplnosti žiadosti o vrátenie dane a zaplatiť daň do desiatich pracovných dní odo dňa podania dodatočnej žiadosti o vrátenie dane, ak daň už bola vrátená,</w:t>
      </w:r>
    </w:p>
    <w:p w:rsidR="006A1A04">
      <w:pPr>
        <w:numPr>
          <w:ilvl w:val="2"/>
          <w:numId w:val="198"/>
        </w:numPr>
        <w:spacing w:before="240"/>
        <w:jc w:val="both"/>
        <w:rPr>
          <w:rFonts w:ascii="Arial Narrow" w:hAnsi="Arial Narrow" w:cs="Arial Narrow"/>
          <w:sz w:val="22"/>
          <w:szCs w:val="24"/>
        </w:rPr>
      </w:pPr>
      <w:r>
        <w:rPr>
          <w:rFonts w:ascii="Arial Narrow" w:hAnsi="Arial Narrow" w:cs="Arial Narrow"/>
          <w:sz w:val="22"/>
          <w:szCs w:val="24"/>
        </w:rPr>
        <w:t xml:space="preserve">zvýšenie uplatneného vrátenia dane, môže uplatniť vrátenie dane v dodatočnej žiadosti o vrátenie dane; to platí aj v prípade, ak túto skutočnosť zistí colný úrad.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 xml:space="preserve">Dodatočná žiadosť o vrátenie dane musí byť označená ako „Dodatočná“.  V dodatočnej žiadosti o vrátenie dane sa uvedie zdaňovacie obdobie, ktorého sa dodatočná žiadosť o vrátenie dane týka a uvedú sa aj rozdiely oproti pôvodne podanej žiadosti o vrátenie dane. Dodatočnú žiadosť o vrátenie dane možno podať do troch rokov od konca zdaňovacieho obdobia, ktorého sa týka; na základe dodatočnej žiadosti o vrátenie dane podanej po uplynutí tejto lehoty nemožno daň vrátiť.   </w:t>
      </w:r>
    </w:p>
    <w:p w:rsidR="006A1A04">
      <w:pPr>
        <w:numPr>
          <w:numId w:val="210"/>
        </w:numPr>
        <w:spacing w:before="240"/>
        <w:jc w:val="both"/>
        <w:rPr>
          <w:rFonts w:ascii="Arial Narrow" w:hAnsi="Arial Narrow" w:cs="Arial Narrow"/>
          <w:sz w:val="22"/>
          <w:szCs w:val="24"/>
        </w:rPr>
      </w:pPr>
      <w:r>
        <w:rPr>
          <w:rFonts w:ascii="Arial Narrow" w:hAnsi="Arial Narrow" w:cs="Arial Narrow"/>
          <w:sz w:val="22"/>
          <w:szCs w:val="24"/>
        </w:rPr>
        <w:t>Colný úrad vráti daň do 30 dní odo dňa podania žiadosti o vrátenie dane alebo dodatočnej žiadosti o vrátenie dane, ak sú splnené podmienky na vrátenie dane ustanovené týmto zákonom. Ak colný úrad v tejto lehote začne daňovú kontrolu smerujúcu k preskúmaniu skutočností rozhodujúcich pre správne určenie dane alebo uplatneného vrátenia dane a zistí, že žiadosť o vrátenie dane alebo dodatočná žiadosť o vrátenie dane je oprávnená, vráti daň do 15 dní odo dňa ukončenia daňovej kontroly.</w:t>
      </w:r>
    </w:p>
    <w:p w:rsidR="006A1A04">
      <w:pPr>
        <w:spacing w:before="120"/>
        <w:jc w:val="both"/>
        <w:rPr>
          <w:rFonts w:ascii="Arial Narrow" w:hAnsi="Arial Narrow" w:cs="Arial Narrow"/>
          <w:sz w:val="22"/>
          <w:szCs w:val="24"/>
        </w:rPr>
      </w:pPr>
    </w:p>
    <w:p w:rsidR="006A1A04">
      <w:pPr>
        <w:spacing w:before="120"/>
        <w:jc w:val="both"/>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Vedenie evidencií</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38</w:t>
      </w:r>
    </w:p>
    <w:p w:rsidR="006A1A04">
      <w:pPr>
        <w:numPr>
          <w:numId w:val="214"/>
        </w:numPr>
        <w:tabs>
          <w:tab w:val="num" w:pos="0"/>
          <w:tab w:val="clear" w:pos="340"/>
        </w:tabs>
        <w:spacing w:before="120" w:line="360" w:lineRule="auto"/>
        <w:ind w:left="0" w:firstLine="340"/>
        <w:jc w:val="both"/>
        <w:rPr>
          <w:rFonts w:ascii="Arial Narrow" w:hAnsi="Arial Narrow" w:cs="Arial Narrow"/>
          <w:sz w:val="22"/>
          <w:szCs w:val="24"/>
        </w:rPr>
      </w:pPr>
      <w:r>
        <w:rPr>
          <w:rFonts w:ascii="Arial Narrow" w:hAnsi="Arial Narrow" w:cs="Arial Narrow"/>
          <w:sz w:val="22"/>
          <w:szCs w:val="24"/>
        </w:rPr>
        <w:t xml:space="preserve">Daňový dlžník je povinný priebežne viesť evidenciu množstva zemného plynu   v kilowatthodinách,  </w:t>
      </w:r>
    </w:p>
    <w:p w:rsidR="006A1A04">
      <w:pPr>
        <w:spacing w:before="120" w:line="360" w:lineRule="auto"/>
        <w:jc w:val="both"/>
        <w:rPr>
          <w:rFonts w:ascii="Arial Narrow" w:hAnsi="Arial Narrow" w:cs="Arial Narrow"/>
          <w:sz w:val="22"/>
          <w:szCs w:val="24"/>
        </w:rPr>
      </w:pPr>
      <w:r>
        <w:rPr>
          <w:rFonts w:ascii="Arial Narrow" w:hAnsi="Arial Narrow" w:cs="Arial Narrow"/>
          <w:sz w:val="22"/>
          <w:szCs w:val="24"/>
        </w:rPr>
        <w:t>a)    vyrobeného,</w:t>
      </w:r>
    </w:p>
    <w:p w:rsidR="006A1A04">
      <w:pPr>
        <w:spacing w:before="120" w:line="360" w:lineRule="auto"/>
        <w:jc w:val="both"/>
        <w:rPr>
          <w:rFonts w:ascii="Arial Narrow" w:hAnsi="Arial Narrow" w:cs="Arial Narrow"/>
          <w:sz w:val="22"/>
          <w:szCs w:val="24"/>
        </w:rPr>
      </w:pPr>
      <w:r>
        <w:rPr>
          <w:rFonts w:ascii="Arial Narrow" w:hAnsi="Arial Narrow" w:cs="Arial Narrow"/>
          <w:sz w:val="22"/>
          <w:szCs w:val="24"/>
        </w:rPr>
        <w:t>b)    odobratého,</w:t>
      </w:r>
    </w:p>
    <w:p w:rsidR="006A1A04">
      <w:pPr>
        <w:numPr>
          <w:numId w:val="131"/>
        </w:numPr>
        <w:spacing w:before="120"/>
        <w:jc w:val="both"/>
        <w:rPr>
          <w:rFonts w:ascii="Arial Narrow" w:hAnsi="Arial Narrow" w:cs="Arial Narrow"/>
          <w:sz w:val="22"/>
          <w:szCs w:val="24"/>
        </w:rPr>
      </w:pPr>
      <w:r>
        <w:rPr>
          <w:rFonts w:ascii="Arial Narrow" w:hAnsi="Arial Narrow" w:cs="Arial Narrow"/>
          <w:sz w:val="22"/>
          <w:szCs w:val="24"/>
        </w:rPr>
        <w:t>dodaného, z toho na</w:t>
      </w:r>
    </w:p>
    <w:p w:rsidR="006A1A04">
      <w:pPr>
        <w:spacing w:before="120" w:after="120"/>
        <w:ind w:left="357"/>
        <w:jc w:val="both"/>
        <w:rPr>
          <w:rFonts w:ascii="Arial Narrow" w:hAnsi="Arial Narrow" w:cs="Arial Narrow"/>
          <w:sz w:val="22"/>
          <w:szCs w:val="24"/>
        </w:rPr>
      </w:pPr>
      <w:r>
        <w:rPr>
          <w:rFonts w:ascii="Arial Narrow" w:hAnsi="Arial Narrow" w:cs="Arial Narrow"/>
          <w:sz w:val="22"/>
          <w:szCs w:val="24"/>
        </w:rPr>
        <w:t>1. účely ďalšieho predaja,</w:t>
      </w:r>
    </w:p>
    <w:p w:rsidR="006A1A04">
      <w:pPr>
        <w:ind w:left="357"/>
        <w:jc w:val="both"/>
        <w:rPr>
          <w:rFonts w:ascii="Arial Narrow" w:hAnsi="Arial Narrow" w:cs="Arial Narrow"/>
          <w:sz w:val="22"/>
          <w:szCs w:val="24"/>
        </w:rPr>
      </w:pPr>
      <w:r>
        <w:rPr>
          <w:rFonts w:ascii="Arial Narrow" w:hAnsi="Arial Narrow" w:cs="Arial Narrow"/>
          <w:sz w:val="22"/>
          <w:szCs w:val="24"/>
        </w:rPr>
        <w:t xml:space="preserve">2. účely oslobodené od dane okrem dodania zemného plynu koncovému odberateľovi zemného plynu </w:t>
      </w:r>
    </w:p>
    <w:p w:rsidR="006A1A04">
      <w:pPr>
        <w:ind w:left="357"/>
        <w:jc w:val="both"/>
        <w:rPr>
          <w:rFonts w:ascii="Arial Narrow" w:hAnsi="Arial Narrow" w:cs="Arial Narrow"/>
          <w:sz w:val="22"/>
          <w:szCs w:val="24"/>
        </w:rPr>
      </w:pPr>
      <w:r>
        <w:rPr>
          <w:rFonts w:ascii="Arial Narrow" w:hAnsi="Arial Narrow" w:cs="Arial Narrow"/>
          <w:sz w:val="22"/>
          <w:szCs w:val="24"/>
        </w:rPr>
        <w:t xml:space="preserve">    v  domácnosti,</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3. účely oslobodené od dane koncovému odberateľovi  zemného plynu v domácnosti,</w:t>
      </w:r>
    </w:p>
    <w:p w:rsidR="006A1A04">
      <w:pPr>
        <w:spacing w:before="120"/>
        <w:ind w:left="360"/>
        <w:jc w:val="both"/>
        <w:rPr>
          <w:rFonts w:ascii="Arial Narrow" w:hAnsi="Arial Narrow" w:cs="Arial Narrow"/>
          <w:sz w:val="22"/>
          <w:szCs w:val="24"/>
        </w:rPr>
      </w:pPr>
      <w:r>
        <w:rPr>
          <w:rFonts w:ascii="Arial Narrow" w:hAnsi="Arial Narrow" w:cs="Arial Narrow"/>
          <w:sz w:val="22"/>
          <w:szCs w:val="24"/>
        </w:rPr>
        <w:t>4. spotrebu konečnému spotrebiteľovi zemného plynu,</w:t>
      </w:r>
    </w:p>
    <w:p w:rsidR="006A1A04">
      <w:pPr>
        <w:numPr>
          <w:numId w:val="131"/>
        </w:numPr>
        <w:spacing w:before="120"/>
        <w:jc w:val="both"/>
        <w:rPr>
          <w:rFonts w:ascii="Arial Narrow" w:hAnsi="Arial Narrow" w:cs="Arial Narrow"/>
          <w:sz w:val="22"/>
          <w:szCs w:val="24"/>
        </w:rPr>
      </w:pPr>
      <w:r>
        <w:rPr>
          <w:rFonts w:ascii="Arial Narrow" w:hAnsi="Arial Narrow" w:cs="Arial Narrow"/>
          <w:sz w:val="22"/>
          <w:szCs w:val="24"/>
        </w:rPr>
        <w:t>použitého na vlastnú spotrebu,</w:t>
      </w:r>
    </w:p>
    <w:p w:rsidR="006A1A04">
      <w:pPr>
        <w:numPr>
          <w:numId w:val="131"/>
        </w:numPr>
        <w:spacing w:before="120" w:after="120"/>
        <w:ind w:left="357" w:hanging="357"/>
        <w:jc w:val="both"/>
        <w:rPr>
          <w:rFonts w:ascii="Arial Narrow" w:hAnsi="Arial Narrow" w:cs="Arial Narrow"/>
          <w:sz w:val="22"/>
          <w:szCs w:val="24"/>
        </w:rPr>
      </w:pPr>
      <w:r>
        <w:rPr>
          <w:rFonts w:ascii="Arial Narrow" w:hAnsi="Arial Narrow" w:cs="Arial Narrow"/>
          <w:sz w:val="22"/>
          <w:szCs w:val="24"/>
        </w:rPr>
        <w:t xml:space="preserve">použitého na prevádzkové účely a  technologické účely v  plynárenskom podniku a  z toho straty v technologicky odôvodnenom množstve, a to aj pri preprave zemného plynu alebo distribúcii zemného plynu. </w:t>
      </w:r>
    </w:p>
    <w:p w:rsidR="006A1A04">
      <w:pPr>
        <w:numPr>
          <w:numId w:val="214"/>
        </w:numPr>
        <w:tabs>
          <w:tab w:val="num" w:pos="0"/>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 xml:space="preserve">Podnikateľ, ktorý má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a ktorý  je povinný požiadať colný úrad o registráciu  podľa  § 35 ods. 5, vedie evidenciu primerane podľa odseku 1.</w:t>
      </w:r>
    </w:p>
    <w:p w:rsidR="006A1A04">
      <w:pPr>
        <w:spacing w:before="120"/>
        <w:jc w:val="center"/>
        <w:rPr>
          <w:rFonts w:ascii="Arial Narrow" w:hAnsi="Arial Narrow" w:cs="Arial Narrow"/>
          <w:b/>
          <w:sz w:val="22"/>
          <w:szCs w:val="24"/>
        </w:rPr>
      </w:pPr>
    </w:p>
    <w:p w:rsidR="006A1A04">
      <w:pPr>
        <w:spacing w:before="120"/>
        <w:jc w:val="center"/>
        <w:rPr>
          <w:rFonts w:ascii="Arial Narrow" w:hAnsi="Arial Narrow" w:cs="Arial Narrow"/>
          <w:b/>
          <w:sz w:val="22"/>
          <w:szCs w:val="24"/>
        </w:rPr>
      </w:pPr>
      <w:r>
        <w:rPr>
          <w:rFonts w:ascii="Arial Narrow" w:hAnsi="Arial Narrow" w:cs="Arial Narrow"/>
          <w:b/>
          <w:sz w:val="22"/>
          <w:szCs w:val="24"/>
        </w:rPr>
        <w:t>§  39</w:t>
      </w:r>
    </w:p>
    <w:p w:rsidR="006A1A04">
      <w:pPr>
        <w:numPr>
          <w:numId w:val="190"/>
        </w:numPr>
        <w:spacing w:before="240"/>
        <w:jc w:val="both"/>
        <w:rPr>
          <w:rFonts w:ascii="Arial Narrow" w:hAnsi="Arial Narrow" w:cs="Arial Narrow"/>
          <w:sz w:val="22"/>
          <w:szCs w:val="24"/>
        </w:rPr>
      </w:pPr>
      <w:r>
        <w:rPr>
          <w:rFonts w:ascii="Arial Narrow" w:hAnsi="Arial Narrow" w:cs="Arial Narrow"/>
          <w:sz w:val="22"/>
          <w:szCs w:val="24"/>
        </w:rPr>
        <w:t xml:space="preserve">Oprávnený spotrebiteľ zemného plynu uvedený v § 32 ods. 2 je povinný priebežne viesť evidenciu množstva zemného plynu v kilowatthodinách, </w:t>
      </w:r>
    </w:p>
    <w:p w:rsidR="006A1A04">
      <w:pPr>
        <w:numPr>
          <w:numId w:val="201"/>
        </w:numPr>
        <w:spacing w:before="120"/>
        <w:jc w:val="both"/>
        <w:rPr>
          <w:rFonts w:ascii="Arial Narrow" w:hAnsi="Arial Narrow" w:cs="Arial Narrow"/>
          <w:sz w:val="22"/>
          <w:szCs w:val="24"/>
        </w:rPr>
      </w:pPr>
      <w:r>
        <w:rPr>
          <w:rFonts w:ascii="Arial Narrow" w:hAnsi="Arial Narrow" w:cs="Arial Narrow"/>
          <w:sz w:val="22"/>
          <w:szCs w:val="24"/>
        </w:rPr>
        <w:t>odobratého na účely oslobodené od dane,</w:t>
      </w:r>
    </w:p>
    <w:p w:rsidR="006A1A04">
      <w:pPr>
        <w:numPr>
          <w:numId w:val="201"/>
        </w:numPr>
        <w:spacing w:before="120"/>
        <w:jc w:val="both"/>
        <w:rPr>
          <w:rFonts w:ascii="Arial Narrow" w:hAnsi="Arial Narrow" w:cs="Arial Narrow"/>
          <w:sz w:val="22"/>
          <w:szCs w:val="24"/>
        </w:rPr>
      </w:pPr>
      <w:r>
        <w:rPr>
          <w:rFonts w:ascii="Arial Narrow" w:hAnsi="Arial Narrow" w:cs="Arial Narrow"/>
          <w:sz w:val="22"/>
          <w:szCs w:val="24"/>
        </w:rPr>
        <w:t>použitého na účely oslobodené od dane,</w:t>
      </w:r>
    </w:p>
    <w:p w:rsidR="006A1A04">
      <w:pPr>
        <w:numPr>
          <w:numId w:val="201"/>
        </w:numPr>
        <w:spacing w:before="120"/>
        <w:jc w:val="both"/>
        <w:rPr>
          <w:rFonts w:ascii="Arial Narrow" w:hAnsi="Arial Narrow" w:cs="Arial Narrow"/>
          <w:sz w:val="22"/>
          <w:szCs w:val="24"/>
        </w:rPr>
      </w:pPr>
      <w:r>
        <w:rPr>
          <w:rFonts w:ascii="Arial Narrow" w:hAnsi="Arial Narrow" w:cs="Arial Narrow"/>
          <w:sz w:val="22"/>
          <w:szCs w:val="24"/>
        </w:rPr>
        <w:t>použitého na iný  účel ako je uvedený v § 31.</w:t>
      </w:r>
    </w:p>
    <w:p w:rsidR="006A1A04">
      <w:pPr>
        <w:numPr>
          <w:numId w:val="190"/>
        </w:numPr>
        <w:spacing w:before="240"/>
        <w:jc w:val="both"/>
        <w:rPr>
          <w:rFonts w:ascii="Arial Narrow" w:hAnsi="Arial Narrow" w:cs="Arial Narrow"/>
          <w:sz w:val="22"/>
          <w:szCs w:val="24"/>
        </w:rPr>
      </w:pPr>
      <w:r>
        <w:rPr>
          <w:rFonts w:ascii="Arial Narrow" w:hAnsi="Arial Narrow" w:cs="Arial Narrow"/>
          <w:sz w:val="22"/>
          <w:szCs w:val="24"/>
        </w:rPr>
        <w:t>Oprávnený spotrebiteľ zemného plynu uvedený v § 32 ods. 3 je povinný priebežne viesť evidenciu množstva zemného plynu  v kilowatthodinách</w:t>
      </w:r>
    </w:p>
    <w:p w:rsidR="006A1A04">
      <w:pPr>
        <w:numPr>
          <w:ilvl w:val="1"/>
          <w:numId w:val="190"/>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odobratého,</w:t>
      </w:r>
    </w:p>
    <w:p w:rsidR="006A1A04">
      <w:pPr>
        <w:numPr>
          <w:ilvl w:val="1"/>
          <w:numId w:val="190"/>
        </w:numPr>
        <w:tabs>
          <w:tab w:val="clear" w:pos="1440"/>
        </w:tabs>
        <w:spacing w:before="120"/>
        <w:ind w:left="360"/>
        <w:jc w:val="both"/>
        <w:rPr>
          <w:rFonts w:ascii="Arial Narrow" w:hAnsi="Arial Narrow" w:cs="Arial Narrow"/>
          <w:sz w:val="22"/>
          <w:szCs w:val="24"/>
        </w:rPr>
      </w:pPr>
      <w:r>
        <w:rPr>
          <w:rFonts w:ascii="Arial Narrow" w:hAnsi="Arial Narrow" w:cs="Arial Narrow"/>
          <w:sz w:val="22"/>
          <w:szCs w:val="24"/>
        </w:rPr>
        <w:t>použitého na účely oslobodené od dane.</w:t>
      </w:r>
    </w:p>
    <w:p w:rsidR="006A1A04">
      <w:pPr>
        <w:spacing w:before="120"/>
        <w:rPr>
          <w:rFonts w:ascii="Arial Narrow" w:hAnsi="Arial Narrow" w:cs="Arial Narrow"/>
          <w:sz w:val="22"/>
          <w:szCs w:val="24"/>
        </w:rPr>
      </w:pPr>
    </w:p>
    <w:p w:rsidR="006A1A04">
      <w:pPr>
        <w:spacing w:before="120"/>
        <w:jc w:val="center"/>
        <w:rPr>
          <w:rFonts w:ascii="Arial Narrow" w:hAnsi="Arial Narrow" w:cs="Arial Narrow"/>
          <w:b/>
          <w:sz w:val="22"/>
          <w:szCs w:val="24"/>
        </w:rPr>
      </w:pPr>
      <w:r>
        <w:rPr>
          <w:rFonts w:ascii="Arial Narrow" w:hAnsi="Arial Narrow" w:cs="Arial Narrow"/>
          <w:b/>
          <w:sz w:val="22"/>
          <w:szCs w:val="24"/>
        </w:rPr>
        <w:t>PIATA  ČASŤ</w:t>
      </w:r>
    </w:p>
    <w:p w:rsidR="006A1A04">
      <w:pPr>
        <w:jc w:val="center"/>
        <w:rPr>
          <w:rFonts w:ascii="Arial Narrow" w:hAnsi="Arial Narrow" w:cs="Arial Narrow"/>
          <w:b/>
          <w:sz w:val="22"/>
          <w:szCs w:val="24"/>
        </w:rPr>
      </w:pPr>
      <w:r>
        <w:rPr>
          <w:rFonts w:ascii="Arial Narrow" w:hAnsi="Arial Narrow" w:cs="Arial Narrow"/>
          <w:b/>
          <w:sz w:val="22"/>
          <w:szCs w:val="24"/>
        </w:rPr>
        <w:t>SPOLOČNÉ,  PRECHODNÉ  A  ZÁVEREĆNÉ  USTANOVENIA</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Spoločné ustanovenia</w:t>
      </w:r>
    </w:p>
    <w:p w:rsidR="006A1A04" w:rsidP="00E90832">
      <w:pPr>
        <w:spacing w:before="240"/>
        <w:jc w:val="center"/>
        <w:rPr>
          <w:rFonts w:ascii="Arial Narrow" w:hAnsi="Arial Narrow" w:cs="Arial Narrow"/>
          <w:b/>
          <w:sz w:val="22"/>
          <w:szCs w:val="24"/>
        </w:rPr>
      </w:pPr>
      <w:r>
        <w:rPr>
          <w:rFonts w:ascii="Arial Narrow" w:hAnsi="Arial Narrow" w:cs="Arial Narrow"/>
          <w:b/>
          <w:sz w:val="22"/>
          <w:szCs w:val="24"/>
        </w:rPr>
        <w:t>§ 40</w:t>
      </w:r>
    </w:p>
    <w:p w:rsidR="006A1A04">
      <w:pPr>
        <w:spacing w:before="120"/>
        <w:jc w:val="center"/>
        <w:rPr>
          <w:rFonts w:ascii="Arial Narrow" w:hAnsi="Arial Narrow" w:cs="Arial Narrow"/>
          <w:b/>
          <w:sz w:val="22"/>
          <w:szCs w:val="24"/>
        </w:rPr>
      </w:pPr>
      <w:r>
        <w:rPr>
          <w:rFonts w:ascii="Arial Narrow" w:hAnsi="Arial Narrow" w:cs="Arial Narrow"/>
          <w:b/>
          <w:sz w:val="22"/>
          <w:szCs w:val="24"/>
        </w:rPr>
        <w:t xml:space="preserve">Osobitná úprava oslobodenia od dane z elektriny, uhlia a zemného plynu používaných osobami  iných štátov, ktoré požívajú výsady  a  imunity podľa  medzinárodných zmlúv </w:t>
      </w:r>
    </w:p>
    <w:p w:rsidR="006A1A04">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Narrow" w:hAnsi="Arial Narrow" w:cs="Arial Narrow"/>
          <w:color w:val="000000"/>
          <w:sz w:val="22"/>
          <w:szCs w:val="24"/>
        </w:rPr>
      </w:pPr>
    </w:p>
    <w:p w:rsidR="006A1A04">
      <w:pPr>
        <w:numPr>
          <w:numId w:val="82"/>
        </w:numPr>
        <w:tabs>
          <w:tab w:val="num" w:pos="0"/>
          <w:tab w:val="clear" w:pos="340"/>
          <w:tab w:val="left" w:pos="720"/>
          <w:tab w:val="left" w:pos="1440"/>
          <w:tab w:val="left" w:pos="2160"/>
          <w:tab w:val="left" w:pos="2880"/>
          <w:tab w:val="left" w:pos="3600"/>
          <w:tab w:val="left" w:pos="4320"/>
        </w:tabs>
        <w:autoSpaceDE w:val="0"/>
        <w:autoSpaceDN w:val="0"/>
        <w:adjustRightInd w:val="0"/>
        <w:spacing w:line="12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Na účely tohto zákona osobou iného štátu, ktorá požíva výsady a imunity podľa medzinárodnej     zmluvy, </w:t>
      </w:r>
      <w:r>
        <w:rPr>
          <w:rStyle w:val="FootnoteReference"/>
          <w:rFonts w:ascii="Arial Narrow" w:hAnsi="Arial Narrow" w:cs="Arial Narrow"/>
          <w:color w:val="000000"/>
          <w:sz w:val="22"/>
          <w:szCs w:val="24"/>
        </w:rPr>
        <w:footnoteReference w:id="21"/>
      </w:r>
      <w:r>
        <w:rPr>
          <w:rFonts w:ascii="Arial Narrow" w:hAnsi="Arial Narrow" w:cs="Arial Narrow"/>
          <w:color w:val="000000"/>
          <w:sz w:val="22"/>
          <w:szCs w:val="24"/>
        </w:rPr>
        <w:t>)  (ďalej len „zahraničný zástupca“)  je</w:t>
      </w:r>
    </w:p>
    <w:p w:rsidR="006A1A04">
      <w:pPr>
        <w:tabs>
          <w:tab w:val="left" w:pos="0"/>
          <w:tab w:val="left" w:pos="540"/>
          <w:tab w:val="left" w:pos="2160"/>
          <w:tab w:val="left" w:pos="2880"/>
          <w:tab w:val="left" w:pos="3600"/>
          <w:tab w:val="left" w:pos="432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a)  diplomatická misia a konzulárny úrad so sídlom na území Slovenskej republiky okrem konzulárneho    </w:t>
      </w:r>
    </w:p>
    <w:p w:rsidR="006A1A04">
      <w:pPr>
        <w:tabs>
          <w:tab w:val="left" w:pos="0"/>
          <w:tab w:val="left" w:pos="540"/>
          <w:tab w:val="left" w:pos="2160"/>
          <w:tab w:val="left" w:pos="2880"/>
          <w:tab w:val="left" w:pos="3600"/>
          <w:tab w:val="left" w:pos="4320"/>
        </w:tabs>
        <w:autoSpaceDE w:val="0"/>
        <w:autoSpaceDN w:val="0"/>
        <w:adjustRightInd w:val="0"/>
        <w:spacing w:after="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      úradu vedeného honorárnym konzulom,</w:t>
      </w:r>
    </w:p>
    <w:p w:rsidR="006A1A04">
      <w:pPr>
        <w:tabs>
          <w:tab w:val="left" w:pos="-180"/>
          <w:tab w:val="left" w:pos="540"/>
          <w:tab w:val="left" w:pos="2160"/>
          <w:tab w:val="left" w:pos="2880"/>
          <w:tab w:val="left" w:pos="3600"/>
          <w:tab w:val="left" w:pos="4320"/>
        </w:tabs>
        <w:autoSpaceDE w:val="0"/>
        <w:autoSpaceDN w:val="0"/>
        <w:adjustRightInd w:val="0"/>
        <w:spacing w:line="240" w:lineRule="atLeast"/>
        <w:ind w:left="181" w:hanging="181"/>
        <w:jc w:val="both"/>
        <w:rPr>
          <w:rFonts w:ascii="Arial Narrow" w:hAnsi="Arial Narrow" w:cs="Arial Narrow"/>
          <w:color w:val="000000"/>
          <w:sz w:val="22"/>
          <w:szCs w:val="24"/>
        </w:rPr>
      </w:pPr>
      <w:r>
        <w:rPr>
          <w:rFonts w:ascii="Arial Narrow" w:hAnsi="Arial Narrow" w:cs="Arial Narrow"/>
          <w:color w:val="000000"/>
          <w:sz w:val="22"/>
          <w:szCs w:val="24"/>
        </w:rPr>
        <w:t xml:space="preserve">b)  medzinárodná organizácia a jej oblastná úradovňa so sídlom na území Slovenskej republiky, ktorá je zriadená  </w:t>
      </w:r>
    </w:p>
    <w:p w:rsidR="006A1A04">
      <w:pPr>
        <w:tabs>
          <w:tab w:val="left" w:pos="-180"/>
          <w:tab w:val="left" w:pos="540"/>
          <w:tab w:val="left" w:pos="2160"/>
          <w:tab w:val="left" w:pos="2880"/>
          <w:tab w:val="left" w:pos="3600"/>
          <w:tab w:val="left" w:pos="4320"/>
        </w:tabs>
        <w:autoSpaceDE w:val="0"/>
        <w:autoSpaceDN w:val="0"/>
        <w:adjustRightInd w:val="0"/>
        <w:spacing w:line="240" w:lineRule="atLeast"/>
        <w:ind w:left="181" w:hanging="181"/>
        <w:jc w:val="both"/>
        <w:rPr>
          <w:rFonts w:ascii="Arial Narrow" w:hAnsi="Arial Narrow" w:cs="Arial Narrow"/>
          <w:color w:val="000000"/>
          <w:sz w:val="22"/>
          <w:szCs w:val="24"/>
        </w:rPr>
      </w:pPr>
      <w:r>
        <w:rPr>
          <w:rFonts w:ascii="Arial Narrow" w:hAnsi="Arial Narrow" w:cs="Arial Narrow"/>
          <w:color w:val="000000"/>
          <w:sz w:val="22"/>
          <w:szCs w:val="24"/>
        </w:rPr>
        <w:t xml:space="preserve">     podľa medzinárodnej zmluvy. </w:t>
      </w:r>
      <w:r>
        <w:rPr>
          <w:rFonts w:ascii="Arial Narrow" w:hAnsi="Arial Narrow" w:cs="Arial Narrow"/>
          <w:color w:val="000000"/>
          <w:sz w:val="22"/>
          <w:szCs w:val="24"/>
          <w:vertAlign w:val="superscript"/>
        </w:rPr>
        <w:t>22</w:t>
      </w:r>
      <w:r>
        <w:rPr>
          <w:rFonts w:ascii="Arial Narrow" w:hAnsi="Arial Narrow" w:cs="Arial Narrow"/>
          <w:color w:val="000000"/>
          <w:sz w:val="22"/>
          <w:szCs w:val="24"/>
        </w:rPr>
        <w:t>)</w:t>
      </w:r>
    </w:p>
    <w:p w:rsidR="006A1A04">
      <w:pPr>
        <w:numPr>
          <w:numId w:val="82"/>
        </w:num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Od dane je oslobodená elektrina, </w:t>
      </w:r>
      <w:r>
        <w:rPr>
          <w:rFonts w:ascii="Arial Narrow" w:hAnsi="Arial Narrow" w:cs="Arial Narrow"/>
          <w:sz w:val="22"/>
          <w:szCs w:val="24"/>
        </w:rPr>
        <w:t xml:space="preserve">uhlie </w:t>
      </w:r>
      <w:r>
        <w:rPr>
          <w:rFonts w:ascii="Arial Narrow" w:hAnsi="Arial Narrow" w:cs="Arial Narrow"/>
          <w:color w:val="000000"/>
          <w:sz w:val="22"/>
          <w:szCs w:val="24"/>
        </w:rPr>
        <w:t xml:space="preserve">a zemný plyn používané zahraničným zástupcom. </w:t>
      </w:r>
    </w:p>
    <w:p w:rsidR="006A1A04">
      <w:pPr>
        <w:numPr>
          <w:numId w:val="82"/>
        </w:num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Oslobodenie od dane sa poskytuje zahraničnému zástupcovi tých štátov, ktoré poskytujú obdobné</w:t>
      </w:r>
    </w:p>
    <w:p w:rsidR="006A1A04">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 zvýhodnenie osobám Slovenskej republiky, ktoré požívajú výsady a imunity podľa medzinárodnej zmluvy</w:t>
      </w:r>
      <w:r>
        <w:rPr>
          <w:rFonts w:ascii="Arial Narrow" w:hAnsi="Arial Narrow" w:cs="Arial Narrow"/>
          <w:b/>
          <w:color w:val="000000"/>
          <w:sz w:val="22"/>
          <w:szCs w:val="24"/>
          <w:vertAlign w:val="superscript"/>
        </w:rPr>
        <w:t xml:space="preserve"> </w:t>
      </w:r>
      <w:r>
        <w:rPr>
          <w:rFonts w:ascii="Arial Narrow" w:hAnsi="Arial Narrow" w:cs="Arial Narrow"/>
          <w:color w:val="000000"/>
          <w:sz w:val="22"/>
          <w:szCs w:val="24"/>
          <w:vertAlign w:val="superscript"/>
        </w:rPr>
        <w:t>22</w:t>
      </w:r>
      <w:r>
        <w:rPr>
          <w:rFonts w:ascii="Arial Narrow" w:hAnsi="Arial Narrow" w:cs="Arial Narrow"/>
          <w:color w:val="000000"/>
          <w:sz w:val="22"/>
          <w:szCs w:val="24"/>
        </w:rPr>
        <w:t>)</w:t>
      </w:r>
      <w:r>
        <w:rPr>
          <w:rFonts w:ascii="Arial Narrow" w:hAnsi="Arial Narrow" w:cs="Arial Narrow"/>
          <w:color w:val="000000"/>
          <w:sz w:val="22"/>
          <w:szCs w:val="24"/>
          <w:vertAlign w:val="superscript"/>
        </w:rPr>
        <w:t xml:space="preserve"> </w:t>
      </w:r>
      <w:r>
        <w:rPr>
          <w:rFonts w:ascii="Arial Narrow" w:hAnsi="Arial Narrow" w:cs="Arial Narrow"/>
          <w:color w:val="000000"/>
          <w:sz w:val="22"/>
          <w:szCs w:val="24"/>
        </w:rPr>
        <w:t>(ďalej len "slovenský zástupca").</w:t>
      </w:r>
    </w:p>
    <w:p w:rsidR="006A1A04">
      <w:pPr>
        <w:numPr>
          <w:numId w:val="8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Ak iný štát neposkytuje obdobné zvýhodnenie slovenskému zástupcovi v rozsahu poskytovanom Slovenskou republikou, prizná sa zahraničnému zástupcovi tohto štátu obdobné zvýhodnenie najviac v takom rozsahu, v akom obdobné zvýhodnenie poskytuje tento štát slovenskému zástupcovi. Vzájomnosť sa nevzťahuje na medzinárodnú organizáciu a jej oblastnú úradovňu podľa odseku 1 písm. b).</w:t>
      </w:r>
    </w:p>
    <w:p w:rsidR="006A1A04">
      <w:pPr>
        <w:numPr>
          <w:numId w:val="8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Zahraničný zástupca, ktorý chce používať elektrinu oslobodenú od dane alebo </w:t>
      </w:r>
      <w:r>
        <w:rPr>
          <w:rFonts w:ascii="Arial Narrow" w:hAnsi="Arial Narrow" w:cs="Arial Narrow"/>
          <w:sz w:val="22"/>
          <w:szCs w:val="24"/>
        </w:rPr>
        <w:t>uhlie</w:t>
      </w:r>
      <w:r>
        <w:rPr>
          <w:rFonts w:ascii="Arial Narrow" w:hAnsi="Arial Narrow" w:cs="Arial Narrow"/>
          <w:color w:val="000000"/>
          <w:sz w:val="22"/>
          <w:szCs w:val="24"/>
        </w:rPr>
        <w:t xml:space="preserve"> oslobodené od dane alebo zemný plyn oslobodený od dane, je povinný požiadať Ministerstvo zahraničných vecí Slovenskej republiky o vydanie potvrdenia o postavení zahraničného zástupcu. Vzor potvrdenia Ministerstva zahraničných vecí Slovenskej republiky o postavení zahraničného zástupcu a o splnení podmienky vzájomnosti je uvedený v prílohe č. 1.</w:t>
      </w:r>
    </w:p>
    <w:p w:rsidR="006A1A04">
      <w:pPr>
        <w:numPr>
          <w:numId w:val="8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Zahraničný zástupca je povinný predložiť dodávateľovi elektriny, dodávateľovi uhlia alebo dodávateľovi zemného plynu potvrdenie Ministerstva zahraničných vecí Slovenskej republiky o postavení zahraničného zástupcu a o splnení podmienky vzájomnosti najneskôr pri prvom odbere elektriny oslobodenej od dane, pri prvom odbere uhlia oslobodeného od dane alebo pri prvom odbere zemného plynu oslobodeného od dane.</w:t>
      </w:r>
    </w:p>
    <w:p w:rsidR="006A1A04">
      <w:pPr>
        <w:spacing w:before="12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41</w:t>
      </w:r>
    </w:p>
    <w:p w:rsidR="006A1A04">
      <w:pPr>
        <w:pStyle w:val="Heading2"/>
        <w:spacing w:before="0"/>
        <w:rPr>
          <w:szCs w:val="24"/>
        </w:rPr>
      </w:pPr>
      <w:r>
        <w:rPr>
          <w:szCs w:val="24"/>
        </w:rPr>
        <w:t>Daňová kontrola</w:t>
      </w:r>
    </w:p>
    <w:p w:rsidR="006A1A04">
      <w:pPr>
        <w:spacing w:before="120"/>
        <w:jc w:val="center"/>
        <w:rPr>
          <w:rFonts w:ascii="Arial Narrow" w:hAnsi="Arial Narrow" w:cs="Arial Narrow"/>
          <w:b/>
          <w:sz w:val="22"/>
          <w:szCs w:val="24"/>
        </w:rPr>
      </w:pPr>
    </w:p>
    <w:p w:rsidR="006A1A04">
      <w:pPr>
        <w:numPr>
          <w:numId w:val="72"/>
        </w:numPr>
        <w:tabs>
          <w:tab w:val="num" w:pos="0"/>
          <w:tab w:val="clear" w:pos="340"/>
          <w:tab w:val="left" w:pos="720"/>
          <w:tab w:val="left" w:pos="1440"/>
          <w:tab w:val="left" w:pos="2160"/>
          <w:tab w:val="left" w:pos="2880"/>
          <w:tab w:val="left" w:pos="3600"/>
          <w:tab w:val="left" w:pos="4320"/>
        </w:tabs>
        <w:autoSpaceDE w:val="0"/>
        <w:autoSpaceDN w:val="0"/>
        <w:adjustRightInd w:val="0"/>
        <w:spacing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Daňovú kontrolu podľa osobitného predpisu </w:t>
      </w:r>
      <w:r>
        <w:rPr>
          <w:rStyle w:val="FootnoteReference"/>
          <w:rFonts w:ascii="Arial Narrow" w:hAnsi="Arial Narrow" w:cs="Arial Narrow"/>
          <w:color w:val="000000"/>
          <w:sz w:val="22"/>
          <w:szCs w:val="24"/>
        </w:rPr>
        <w:footnoteReference w:id="22"/>
      </w:r>
      <w:r>
        <w:rPr>
          <w:rFonts w:ascii="Arial Narrow" w:hAnsi="Arial Narrow" w:cs="Arial Narrow"/>
          <w:color w:val="000000"/>
          <w:sz w:val="22"/>
          <w:szCs w:val="24"/>
        </w:rPr>
        <w:t xml:space="preserve">) vykonáva  miestne  príslušný  colný úrad.  </w:t>
      </w:r>
    </w:p>
    <w:p w:rsidR="006A1A04">
      <w:pPr>
        <w:numPr>
          <w:numId w:val="72"/>
        </w:num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Na začatie daňovej kontroly sa nevzťahuje ustanovenie osobitného predpisu. </w:t>
      </w:r>
      <w:r>
        <w:rPr>
          <w:rStyle w:val="FootnoteReference"/>
          <w:rFonts w:ascii="Arial Narrow" w:hAnsi="Arial Narrow" w:cs="Arial Narrow"/>
          <w:color w:val="000000"/>
          <w:sz w:val="22"/>
          <w:szCs w:val="24"/>
        </w:rPr>
        <w:footnoteReference w:id="23"/>
      </w:r>
      <w:r>
        <w:rPr>
          <w:rFonts w:ascii="Arial Narrow" w:hAnsi="Arial Narrow" w:cs="Arial Narrow"/>
          <w:color w:val="000000"/>
          <w:sz w:val="22"/>
          <w:szCs w:val="24"/>
        </w:rPr>
        <w:t>)</w:t>
      </w:r>
    </w:p>
    <w:p w:rsidR="006A1A04">
      <w:pPr>
        <w:spacing w:before="120"/>
        <w:jc w:val="cente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xml:space="preserve">  § 42</w:t>
      </w:r>
    </w:p>
    <w:p w:rsidR="006A1A04">
      <w:pPr>
        <w:jc w:val="center"/>
        <w:rPr>
          <w:rFonts w:ascii="Arial Narrow" w:hAnsi="Arial Narrow" w:cs="Arial Narrow"/>
          <w:b/>
          <w:sz w:val="22"/>
          <w:szCs w:val="24"/>
        </w:rPr>
      </w:pPr>
      <w:r>
        <w:rPr>
          <w:rFonts w:ascii="Arial Narrow" w:hAnsi="Arial Narrow" w:cs="Arial Narrow"/>
          <w:b/>
          <w:sz w:val="22"/>
          <w:szCs w:val="24"/>
        </w:rPr>
        <w:t>Vedenie evidencie colným úradom a colným riaditeľstvom</w:t>
      </w:r>
    </w:p>
    <w:p w:rsidR="006A1A04">
      <w:pPr>
        <w:jc w:val="both"/>
        <w:rPr>
          <w:rFonts w:ascii="Arial Narrow" w:hAnsi="Arial Narrow" w:cs="Arial Narrow"/>
          <w:b/>
          <w:sz w:val="22"/>
          <w:szCs w:val="24"/>
        </w:rPr>
      </w:pPr>
      <w:r>
        <w:rPr>
          <w:rFonts w:ascii="Arial Narrow" w:hAnsi="Arial Narrow" w:cs="Arial Narrow"/>
          <w:b/>
          <w:sz w:val="22"/>
          <w:szCs w:val="24"/>
        </w:rPr>
        <w:t xml:space="preserve"> </w:t>
      </w:r>
    </w:p>
    <w:p w:rsidR="006A1A04">
      <w:pPr>
        <w:numPr>
          <w:numId w:val="141"/>
        </w:numPr>
        <w:tabs>
          <w:tab w:val="num" w:pos="0"/>
          <w:tab w:val="clear" w:pos="340"/>
          <w:tab w:val="left" w:pos="720"/>
          <w:tab w:val="left" w:pos="1440"/>
          <w:tab w:val="left" w:pos="2160"/>
          <w:tab w:val="left" w:pos="2880"/>
          <w:tab w:val="left" w:pos="3600"/>
          <w:tab w:val="left" w:pos="4320"/>
        </w:tabs>
        <w:autoSpaceDE w:val="0"/>
        <w:autoSpaceDN w:val="0"/>
        <w:adjustRightInd w:val="0"/>
        <w:spacing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Na účely správy dane je colný úrad povinný viesť elektronickú databázu, ktorá obsahuje register daňových dlžníkov, oprávnených spotrebiteľov elektriny, oprávnených spotrebiteľov uhlia, oprávnených spotrebiteľov zemného plynu,  a ak nie sú zaregistrovaní ako daňoví dlžníci aj výrobcov uhlia a obchodníkov s uhlím a  podnikateľov,</w:t>
      </w:r>
      <w:r>
        <w:rPr>
          <w:rFonts w:ascii="Arial Narrow" w:hAnsi="Arial Narrow" w:cs="Arial Narrow"/>
          <w:b/>
          <w:color w:val="000000"/>
          <w:sz w:val="22"/>
          <w:szCs w:val="24"/>
        </w:rPr>
        <w:t xml:space="preserve"> </w:t>
      </w:r>
      <w:r>
        <w:rPr>
          <w:rFonts w:ascii="Arial Narrow" w:hAnsi="Arial Narrow" w:cs="Arial Narrow"/>
          <w:sz w:val="22"/>
          <w:szCs w:val="24"/>
        </w:rPr>
        <w:t xml:space="preserve">ktorí majú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a ktorí  nakupujú elektrinu  len na účely ďalšieho predaja alebo ktorí nakupujú zemný plyn len na účely ďalšieho predaja.</w:t>
      </w:r>
    </w:p>
    <w:p w:rsidR="006A1A04">
      <w:pPr>
        <w:numPr>
          <w:numId w:val="141"/>
        </w:numPr>
        <w:tabs>
          <w:tab w:val="left" w:pos="0"/>
          <w:tab w:val="left" w:pos="720"/>
          <w:tab w:val="left" w:pos="1440"/>
          <w:tab w:val="left" w:pos="2160"/>
          <w:tab w:val="left" w:pos="2880"/>
          <w:tab w:val="left" w:pos="3600"/>
          <w:tab w:val="left" w:pos="4320"/>
        </w:tabs>
        <w:autoSpaceDE w:val="0"/>
        <w:autoSpaceDN w:val="0"/>
        <w:adjustRightInd w:val="0"/>
        <w:spacing w:before="120"/>
        <w:jc w:val="both"/>
        <w:rPr>
          <w:rFonts w:ascii="Arial Narrow" w:hAnsi="Arial Narrow" w:cs="Arial Narrow"/>
          <w:color w:val="000000"/>
          <w:sz w:val="22"/>
          <w:szCs w:val="24"/>
        </w:rPr>
      </w:pPr>
      <w:r>
        <w:rPr>
          <w:rFonts w:ascii="Arial Narrow" w:hAnsi="Arial Narrow" w:cs="Arial Narrow"/>
          <w:color w:val="000000"/>
          <w:sz w:val="22"/>
          <w:szCs w:val="24"/>
        </w:rPr>
        <w:t>Elektronická databáza obsahuje najmä identifikačné údaje</w:t>
      </w:r>
    </w:p>
    <w:p w:rsidR="006A1A04">
      <w:pPr>
        <w:tabs>
          <w:tab w:val="left" w:pos="0"/>
          <w:tab w:val="left" w:pos="720"/>
          <w:tab w:val="left" w:pos="2160"/>
          <w:tab w:val="left" w:pos="2880"/>
          <w:tab w:val="left" w:pos="3600"/>
          <w:tab w:val="left" w:pos="4320"/>
        </w:tabs>
        <w:autoSpaceDE w:val="0"/>
        <w:autoSpaceDN w:val="0"/>
        <w:adjustRightInd w:val="0"/>
        <w:spacing w:before="120"/>
        <w:jc w:val="both"/>
        <w:rPr>
          <w:rFonts w:ascii="Arial Narrow" w:hAnsi="Arial Narrow" w:cs="Arial Narrow"/>
          <w:color w:val="000000"/>
          <w:sz w:val="22"/>
          <w:szCs w:val="24"/>
        </w:rPr>
      </w:pPr>
      <w:r>
        <w:rPr>
          <w:rFonts w:ascii="Arial Narrow" w:hAnsi="Arial Narrow" w:cs="Arial Narrow"/>
          <w:color w:val="000000"/>
          <w:sz w:val="22"/>
          <w:szCs w:val="24"/>
        </w:rPr>
        <w:t>a)  daňových dlžníkov, registračné číslo, dátum pridelenia a dátum zrušenia registračného čísla,</w:t>
      </w:r>
    </w:p>
    <w:p w:rsidR="006A1A04">
      <w:pPr>
        <w:tabs>
          <w:tab w:val="left" w:pos="360"/>
          <w:tab w:val="left" w:pos="720"/>
          <w:tab w:val="left" w:pos="2160"/>
          <w:tab w:val="left" w:pos="2880"/>
          <w:tab w:val="left" w:pos="3600"/>
          <w:tab w:val="left" w:pos="4320"/>
        </w:tabs>
        <w:autoSpaceDE w:val="0"/>
        <w:autoSpaceDN w:val="0"/>
        <w:adjustRightInd w:val="0"/>
        <w:spacing w:before="120"/>
        <w:ind w:left="357" w:hanging="357"/>
        <w:jc w:val="both"/>
        <w:rPr>
          <w:rFonts w:ascii="Arial Narrow" w:hAnsi="Arial Narrow" w:cs="Arial Narrow"/>
          <w:color w:val="000000"/>
          <w:sz w:val="22"/>
          <w:szCs w:val="24"/>
        </w:rPr>
      </w:pPr>
      <w:r>
        <w:rPr>
          <w:rFonts w:ascii="Arial Narrow" w:hAnsi="Arial Narrow" w:cs="Arial Narrow"/>
          <w:color w:val="000000"/>
          <w:sz w:val="22"/>
          <w:szCs w:val="24"/>
        </w:rPr>
        <w:t xml:space="preserve">b)  oprávnených spotrebiteľov elektriny, oprávnených spotrebiteľov uhlia a oprávnených spotrebiteľov zemného </w:t>
      </w:r>
    </w:p>
    <w:p w:rsidR="006A1A04">
      <w:pPr>
        <w:tabs>
          <w:tab w:val="left" w:pos="360"/>
          <w:tab w:val="left" w:pos="720"/>
          <w:tab w:val="left" w:pos="2160"/>
          <w:tab w:val="left" w:pos="2880"/>
          <w:tab w:val="left" w:pos="3600"/>
          <w:tab w:val="left" w:pos="4320"/>
        </w:tabs>
        <w:autoSpaceDE w:val="0"/>
        <w:autoSpaceDN w:val="0"/>
        <w:adjustRightInd w:val="0"/>
        <w:spacing w:after="120"/>
        <w:ind w:left="357" w:hanging="357"/>
        <w:jc w:val="both"/>
        <w:rPr>
          <w:rFonts w:ascii="Arial Narrow" w:hAnsi="Arial Narrow" w:cs="Arial Narrow"/>
          <w:color w:val="000000"/>
          <w:sz w:val="22"/>
          <w:szCs w:val="24"/>
        </w:rPr>
      </w:pPr>
      <w:r>
        <w:rPr>
          <w:rFonts w:ascii="Arial Narrow" w:hAnsi="Arial Narrow" w:cs="Arial Narrow"/>
          <w:color w:val="000000"/>
          <w:sz w:val="22"/>
          <w:szCs w:val="24"/>
        </w:rPr>
        <w:t xml:space="preserve">     plynu, registračné číslo, dátum pridelenia registračného čísla a dátum zrušenia registračného čísla,</w:t>
      </w:r>
    </w:p>
    <w:p w:rsidR="006A1A04">
      <w:pPr>
        <w:tabs>
          <w:tab w:val="left" w:pos="720"/>
          <w:tab w:val="left" w:pos="1440"/>
          <w:tab w:val="left" w:pos="2160"/>
          <w:tab w:val="left" w:pos="2880"/>
          <w:tab w:val="left" w:pos="3600"/>
          <w:tab w:val="left" w:pos="4320"/>
        </w:tabs>
        <w:autoSpaceDE w:val="0"/>
        <w:autoSpaceDN w:val="0"/>
        <w:adjustRightInd w:val="0"/>
        <w:jc w:val="both"/>
        <w:rPr>
          <w:rFonts w:ascii="Arial Narrow" w:hAnsi="Arial Narrow" w:cs="Arial Narrow"/>
          <w:b/>
          <w:color w:val="000000"/>
          <w:sz w:val="22"/>
          <w:szCs w:val="24"/>
        </w:rPr>
      </w:pPr>
      <w:r>
        <w:rPr>
          <w:rFonts w:ascii="Arial Narrow" w:hAnsi="Arial Narrow" w:cs="Arial Narrow"/>
          <w:color w:val="000000"/>
          <w:sz w:val="22"/>
          <w:szCs w:val="24"/>
        </w:rPr>
        <w:t>c)  výrobcov uhlia a obchodníkov s uhlím,  ak nie sú zaregistrovaní ako daňoví dlžníci, ako aj podnikateľov, ktorí</w:t>
      </w:r>
    </w:p>
    <w:p w:rsidR="006A1A04">
      <w:pPr>
        <w:tabs>
          <w:tab w:val="left" w:pos="720"/>
          <w:tab w:val="left" w:pos="1440"/>
          <w:tab w:val="left" w:pos="2160"/>
          <w:tab w:val="left" w:pos="2880"/>
          <w:tab w:val="left" w:pos="3600"/>
          <w:tab w:val="left" w:pos="4320"/>
        </w:tabs>
        <w:autoSpaceDE w:val="0"/>
        <w:autoSpaceDN w:val="0"/>
        <w:adjustRightInd w:val="0"/>
        <w:jc w:val="both"/>
        <w:rPr>
          <w:rFonts w:ascii="Arial Narrow" w:hAnsi="Arial Narrow" w:cs="Arial Narrow"/>
          <w:sz w:val="22"/>
          <w:szCs w:val="24"/>
        </w:rPr>
      </w:pPr>
      <w:r>
        <w:rPr>
          <w:rFonts w:ascii="Arial Narrow" w:hAnsi="Arial Narrow" w:cs="Arial Narrow"/>
          <w:color w:val="000000"/>
          <w:sz w:val="22"/>
          <w:szCs w:val="24"/>
        </w:rPr>
        <w:t xml:space="preserve">     </w:t>
      </w:r>
      <w:r>
        <w:rPr>
          <w:rFonts w:ascii="Arial Narrow" w:hAnsi="Arial Narrow" w:cs="Arial Narrow"/>
          <w:sz w:val="22"/>
          <w:szCs w:val="24"/>
        </w:rPr>
        <w:t xml:space="preserve">majú povolenie podnikať v energetike podľa osobitného predpisu, </w:t>
      </w:r>
      <w:r>
        <w:rPr>
          <w:rFonts w:ascii="Arial Narrow" w:hAnsi="Arial Narrow" w:cs="Arial Narrow"/>
          <w:sz w:val="22"/>
          <w:szCs w:val="24"/>
          <w:vertAlign w:val="superscript"/>
        </w:rPr>
        <w:t>9</w:t>
      </w:r>
      <w:r>
        <w:rPr>
          <w:rFonts w:ascii="Arial Narrow" w:hAnsi="Arial Narrow" w:cs="Arial Narrow"/>
          <w:sz w:val="22"/>
          <w:szCs w:val="24"/>
        </w:rPr>
        <w:t xml:space="preserve">)  a ktorí  nakupujú elektrinu  len na účely </w:t>
      </w:r>
    </w:p>
    <w:p w:rsidR="006A1A04">
      <w:pPr>
        <w:tabs>
          <w:tab w:val="left" w:pos="720"/>
          <w:tab w:val="left" w:pos="1440"/>
          <w:tab w:val="left" w:pos="2160"/>
          <w:tab w:val="left" w:pos="2880"/>
          <w:tab w:val="left" w:pos="3600"/>
          <w:tab w:val="left" w:pos="4320"/>
        </w:tabs>
        <w:autoSpaceDE w:val="0"/>
        <w:autoSpaceDN w:val="0"/>
        <w:adjustRightInd w:val="0"/>
        <w:jc w:val="both"/>
        <w:rPr>
          <w:rFonts w:ascii="Arial Narrow" w:hAnsi="Arial Narrow" w:cs="Arial Narrow"/>
          <w:color w:val="000000"/>
          <w:sz w:val="22"/>
          <w:szCs w:val="24"/>
        </w:rPr>
      </w:pPr>
      <w:r>
        <w:rPr>
          <w:rFonts w:ascii="Arial Narrow" w:hAnsi="Arial Narrow" w:cs="Arial Narrow"/>
          <w:sz w:val="22"/>
          <w:szCs w:val="24"/>
        </w:rPr>
        <w:t xml:space="preserve">     ďalšieho predaja alebo ktorí nakupujú zemný plyn len na účely  ďalšieho  predaja.</w:t>
      </w: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12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       (3)  Colné riaditeľstvo alebo ním poverený colný úrad je povinný podľa osobitného predpisu </w:t>
      </w:r>
      <w:r>
        <w:rPr>
          <w:rStyle w:val="FootnoteReference"/>
          <w:rFonts w:ascii="Arial Narrow" w:hAnsi="Arial Narrow" w:cs="Arial Narrow"/>
          <w:color w:val="000000"/>
          <w:sz w:val="22"/>
          <w:szCs w:val="24"/>
        </w:rPr>
        <w:footnoteReference w:id="24"/>
      </w:r>
      <w:r>
        <w:rPr>
          <w:rFonts w:ascii="Arial Narrow" w:hAnsi="Arial Narrow" w:cs="Arial Narrow"/>
          <w:color w:val="000000"/>
          <w:sz w:val="22"/>
          <w:szCs w:val="24"/>
        </w:rPr>
        <w:t>) viesť centrálnu elektronickú databázu, ktorá obsahuje údaje uvedené v  odseku 2.</w:t>
      </w:r>
    </w:p>
    <w:p w:rsidR="006A1A04">
      <w:pPr>
        <w:rPr>
          <w:rFonts w:ascii="Arial Narrow" w:hAnsi="Arial Narrow" w:cs="Arial Narrow"/>
          <w:b/>
          <w:sz w:val="22"/>
          <w:szCs w:val="24"/>
        </w:rPr>
      </w:pPr>
    </w:p>
    <w:p w:rsidR="006A1A04">
      <w:pPr>
        <w:rPr>
          <w:rFonts w:ascii="Arial Narrow" w:hAnsi="Arial Narrow" w:cs="Arial Narrow"/>
          <w:b/>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 43</w:t>
      </w:r>
    </w:p>
    <w:p w:rsidR="006A1A04">
      <w:pPr>
        <w:pStyle w:val="Heading2"/>
        <w:spacing w:before="0"/>
        <w:rPr>
          <w:szCs w:val="24"/>
        </w:rPr>
      </w:pPr>
      <w:r>
        <w:rPr>
          <w:szCs w:val="24"/>
        </w:rPr>
        <w:t>Správne delikty</w:t>
      </w:r>
    </w:p>
    <w:p w:rsidR="006A1A04">
      <w:pPr>
        <w:numPr>
          <w:numId w:val="81"/>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Podnikateľovi, ktorý dodal elektrinu oslobodenú od dane bez povolenia na oslobodenú elektrinu alebo ktorý dodal </w:t>
      </w:r>
      <w:r>
        <w:rPr>
          <w:rFonts w:ascii="Arial Narrow" w:hAnsi="Arial Narrow" w:cs="Arial Narrow"/>
          <w:sz w:val="22"/>
          <w:szCs w:val="24"/>
        </w:rPr>
        <w:t>uhlie</w:t>
      </w:r>
      <w:r>
        <w:rPr>
          <w:rFonts w:ascii="Arial Narrow" w:hAnsi="Arial Narrow" w:cs="Arial Narrow"/>
          <w:color w:val="000000"/>
          <w:sz w:val="22"/>
          <w:szCs w:val="24"/>
        </w:rPr>
        <w:t xml:space="preserve"> oslobodené od dane bez povolenia na oslobodené </w:t>
      </w:r>
      <w:r>
        <w:rPr>
          <w:rFonts w:ascii="Arial Narrow" w:hAnsi="Arial Narrow" w:cs="Arial Narrow"/>
          <w:sz w:val="22"/>
          <w:szCs w:val="24"/>
        </w:rPr>
        <w:t>uhlie</w:t>
      </w:r>
      <w:r>
        <w:rPr>
          <w:rFonts w:ascii="Arial Narrow" w:hAnsi="Arial Narrow" w:cs="Arial Narrow"/>
          <w:color w:val="000000"/>
          <w:sz w:val="22"/>
          <w:szCs w:val="24"/>
        </w:rPr>
        <w:t>, alebo ktorý dodal zemný plyn  oslobodený od dane bez povolenia na oslobodený zemný plyn, colný úrad uloží pokutu až do výšky dane pripadajúcej na množstvo dodanej elektriny, uhlia alebo zemného plynu,  najmenej však 10 000 Sk; pokuta sa neuloží, ak  podnikateľ preukáže, že oprávnený spotrebiteľ elektriny, oprávnený spotrebiteľ uhlia alebo oprávnený spotrebiteľ zemného plynu si nesplnil v ustanovenej lehote povinnosť písomne informovať dodávateľa elektriny, dodávateľa uhlia alebo dodávateľa zemného plynu o odňatí povolenia na oslobodenú elektrinu  alebo povolenia na oslobodené</w:t>
      </w:r>
      <w:r>
        <w:rPr>
          <w:rFonts w:ascii="Arial Narrow" w:hAnsi="Arial Narrow" w:cs="Arial Narrow"/>
          <w:sz w:val="22"/>
          <w:szCs w:val="24"/>
        </w:rPr>
        <w:t xml:space="preserve"> uhlie</w:t>
      </w:r>
      <w:r>
        <w:rPr>
          <w:rFonts w:ascii="Arial Narrow" w:hAnsi="Arial Narrow" w:cs="Arial Narrow"/>
          <w:color w:val="000000"/>
          <w:sz w:val="22"/>
          <w:szCs w:val="24"/>
        </w:rPr>
        <w:t xml:space="preserve">  alebo povolenia na oslobodený zemný plyn.</w:t>
      </w:r>
    </w:p>
    <w:p w:rsidR="006A1A04">
      <w:pPr>
        <w:numPr>
          <w:numId w:val="81"/>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Podnikateľovi, ktorý použil elektrinu na účely oslobodené od dane bez povolenia na oslobodenú elektrinu, alebo ktorý použil </w:t>
      </w:r>
      <w:r>
        <w:rPr>
          <w:rFonts w:ascii="Arial Narrow" w:hAnsi="Arial Narrow" w:cs="Arial Narrow"/>
          <w:sz w:val="22"/>
          <w:szCs w:val="24"/>
        </w:rPr>
        <w:t>uhlie</w:t>
      </w:r>
      <w:r>
        <w:rPr>
          <w:rFonts w:ascii="Arial Narrow" w:hAnsi="Arial Narrow" w:cs="Arial Narrow"/>
          <w:color w:val="000000"/>
          <w:sz w:val="22"/>
          <w:szCs w:val="24"/>
        </w:rPr>
        <w:t xml:space="preserve"> na účely oslobodené od dane bez povolenia na oslobodené </w:t>
      </w:r>
      <w:r>
        <w:rPr>
          <w:rFonts w:ascii="Arial Narrow" w:hAnsi="Arial Narrow" w:cs="Arial Narrow"/>
          <w:sz w:val="22"/>
          <w:szCs w:val="24"/>
        </w:rPr>
        <w:t xml:space="preserve">uhlie, </w:t>
      </w:r>
      <w:r>
        <w:rPr>
          <w:rFonts w:ascii="Arial Narrow" w:hAnsi="Arial Narrow" w:cs="Arial Narrow"/>
          <w:color w:val="000000"/>
          <w:sz w:val="22"/>
          <w:szCs w:val="24"/>
        </w:rPr>
        <w:t>alebo ktorý použil zemný plyn  na účely oslobodené od dane bez povolenia na oslobodený zemný plyn, colný úrad uloží pokutu až do výšky dane pripadajúcej na množstvo použitej elektriny, množstvo použitého uhlia alebo množstvo použitého zemného plynu,  najmenej však 10 000 Sk.</w:t>
      </w:r>
    </w:p>
    <w:p w:rsidR="006A1A04">
      <w:pPr>
        <w:numPr>
          <w:numId w:val="81"/>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Podnikateľovi, ktorý spotreboval elektrinu oslobodenú od dane na iný účel, ako je uvedený v § 7, alebo ktorý spotreboval uhlie oslobodené od dane na iný účel, ako je uvedený v § 19, alebo ktorý spotreboval zemný plyn oslobodený od dane na iný účel, ako je uvedený v § 31, colný úrad uloží pokutu vo výške 50 % dane pripadajúcej na množstvo spotrebovanej elektriny, množstvo spotrebovaného uhlia alebo množstvo spotrebovaného zemného plynu, najmenej však 10 000 Sk. </w:t>
      </w:r>
    </w:p>
    <w:p w:rsidR="006A1A04">
      <w:pPr>
        <w:numPr>
          <w:numId w:val="81"/>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Pri určovaní výšky pokuty podľa odsekov 1 a 2 prihliadne colný úrad na závažnosť, dĺžku trvania a  následky protiprávneho konania.</w:t>
      </w:r>
    </w:p>
    <w:p w:rsidR="006A1A04">
      <w:pPr>
        <w:numPr>
          <w:numId w:val="81"/>
        </w:numPr>
        <w:tabs>
          <w:tab w:val="num" w:pos="0"/>
          <w:tab w:val="clear" w:pos="340"/>
          <w:tab w:val="left" w:pos="720"/>
          <w:tab w:val="left" w:pos="1440"/>
          <w:tab w:val="left" w:pos="162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Ak  colný úrad uloží pokutu podľa odseku 2 alebo  odseku 3, nepoužije sa ustanovenie osobitného predpisu. </w:t>
      </w:r>
      <w:r>
        <w:rPr>
          <w:rStyle w:val="FootnoteReference"/>
          <w:rFonts w:ascii="Arial Narrow" w:hAnsi="Arial Narrow" w:cs="Arial Narrow"/>
          <w:color w:val="000000"/>
          <w:sz w:val="22"/>
          <w:szCs w:val="24"/>
        </w:rPr>
        <w:footnoteReference w:id="25"/>
      </w:r>
      <w:r>
        <w:rPr>
          <w:rFonts w:ascii="Arial Narrow" w:hAnsi="Arial Narrow" w:cs="Arial Narrow"/>
          <w:color w:val="000000"/>
          <w:sz w:val="22"/>
          <w:szCs w:val="24"/>
        </w:rPr>
        <w:t>)</w:t>
      </w:r>
    </w:p>
    <w:p w:rsidR="006A1A04">
      <w:pPr>
        <w:numPr>
          <w:numId w:val="81"/>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Výnos z pokuty uloženej podľa tohto zákona je príjmom štátneho rozpočtu.</w:t>
      </w:r>
    </w:p>
    <w:p w:rsidR="006A1A04">
      <w:pPr>
        <w:pStyle w:val="Zkladntext"/>
        <w:spacing w:line="340" w:lineRule="atLeast"/>
        <w:rPr>
          <w:rFonts w:ascii="Arial Narrow" w:hAnsi="Arial Narrow" w:cs="Arial Narrow"/>
          <w:sz w:val="22"/>
          <w:szCs w:val="24"/>
        </w:rPr>
      </w:pPr>
    </w:p>
    <w:p w:rsidR="006A1A04">
      <w:pPr>
        <w:pStyle w:val="Zkladntext"/>
        <w:spacing w:line="340" w:lineRule="atLeast"/>
        <w:rPr>
          <w:rFonts w:ascii="Arial Narrow" w:hAnsi="Arial Narrow" w:cs="Arial Narrow"/>
          <w:sz w:val="22"/>
          <w:szCs w:val="24"/>
        </w:rPr>
      </w:pPr>
    </w:p>
    <w:p w:rsidR="00E90832">
      <w:pPr>
        <w:pStyle w:val="Zkladntext"/>
        <w:spacing w:after="120" w:line="340" w:lineRule="atLeast"/>
        <w:jc w:val="center"/>
        <w:rPr>
          <w:rFonts w:ascii="Arial Narrow" w:hAnsi="Arial Narrow" w:cs="Arial Narrow"/>
          <w:b/>
          <w:sz w:val="22"/>
          <w:szCs w:val="24"/>
        </w:rPr>
      </w:pPr>
    </w:p>
    <w:p w:rsidR="006A1A04">
      <w:pPr>
        <w:pStyle w:val="Zkladntext"/>
        <w:spacing w:after="120" w:line="340" w:lineRule="atLeast"/>
        <w:jc w:val="center"/>
        <w:rPr>
          <w:rFonts w:ascii="Arial Narrow" w:hAnsi="Arial Narrow" w:cs="Arial Narrow"/>
          <w:b/>
          <w:sz w:val="22"/>
          <w:szCs w:val="24"/>
        </w:rPr>
      </w:pPr>
      <w:r>
        <w:rPr>
          <w:rFonts w:ascii="Arial Narrow" w:hAnsi="Arial Narrow" w:cs="Arial Narrow"/>
          <w:b/>
          <w:sz w:val="22"/>
          <w:szCs w:val="24"/>
        </w:rPr>
        <w:t>§ 44</w:t>
      </w:r>
    </w:p>
    <w:p w:rsidR="006A1A04">
      <w:pPr>
        <w:pStyle w:val="Zkladntext"/>
        <w:spacing w:line="260" w:lineRule="atLeast"/>
        <w:rPr>
          <w:rFonts w:ascii="Arial Narrow" w:hAnsi="Arial Narrow" w:cs="Arial Narrow"/>
          <w:sz w:val="22"/>
          <w:szCs w:val="24"/>
        </w:rPr>
      </w:pPr>
      <w:r>
        <w:rPr>
          <w:rFonts w:ascii="Times New Roman" w:hAnsi="Times New Roman" w:cs="Times New Roman"/>
          <w:szCs w:val="24"/>
        </w:rPr>
        <w:t xml:space="preserve">      </w:t>
      </w:r>
      <w:r>
        <w:rPr>
          <w:rFonts w:ascii="Arial Narrow" w:hAnsi="Arial Narrow" w:cs="Arial Narrow"/>
          <w:sz w:val="22"/>
          <w:szCs w:val="24"/>
        </w:rPr>
        <w:t xml:space="preserve"> Na správu dane sa použije osobitný predpis </w:t>
      </w:r>
      <w:r>
        <w:rPr>
          <w:rStyle w:val="FootnoteReference"/>
          <w:rFonts w:ascii="Arial Narrow" w:hAnsi="Arial Narrow" w:cs="Arial Narrow"/>
          <w:sz w:val="22"/>
          <w:szCs w:val="24"/>
        </w:rPr>
        <w:footnoteReference w:id="26"/>
      </w:r>
      <w:r>
        <w:rPr>
          <w:rFonts w:ascii="Arial Narrow" w:hAnsi="Arial Narrow" w:cs="Arial Narrow"/>
          <w:sz w:val="22"/>
          <w:szCs w:val="24"/>
        </w:rPr>
        <w:t>), ak  §  3, 10, 11, 12, 22, 23, 24, 34, 35, 36, 41 ods. 2  a  § 43  neustanovujú inak.</w:t>
        <w:tab/>
      </w:r>
    </w:p>
    <w:p w:rsidR="006A1A04">
      <w:pPr>
        <w:pStyle w:val="Zkladntext"/>
        <w:spacing w:line="260" w:lineRule="atLeast"/>
        <w:rPr>
          <w:rFonts w:ascii="Arial Narrow" w:hAnsi="Arial Narrow" w:cs="Arial Narrow"/>
          <w:sz w:val="22"/>
          <w:szCs w:val="24"/>
        </w:rPr>
      </w:pPr>
    </w:p>
    <w:p w:rsidR="006A1A04">
      <w:pPr>
        <w:spacing w:before="120"/>
        <w:jc w:val="center"/>
        <w:rPr>
          <w:rFonts w:ascii="Arial Narrow" w:hAnsi="Arial Narrow" w:cs="Arial Narrow"/>
          <w:b/>
          <w:sz w:val="22"/>
          <w:szCs w:val="24"/>
        </w:rPr>
      </w:pPr>
      <w:r>
        <w:rPr>
          <w:rFonts w:ascii="Arial Narrow" w:hAnsi="Arial Narrow" w:cs="Arial Narrow"/>
          <w:b/>
          <w:sz w:val="22"/>
          <w:szCs w:val="24"/>
        </w:rPr>
        <w:t>§ 45</w:t>
      </w:r>
    </w:p>
    <w:p w:rsidR="006A1A04">
      <w:pPr>
        <w:pStyle w:val="BodyText2"/>
        <w:rPr>
          <w:szCs w:val="24"/>
        </w:rPr>
      </w:pPr>
      <w:r>
        <w:rPr>
          <w:szCs w:val="24"/>
        </w:rPr>
        <w:t xml:space="preserve">       Týmto zákonom sa preberajú právne akty Európskych spoločenstiev a  Európskej únie uvedené           v prílohe č. 2.</w:t>
      </w:r>
    </w:p>
    <w:p w:rsidR="006A1A04">
      <w:pPr>
        <w:spacing w:before="120"/>
        <w:jc w:val="center"/>
        <w:rPr>
          <w:rFonts w:ascii="Arial Narrow" w:hAnsi="Arial Narrow" w:cs="Arial Narrow"/>
          <w:b/>
          <w:sz w:val="22"/>
          <w:szCs w:val="24"/>
        </w:rPr>
      </w:pPr>
    </w:p>
    <w:p w:rsidR="006A1A04">
      <w:pPr>
        <w:spacing w:before="120"/>
        <w:jc w:val="center"/>
        <w:rPr>
          <w:rFonts w:ascii="Arial Narrow" w:hAnsi="Arial Narrow" w:cs="Arial Narrow"/>
          <w:b/>
          <w:sz w:val="22"/>
          <w:szCs w:val="24"/>
        </w:rPr>
      </w:pPr>
      <w:r>
        <w:rPr>
          <w:rFonts w:ascii="Arial Narrow" w:hAnsi="Arial Narrow" w:cs="Arial Narrow"/>
          <w:b/>
          <w:sz w:val="22"/>
          <w:szCs w:val="24"/>
        </w:rPr>
        <w:t>§ 46</w:t>
      </w: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         Ak tento zákon neustanovuje inak, daň podľa tohto zákona sa vzťahuje na elektrinu, uhlie a zemný plyn, pri ktorých vznikla daňová povinnosť od 1. júla 2008.</w:t>
      </w:r>
    </w:p>
    <w:p w:rsidR="006A1A04">
      <w:pPr>
        <w:spacing w:before="120"/>
        <w:jc w:val="center"/>
        <w:rPr>
          <w:rFonts w:ascii="Arial Narrow" w:hAnsi="Arial Narrow" w:cs="Arial Narrow"/>
          <w:color w:val="000000"/>
          <w:sz w:val="22"/>
          <w:szCs w:val="24"/>
        </w:rPr>
      </w:pPr>
    </w:p>
    <w:p w:rsidR="006A1A04">
      <w:pPr>
        <w:pStyle w:val="Heading8"/>
        <w:rPr>
          <w:szCs w:val="24"/>
        </w:rPr>
      </w:pPr>
      <w:r>
        <w:rPr>
          <w:szCs w:val="24"/>
        </w:rPr>
        <w:t>Prechodné ustanovenia</w:t>
      </w:r>
    </w:p>
    <w:p w:rsidR="006A1A04">
      <w:pPr>
        <w:pStyle w:val="Heading8"/>
        <w:rPr>
          <w:szCs w:val="24"/>
        </w:rPr>
      </w:pPr>
      <w:r>
        <w:rPr>
          <w:szCs w:val="24"/>
        </w:rPr>
        <w:t xml:space="preserve"> § 47</w:t>
      </w:r>
    </w:p>
    <w:p w:rsidR="006A1A04">
      <w:pPr>
        <w:numPr>
          <w:numId w:val="17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Právnická osoba alebo fyzická osoba evidovaná ako prevádzkovateľ podniku na výrobu, skladovanie alebo spracovanie zemného plynu podľa doterajších predpisov </w:t>
      </w:r>
      <w:r>
        <w:rPr>
          <w:rStyle w:val="FootnoteReference"/>
          <w:rFonts w:ascii="Arial Narrow" w:hAnsi="Arial Narrow" w:cs="Arial Narrow"/>
          <w:color w:val="000000"/>
          <w:sz w:val="22"/>
          <w:szCs w:val="24"/>
        </w:rPr>
        <w:footnoteReference w:id="27"/>
      </w:r>
      <w:r>
        <w:rPr>
          <w:rFonts w:ascii="Arial Narrow" w:hAnsi="Arial Narrow" w:cs="Arial Narrow"/>
          <w:color w:val="000000"/>
          <w:sz w:val="22"/>
          <w:szCs w:val="24"/>
        </w:rPr>
        <w:t>) sa považuje za právnickú osobu alebo fyzickú osobu registrovanú podľa § 35.</w:t>
      </w:r>
    </w:p>
    <w:p w:rsidR="006A1A04">
      <w:pPr>
        <w:numPr>
          <w:numId w:val="17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Právnická osoba alebo fyzická osoba, ktorá bude od 1. júla 2008 daňovým dlžníkom, je povinná písomne požiadať colný úrad o registráciu daňového dlžníka do 31. marca 2008. </w:t>
      </w:r>
    </w:p>
    <w:p w:rsidR="006A1A04">
      <w:pPr>
        <w:numPr>
          <w:numId w:val="17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after="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Žiadosť musí obsahovať</w:t>
      </w:r>
    </w:p>
    <w:p w:rsidR="006A1A04">
      <w:pPr>
        <w:pStyle w:val="BodyTextIndent3"/>
        <w:rPr>
          <w:szCs w:val="24"/>
        </w:rPr>
      </w:pPr>
      <w:r>
        <w:rPr>
          <w:szCs w:val="24"/>
        </w:rPr>
        <w:t>a) identifikačné údaje žiadateľa a adresu umiestnenia  prevádzkarní, ak nie sú totožné so sídlom alebo s trvalým pobytom žiadateľa,</w:t>
      </w:r>
    </w:p>
    <w:p w:rsidR="006A1A04">
      <w:pPr>
        <w:spacing w:before="120"/>
        <w:jc w:val="both"/>
        <w:rPr>
          <w:rFonts w:ascii="Arial Narrow" w:hAnsi="Arial Narrow" w:cs="Arial Narrow"/>
          <w:sz w:val="22"/>
          <w:szCs w:val="24"/>
        </w:rPr>
      </w:pPr>
      <w:r>
        <w:rPr>
          <w:rFonts w:ascii="Arial Narrow" w:hAnsi="Arial Narrow" w:cs="Arial Narrow"/>
          <w:sz w:val="22"/>
          <w:szCs w:val="24"/>
        </w:rPr>
        <w:t>b) daňové identifikačné číslo žiadateľa; ak žiadateľ nemá daňové identifikačné číslo, uvedie sa rodné číslo.</w:t>
      </w:r>
    </w:p>
    <w:p w:rsidR="006A1A04">
      <w:pPr>
        <w:numPr>
          <w:numId w:val="17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Prílohou k  žiadosti je 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172"/>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Zahraničná osoba, ktorá bude daňovým dlžníkom od 1. júla 2008, je povinná písomne požiadať Colný úrad Bratislava o registráciu daňového dlžníka do 31.</w:t>
      </w:r>
      <w:r>
        <w:rPr>
          <w:rFonts w:ascii="Arial Narrow" w:hAnsi="Arial Narrow" w:cs="Arial Narrow"/>
          <w:b/>
          <w:color w:val="000000"/>
          <w:sz w:val="22"/>
          <w:szCs w:val="24"/>
        </w:rPr>
        <w:t xml:space="preserve"> </w:t>
      </w:r>
      <w:r>
        <w:rPr>
          <w:rFonts w:ascii="Arial Narrow" w:hAnsi="Arial Narrow" w:cs="Arial Narrow"/>
          <w:color w:val="000000"/>
          <w:sz w:val="22"/>
          <w:szCs w:val="24"/>
        </w:rPr>
        <w:t>marca 2008. Na žiadosť sa vzťahujú ustanovenia odsekov  2 a 3 primerane.</w:t>
      </w:r>
    </w:p>
    <w:p w:rsidR="006A1A04">
      <w:pPr>
        <w:tabs>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r>
        <w:rPr>
          <w:rFonts w:ascii="Arial Narrow" w:hAnsi="Arial Narrow" w:cs="Arial Narrow"/>
          <w:b/>
          <w:color w:val="000000"/>
          <w:sz w:val="22"/>
          <w:szCs w:val="24"/>
        </w:rPr>
        <w:t>§ 48</w:t>
      </w:r>
    </w:p>
    <w:p w:rsidR="006A1A04">
      <w:pPr>
        <w:numPr>
          <w:numId w:val="175"/>
        </w:numPr>
        <w:tabs>
          <w:tab w:val="num" w:pos="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Právnická osoba alebo fyzická osoba, ktorá chce byť od </w:t>
      </w:r>
      <w:r>
        <w:rPr>
          <w:rFonts w:ascii="Arial Narrow" w:hAnsi="Arial Narrow" w:cs="Arial Narrow"/>
          <w:sz w:val="22"/>
          <w:szCs w:val="24"/>
        </w:rPr>
        <w:t xml:space="preserve">1. júla 2008 </w:t>
      </w:r>
      <w:r>
        <w:rPr>
          <w:rFonts w:ascii="Arial Narrow" w:hAnsi="Arial Narrow" w:cs="Arial Narrow"/>
          <w:color w:val="000000"/>
          <w:sz w:val="22"/>
          <w:szCs w:val="24"/>
        </w:rPr>
        <w:t xml:space="preserve">oprávneným spotrebiteľom elektriny, a ktorá chce používať elektrinu oslobodenú od dane, je povinná písomne požiadať colný úrad o registráciu oprávneného spotrebiteľa elektriny a ak chce priamo odoberať elektrinu oslobodenú od dane a  má samostatné odberné miesto </w:t>
      </w:r>
      <w:r>
        <w:rPr>
          <w:rFonts w:ascii="Arial Narrow" w:hAnsi="Arial Narrow" w:cs="Arial Narrow"/>
          <w:color w:val="000000"/>
          <w:sz w:val="22"/>
          <w:szCs w:val="24"/>
          <w:vertAlign w:val="superscript"/>
        </w:rPr>
        <w:t>16</w:t>
      </w:r>
      <w:r>
        <w:rPr>
          <w:rFonts w:ascii="Arial Narrow" w:hAnsi="Arial Narrow" w:cs="Arial Narrow"/>
          <w:color w:val="000000"/>
          <w:sz w:val="22"/>
          <w:szCs w:val="24"/>
        </w:rPr>
        <w:t>) výlučne na odber elektriny oslobodenej od dane, aj</w:t>
      </w:r>
      <w:r>
        <w:rPr>
          <w:rFonts w:ascii="Arial Narrow" w:hAnsi="Arial Narrow" w:cs="Arial Narrow"/>
          <w:b/>
          <w:color w:val="000000"/>
          <w:sz w:val="22"/>
          <w:szCs w:val="24"/>
        </w:rPr>
        <w:t xml:space="preserve"> </w:t>
      </w:r>
      <w:r>
        <w:rPr>
          <w:rFonts w:ascii="Arial Narrow" w:hAnsi="Arial Narrow" w:cs="Arial Narrow"/>
          <w:color w:val="000000"/>
          <w:sz w:val="22"/>
          <w:szCs w:val="24"/>
        </w:rPr>
        <w:t xml:space="preserve"> o  vydanie povolenia na oslobodenú elektrinu, a to najneskôr  do 31. marca  2008. </w:t>
      </w:r>
    </w:p>
    <w:p w:rsidR="006A1A04">
      <w:pPr>
        <w:numPr>
          <w:numId w:val="175"/>
        </w:numPr>
        <w:tabs>
          <w:tab w:val="num" w:pos="0"/>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Žiadosť o registráciu oprávneného spotrebiteľa elektriny a o vydanie povolenia na oslobodenú elektrinu musí obsahovať</w:t>
      </w:r>
    </w:p>
    <w:p w:rsidR="006A1A04">
      <w:pPr>
        <w:pStyle w:val="BodyTextIndent2"/>
        <w:spacing w:before="120"/>
        <w:rPr>
          <w:szCs w:val="24"/>
        </w:rPr>
      </w:pPr>
      <w:r>
        <w:rPr>
          <w:szCs w:val="24"/>
        </w:rPr>
        <w:t>a) identifikačné údaje žiadateľa a adresu umiestnenia prevádzkarní, ak nie sú totožné so sídlom alebo trvalým pobytom žiadateľa,</w:t>
      </w:r>
    </w:p>
    <w:p w:rsidR="006A1A04">
      <w:pPr>
        <w:tabs>
          <w:tab w:val="left" w:pos="0"/>
        </w:tabs>
        <w:autoSpaceDE w:val="0"/>
        <w:autoSpaceDN w:val="0"/>
        <w:adjustRightInd w:val="0"/>
        <w:spacing w:before="120" w:line="240" w:lineRule="atLeast"/>
        <w:jc w:val="both"/>
        <w:rPr>
          <w:rFonts w:ascii="Arial Narrow" w:hAnsi="Arial Narrow" w:cs="Arial Narrow"/>
          <w:sz w:val="22"/>
          <w:szCs w:val="24"/>
        </w:rPr>
      </w:pPr>
      <w:r>
        <w:rPr>
          <w:rFonts w:ascii="Arial Narrow" w:hAnsi="Arial Narrow" w:cs="Arial Narrow"/>
          <w:sz w:val="22"/>
          <w:szCs w:val="24"/>
        </w:rPr>
        <w:t>b) daňové identifikačné číslo žiadateľa; ak žiadateľ nemá daňové identifikačné číslo, uvedie sa rodné číslo,</w:t>
      </w:r>
    </w:p>
    <w:p w:rsidR="006A1A04">
      <w:pPr>
        <w:tabs>
          <w:tab w:val="left" w:pos="0"/>
        </w:tabs>
        <w:autoSpaceDE w:val="0"/>
        <w:autoSpaceDN w:val="0"/>
        <w:adjustRightInd w:val="0"/>
        <w:spacing w:before="120" w:line="240" w:lineRule="atLeast"/>
        <w:ind w:left="360" w:hanging="360"/>
        <w:jc w:val="both"/>
        <w:rPr>
          <w:rFonts w:ascii="Arial Narrow" w:hAnsi="Arial Narrow" w:cs="Arial Narrow"/>
          <w:color w:val="000000"/>
          <w:sz w:val="22"/>
          <w:szCs w:val="24"/>
        </w:rPr>
      </w:pPr>
      <w:r>
        <w:rPr>
          <w:rFonts w:ascii="Arial Narrow" w:hAnsi="Arial Narrow" w:cs="Arial Narrow"/>
          <w:color w:val="000000"/>
          <w:sz w:val="22"/>
          <w:szCs w:val="24"/>
        </w:rPr>
        <w:t xml:space="preserve">c) účel použitia elektriny oslobodenej od dane podľa tohto zákona a predpokladané množstvo ročnej spotreby     </w:t>
      </w:r>
      <w:r>
        <w:rPr>
          <w:rFonts w:ascii="Arial Narrow" w:hAnsi="Arial Narrow" w:cs="Arial Narrow"/>
          <w:sz w:val="22"/>
          <w:szCs w:val="24"/>
        </w:rPr>
        <w:t>v kilowatthodinách</w:t>
      </w:r>
      <w:r>
        <w:rPr>
          <w:rFonts w:ascii="Arial Narrow" w:hAnsi="Arial Narrow" w:cs="Arial Narrow"/>
          <w:color w:val="000000"/>
          <w:sz w:val="22"/>
          <w:szCs w:val="24"/>
        </w:rPr>
        <w:t>,</w:t>
      </w:r>
    </w:p>
    <w:p w:rsidR="006A1A04">
      <w:pPr>
        <w:tabs>
          <w:tab w:val="left" w:pos="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 xml:space="preserve">d) číslo samostatného odberného miesta </w:t>
      </w:r>
      <w:r>
        <w:rPr>
          <w:rFonts w:ascii="Arial Narrow" w:hAnsi="Arial Narrow" w:cs="Arial Narrow"/>
          <w:color w:val="000000"/>
          <w:sz w:val="22"/>
          <w:szCs w:val="24"/>
          <w:vertAlign w:val="superscript"/>
        </w:rPr>
        <w:t>16</w:t>
      </w:r>
      <w:r>
        <w:rPr>
          <w:rFonts w:ascii="Arial Narrow" w:hAnsi="Arial Narrow" w:cs="Arial Narrow"/>
          <w:color w:val="000000"/>
          <w:sz w:val="22"/>
          <w:szCs w:val="24"/>
        </w:rPr>
        <w:t xml:space="preserve">) výlučne na odber elektriny oslobodenej od dane, </w:t>
      </w:r>
    </w:p>
    <w:p w:rsidR="006A1A04">
      <w:pPr>
        <w:tabs>
          <w:tab w:val="left" w:pos="0"/>
        </w:tabs>
        <w:autoSpaceDE w:val="0"/>
        <w:autoSpaceDN w:val="0"/>
        <w:adjustRightInd w:val="0"/>
        <w:spacing w:before="120" w:line="240" w:lineRule="atLeast"/>
        <w:jc w:val="both"/>
        <w:rPr>
          <w:rFonts w:ascii="Arial Narrow" w:hAnsi="Arial Narrow" w:cs="Arial Narrow"/>
          <w:color w:val="000000"/>
          <w:sz w:val="22"/>
          <w:szCs w:val="24"/>
        </w:rPr>
      </w:pPr>
      <w:r>
        <w:rPr>
          <w:rFonts w:ascii="Arial Narrow" w:hAnsi="Arial Narrow" w:cs="Arial Narrow"/>
          <w:color w:val="000000"/>
          <w:sz w:val="22"/>
          <w:szCs w:val="24"/>
        </w:rPr>
        <w:t>e) identifikačné údaje  dodávateľa elektriny.</w:t>
      </w:r>
    </w:p>
    <w:p w:rsidR="006A1A04">
      <w:pPr>
        <w:numPr>
          <w:numId w:val="175"/>
        </w:numPr>
        <w:spacing w:before="120"/>
        <w:jc w:val="both"/>
        <w:rPr>
          <w:rFonts w:ascii="Arial Narrow" w:hAnsi="Arial Narrow" w:cs="Arial Narrow"/>
          <w:sz w:val="22"/>
          <w:szCs w:val="24"/>
        </w:rPr>
      </w:pPr>
      <w:r>
        <w:rPr>
          <w:rFonts w:ascii="Arial Narrow" w:hAnsi="Arial Narrow" w:cs="Arial Narrow"/>
          <w:sz w:val="22"/>
          <w:szCs w:val="24"/>
        </w:rPr>
        <w:t>Prílohami k žiadosti sú</w:t>
      </w:r>
    </w:p>
    <w:p w:rsidR="006A1A04">
      <w:pPr>
        <w:numPr>
          <w:numId w:val="177"/>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177"/>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elektriny oslobodenej od dane potrebný na posúdenie oprávnenosti oslobodenia a doklady preukazujúce uvedené skutočnosti,</w:t>
      </w:r>
    </w:p>
    <w:p w:rsidR="006A1A04">
      <w:pPr>
        <w:numPr>
          <w:numId w:val="177"/>
        </w:numPr>
        <w:spacing w:before="120"/>
        <w:jc w:val="both"/>
        <w:rPr>
          <w:rFonts w:ascii="Arial Narrow" w:hAnsi="Arial Narrow" w:cs="Arial Narrow"/>
          <w:sz w:val="22"/>
          <w:szCs w:val="24"/>
        </w:rPr>
      </w:pPr>
      <w:r>
        <w:rPr>
          <w:rFonts w:ascii="Arial Narrow" w:hAnsi="Arial Narrow" w:cs="Arial Narrow"/>
          <w:sz w:val="22"/>
          <w:szCs w:val="24"/>
        </w:rPr>
        <w:t>údaj o celkovom ročnom objeme spotreby elektriny a údaj o ročnom objeme spotreby elektriny na účely oslobodené od dane; ak nemožno vychádzať zo skutočnej spotreby elektriny za predchádzajúci kalendárny rok, žiadateľ vychádza z predpokladaného množstva spotreby elektriny za kalendárny rok.</w:t>
      </w:r>
    </w:p>
    <w:p w:rsidR="006A1A04">
      <w:pPr>
        <w:numPr>
          <w:numId w:val="175"/>
        </w:numPr>
        <w:tabs>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 xml:space="preserve">Colný úrad pred registráciou oprávneného spotrebiteľa elektriny a pred vydaním povolenia na oslobodenú elektrinu, preverí u žiadateľa údaje uvedené v žiadosti podľa odseku 2 a v prílohách k žiadosti podľa odseku 3. Ak sú tieto údaje pravdivé, colný úrad  vydá žiadateľovi  osvedčenie o registrácii a žiadateľovi, ktorý má samostatné odberné miesto </w:t>
      </w:r>
      <w:r>
        <w:rPr>
          <w:rFonts w:ascii="Arial Narrow" w:hAnsi="Arial Narrow" w:cs="Arial Narrow"/>
          <w:sz w:val="22"/>
          <w:szCs w:val="24"/>
          <w:vertAlign w:val="superscript"/>
        </w:rPr>
        <w:t>16</w:t>
      </w:r>
      <w:r>
        <w:rPr>
          <w:rFonts w:ascii="Arial Narrow" w:hAnsi="Arial Narrow" w:cs="Arial Narrow"/>
          <w:sz w:val="22"/>
          <w:szCs w:val="24"/>
        </w:rPr>
        <w:t>)  výlučne  na odber elektriny oslobodenej od dane, aj povolenie  na oslobodenú elektrinu do 15 dní odo dňa podania žiadosti. Ak žiadateľ v tejto lehote nepreukáže pravdivosť všetkých údajov a splnenie všetkých podmienok, colný úrad vydá osvedčenie o registrácii ako aj  povolenie na oslobodenú elektrinu v lehote do 15 dní odo dňa preukázania pravdivosti všetkých údajov a splnenia poslednej z podmienok.</w:t>
      </w:r>
    </w:p>
    <w:p w:rsidR="006A1A04">
      <w:pPr>
        <w:numPr>
          <w:numId w:val="175"/>
        </w:numPr>
        <w:tabs>
          <w:tab w:val="num" w:pos="-18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color w:val="000000"/>
          <w:sz w:val="22"/>
          <w:szCs w:val="24"/>
        </w:rPr>
        <w:t xml:space="preserve">Právnická osoba alebo fyzická osoba, ktorá chce byť od </w:t>
      </w:r>
      <w:r>
        <w:rPr>
          <w:rFonts w:ascii="Arial Narrow" w:hAnsi="Arial Narrow" w:cs="Arial Narrow"/>
          <w:sz w:val="22"/>
          <w:szCs w:val="24"/>
        </w:rPr>
        <w:t xml:space="preserve">1. júla 2008 </w:t>
      </w:r>
      <w:r>
        <w:rPr>
          <w:rFonts w:ascii="Arial Narrow" w:hAnsi="Arial Narrow" w:cs="Arial Narrow"/>
          <w:color w:val="000000"/>
          <w:sz w:val="22"/>
          <w:szCs w:val="24"/>
        </w:rPr>
        <w:t>oprávneným spotrebiteľom uhlia</w:t>
      </w:r>
      <w:r>
        <w:rPr>
          <w:rFonts w:ascii="Arial Narrow" w:hAnsi="Arial Narrow" w:cs="Arial Narrow"/>
          <w:sz w:val="22"/>
          <w:szCs w:val="24"/>
        </w:rPr>
        <w:t xml:space="preserve">, </w:t>
      </w:r>
      <w:r>
        <w:rPr>
          <w:rFonts w:ascii="Arial Narrow" w:hAnsi="Arial Narrow" w:cs="Arial Narrow"/>
          <w:color w:val="000000"/>
          <w:sz w:val="22"/>
          <w:szCs w:val="24"/>
        </w:rPr>
        <w:t>a ktorá chce používať uhlie oslobodené od dane, je povinná písomne požiadať colný úrad o registráciu oprávneného spotrebiteľa uhlia a o vydanie povolenia na oslobodené uhlie, a to najneskôr do 31. marca 2008.</w:t>
      </w:r>
    </w:p>
    <w:p w:rsidR="006A1A04">
      <w:pPr>
        <w:numPr>
          <w:numId w:val="175"/>
        </w:numPr>
        <w:tabs>
          <w:tab w:val="num" w:pos="-18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color w:val="000000"/>
          <w:sz w:val="22"/>
          <w:szCs w:val="24"/>
        </w:rPr>
      </w:pPr>
      <w:r>
        <w:rPr>
          <w:rFonts w:ascii="Arial Narrow" w:hAnsi="Arial Narrow" w:cs="Arial Narrow"/>
          <w:sz w:val="22"/>
          <w:szCs w:val="24"/>
        </w:rPr>
        <w:t>Žiadosť o registráciu oprávneného spotrebiteľa uhlia a o vydanie povolenia na oslobodené uhlie musí obsahovať</w:t>
      </w:r>
    </w:p>
    <w:p w:rsidR="006A1A04">
      <w:pPr>
        <w:numPr>
          <w:numId w:val="179"/>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numId w:val="179"/>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179"/>
        </w:numPr>
        <w:spacing w:before="120"/>
        <w:jc w:val="both"/>
        <w:rPr>
          <w:rFonts w:ascii="Arial Narrow" w:hAnsi="Arial Narrow" w:cs="Arial Narrow"/>
          <w:sz w:val="22"/>
          <w:szCs w:val="24"/>
        </w:rPr>
      </w:pPr>
      <w:r>
        <w:rPr>
          <w:rFonts w:ascii="Arial Narrow" w:hAnsi="Arial Narrow" w:cs="Arial Narrow"/>
          <w:sz w:val="22"/>
          <w:szCs w:val="24"/>
        </w:rPr>
        <w:t>účel použitia uhlia oslobodeného od dane podľa tohto zákona a predpokladané množstvo ročnej spotreby     v  tonách.</w:t>
      </w:r>
    </w:p>
    <w:p w:rsidR="006A1A04">
      <w:pPr>
        <w:numPr>
          <w:numId w:val="175"/>
        </w:numPr>
        <w:tabs>
          <w:tab w:val="num" w:pos="-180"/>
          <w:tab w:val="clear" w:pos="340"/>
          <w:tab w:val="left" w:pos="720"/>
          <w:tab w:val="left" w:pos="1440"/>
          <w:tab w:val="left" w:pos="2160"/>
          <w:tab w:val="left" w:pos="2880"/>
          <w:tab w:val="left" w:pos="3600"/>
          <w:tab w:val="left" w:pos="4320"/>
        </w:tabs>
        <w:autoSpaceDE w:val="0"/>
        <w:autoSpaceDN w:val="0"/>
        <w:adjustRightInd w:val="0"/>
        <w:spacing w:before="120" w:line="240" w:lineRule="atLeast"/>
        <w:ind w:left="0" w:firstLine="340"/>
        <w:jc w:val="both"/>
        <w:rPr>
          <w:rFonts w:ascii="Arial Narrow" w:hAnsi="Arial Narrow" w:cs="Arial Narrow"/>
          <w:sz w:val="22"/>
          <w:szCs w:val="24"/>
        </w:rPr>
      </w:pPr>
      <w:r>
        <w:rPr>
          <w:rFonts w:ascii="Arial Narrow" w:hAnsi="Arial Narrow" w:cs="Arial Narrow"/>
          <w:sz w:val="22"/>
          <w:szCs w:val="24"/>
        </w:rPr>
        <w:t>Prílohami k žiadosti sú</w:t>
      </w:r>
    </w:p>
    <w:p w:rsidR="006A1A04">
      <w:pPr>
        <w:numPr>
          <w:numId w:val="205"/>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205"/>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uhlia oslobodeného od dane potrebný na posúdenie oprávnenosti oslobodenia a doklady preukazujúce uvedené skutočnosti.</w:t>
      </w:r>
    </w:p>
    <w:p w:rsidR="006A1A04">
      <w:pPr>
        <w:numPr>
          <w:numId w:val="175"/>
        </w:numPr>
        <w:tabs>
          <w:tab w:val="clear" w:pos="340"/>
        </w:tabs>
        <w:spacing w:before="120"/>
        <w:ind w:left="0" w:firstLine="340"/>
        <w:jc w:val="both"/>
        <w:rPr>
          <w:rFonts w:ascii="Arial Narrow" w:hAnsi="Arial Narrow" w:cs="Arial Narrow"/>
          <w:sz w:val="22"/>
          <w:szCs w:val="24"/>
        </w:rPr>
      </w:pPr>
      <w:r>
        <w:rPr>
          <w:rFonts w:ascii="Arial Narrow" w:hAnsi="Arial Narrow" w:cs="Arial Narrow"/>
          <w:sz w:val="22"/>
          <w:szCs w:val="24"/>
        </w:rPr>
        <w:t xml:space="preserve">Colný úrad pred registráciou oprávneného spotrebiteľa uhlia  a pred vydaním povolenia na oslobodené uhlie preverí u žiadateľa údaje uvedené v žiadosti podľa odseku 6  a v prílohách k žiadosti podľa odseku 7. Ak sú tieto údaje pravdivé, colný úrad vydá žiadateľovi osvedčenie o registrácii ako aj  povolenie na oslobodené uhlie do 15 dní odo dňa podania žiadosti. </w:t>
      </w:r>
      <w:r>
        <w:rPr>
          <w:rFonts w:ascii="Arial Narrow" w:hAnsi="Arial Narrow" w:cs="Arial Narrow"/>
          <w:color w:val="000000"/>
          <w:sz w:val="22"/>
          <w:szCs w:val="24"/>
        </w:rPr>
        <w:t>Ak žiadateľ v tejto lehote nepreukáže pravdivosť všetkých údajov a splnenie všetkých podmienok, colný úrad  vydá osvedčenie o registrácii a  povolenie na oslobodené uhlie v lehote do 15 dní odo dňa preukázania pravdivosti všetkých údajov a splnenia poslednej z podmienok.</w:t>
      </w:r>
    </w:p>
    <w:p w:rsidR="006A1A04">
      <w:pPr>
        <w:numPr>
          <w:numId w:val="175"/>
        </w:numPr>
        <w:tabs>
          <w:tab w:val="clear" w:pos="340"/>
        </w:tabs>
        <w:spacing w:before="120"/>
        <w:ind w:left="0" w:firstLine="340"/>
        <w:jc w:val="both"/>
        <w:rPr>
          <w:rFonts w:ascii="Arial Narrow" w:hAnsi="Arial Narrow" w:cs="Arial Narrow"/>
          <w:sz w:val="22"/>
          <w:szCs w:val="24"/>
        </w:rPr>
      </w:pPr>
      <w:r>
        <w:rPr>
          <w:rFonts w:ascii="Arial Narrow" w:hAnsi="Arial Narrow" w:cs="Arial Narrow"/>
          <w:color w:val="000000"/>
          <w:sz w:val="22"/>
          <w:szCs w:val="24"/>
        </w:rPr>
        <w:t xml:space="preserve">Právnická osoba alebo fyzická osoba, ktorá chce byť od </w:t>
      </w:r>
      <w:r>
        <w:rPr>
          <w:rFonts w:ascii="Arial Narrow" w:hAnsi="Arial Narrow" w:cs="Arial Narrow"/>
          <w:sz w:val="22"/>
          <w:szCs w:val="24"/>
        </w:rPr>
        <w:t xml:space="preserve">1. júla 2008 </w:t>
      </w:r>
      <w:r>
        <w:rPr>
          <w:rFonts w:ascii="Arial Narrow" w:hAnsi="Arial Narrow" w:cs="Arial Narrow"/>
          <w:color w:val="000000"/>
          <w:sz w:val="22"/>
          <w:szCs w:val="24"/>
        </w:rPr>
        <w:t xml:space="preserve">oprávneným spotrebiteľom zemného plynu, a ktorá chce používať zemný plyn na účely oslobodené od dane,  je povinná písomne požiadať colný úrad  o registráciu oprávneného spotrebiteľa zemného plynu a ak má samostatné odberné miesto </w:t>
      </w:r>
      <w:r>
        <w:rPr>
          <w:rFonts w:ascii="Arial Narrow" w:hAnsi="Arial Narrow" w:cs="Arial Narrow"/>
          <w:color w:val="000000"/>
          <w:sz w:val="22"/>
          <w:szCs w:val="24"/>
          <w:vertAlign w:val="superscript"/>
        </w:rPr>
        <w:t>20</w:t>
      </w:r>
      <w:r>
        <w:rPr>
          <w:rFonts w:ascii="Arial Narrow" w:hAnsi="Arial Narrow" w:cs="Arial Narrow"/>
          <w:color w:val="000000"/>
          <w:sz w:val="22"/>
          <w:szCs w:val="24"/>
        </w:rPr>
        <w:t xml:space="preserve">) výlučne na odber zemného plynu oslobodeného od dane aj o vydanie povolenia na oslobodený zemný plyn, a to najneskôr do 31. marca </w:t>
      </w:r>
      <w:r>
        <w:rPr>
          <w:rFonts w:ascii="Arial Narrow" w:hAnsi="Arial Narrow" w:cs="Arial Narrow"/>
          <w:b/>
          <w:color w:val="000000"/>
          <w:sz w:val="22"/>
          <w:szCs w:val="24"/>
        </w:rPr>
        <w:t xml:space="preserve"> </w:t>
      </w:r>
      <w:r>
        <w:rPr>
          <w:rFonts w:ascii="Arial Narrow" w:hAnsi="Arial Narrow" w:cs="Arial Narrow"/>
          <w:color w:val="000000"/>
          <w:sz w:val="22"/>
          <w:szCs w:val="24"/>
        </w:rPr>
        <w:t>2008.</w:t>
      </w:r>
    </w:p>
    <w:p w:rsidR="006A1A04">
      <w:pPr>
        <w:spacing w:before="120"/>
        <w:jc w:val="both"/>
        <w:rPr>
          <w:rFonts w:ascii="Arial Narrow" w:hAnsi="Arial Narrow" w:cs="Arial Narrow"/>
          <w:color w:val="000000"/>
          <w:sz w:val="22"/>
          <w:szCs w:val="24"/>
        </w:rPr>
      </w:pPr>
    </w:p>
    <w:p w:rsidR="006A1A04">
      <w:pPr>
        <w:spacing w:before="120"/>
        <w:jc w:val="both"/>
        <w:rPr>
          <w:rFonts w:ascii="Arial Narrow" w:hAnsi="Arial Narrow" w:cs="Arial Narrow"/>
          <w:sz w:val="22"/>
          <w:szCs w:val="24"/>
        </w:rPr>
      </w:pPr>
    </w:p>
    <w:p w:rsidR="006A1A04">
      <w:pPr>
        <w:numPr>
          <w:numId w:val="175"/>
        </w:numPr>
        <w:tabs>
          <w:tab w:val="clear" w:pos="340"/>
        </w:tabs>
        <w:spacing w:before="120"/>
        <w:ind w:left="0" w:firstLine="340"/>
        <w:jc w:val="both"/>
        <w:rPr>
          <w:rFonts w:ascii="Arial Narrow" w:hAnsi="Arial Narrow" w:cs="Arial Narrow"/>
          <w:color w:val="000000"/>
          <w:sz w:val="22"/>
          <w:szCs w:val="24"/>
        </w:rPr>
      </w:pPr>
      <w:r>
        <w:rPr>
          <w:rFonts w:ascii="Arial Narrow" w:hAnsi="Arial Narrow" w:cs="Arial Narrow"/>
          <w:color w:val="000000"/>
          <w:sz w:val="22"/>
          <w:szCs w:val="24"/>
        </w:rPr>
        <w:t>Žiadosť o registráciu oprávneného spotrebiteľa zemného plynu a o vydanie povolenia na oslobodený zemný plyn musí obsahovať</w:t>
      </w:r>
    </w:p>
    <w:p w:rsidR="006A1A04">
      <w:pPr>
        <w:numPr>
          <w:numId w:val="182"/>
        </w:numPr>
        <w:spacing w:before="120"/>
        <w:jc w:val="both"/>
        <w:rPr>
          <w:rFonts w:ascii="Arial Narrow" w:hAnsi="Arial Narrow" w:cs="Arial Narrow"/>
          <w:sz w:val="22"/>
          <w:szCs w:val="24"/>
        </w:rPr>
      </w:pPr>
      <w:r>
        <w:rPr>
          <w:rFonts w:ascii="Arial Narrow" w:hAnsi="Arial Narrow" w:cs="Arial Narrow"/>
          <w:sz w:val="22"/>
          <w:szCs w:val="24"/>
        </w:rPr>
        <w:t>identifikačné údaje žiadateľa a adresu umiestnenia prevádzkarní, ak nie sú totožné so sídlom alebo s trvalým pobytom žiadateľa,</w:t>
      </w:r>
    </w:p>
    <w:p w:rsidR="006A1A04">
      <w:pPr>
        <w:numPr>
          <w:numId w:val="182"/>
        </w:numPr>
        <w:spacing w:before="120"/>
        <w:jc w:val="both"/>
        <w:rPr>
          <w:rFonts w:ascii="Arial Narrow" w:hAnsi="Arial Narrow" w:cs="Arial Narrow"/>
          <w:sz w:val="22"/>
          <w:szCs w:val="24"/>
        </w:rPr>
      </w:pPr>
      <w:r>
        <w:rPr>
          <w:rFonts w:ascii="Arial Narrow" w:hAnsi="Arial Narrow" w:cs="Arial Narrow"/>
          <w:sz w:val="22"/>
          <w:szCs w:val="24"/>
        </w:rPr>
        <w:t>daňové identifikačné číslo žiadateľa; ak žiadateľ nemá daňové identifikačné číslo, uvedie sa rodné číslo,</w:t>
      </w:r>
    </w:p>
    <w:p w:rsidR="006A1A04">
      <w:pPr>
        <w:numPr>
          <w:numId w:val="182"/>
        </w:numPr>
        <w:spacing w:before="120"/>
        <w:jc w:val="both"/>
        <w:rPr>
          <w:rFonts w:ascii="Arial Narrow" w:hAnsi="Arial Narrow" w:cs="Arial Narrow"/>
          <w:sz w:val="22"/>
          <w:szCs w:val="24"/>
        </w:rPr>
      </w:pPr>
      <w:r>
        <w:rPr>
          <w:rFonts w:ascii="Arial Narrow" w:hAnsi="Arial Narrow" w:cs="Arial Narrow"/>
          <w:sz w:val="22"/>
          <w:szCs w:val="24"/>
        </w:rPr>
        <w:t>účel použitia zemného plynu oslobodeného od dane podľa tohto zákona a predpokladané množstvo ročnej spotreby v  kilowatthodinách,</w:t>
      </w:r>
    </w:p>
    <w:p w:rsidR="006A1A04">
      <w:pPr>
        <w:numPr>
          <w:numId w:val="182"/>
        </w:numPr>
        <w:spacing w:before="120"/>
        <w:jc w:val="both"/>
        <w:rPr>
          <w:rFonts w:ascii="Arial Narrow" w:hAnsi="Arial Narrow" w:cs="Arial Narrow"/>
          <w:sz w:val="22"/>
          <w:szCs w:val="24"/>
        </w:rPr>
      </w:pPr>
      <w:r>
        <w:rPr>
          <w:rFonts w:ascii="Arial Narrow" w:hAnsi="Arial Narrow" w:cs="Arial Narrow"/>
          <w:sz w:val="22"/>
          <w:szCs w:val="24"/>
        </w:rPr>
        <w:t xml:space="preserve">číslo samostatného odberného miesta </w:t>
      </w:r>
      <w:r>
        <w:rPr>
          <w:rFonts w:ascii="Arial Narrow" w:hAnsi="Arial Narrow" w:cs="Arial Narrow"/>
          <w:sz w:val="22"/>
          <w:szCs w:val="24"/>
          <w:vertAlign w:val="superscript"/>
        </w:rPr>
        <w:t>20</w:t>
      </w:r>
      <w:r>
        <w:rPr>
          <w:rFonts w:ascii="Arial Narrow" w:hAnsi="Arial Narrow" w:cs="Arial Narrow"/>
          <w:sz w:val="22"/>
          <w:szCs w:val="24"/>
        </w:rPr>
        <w:t xml:space="preserve">)  výlučne na odber zemného plynu  oslobodeného od dane, </w:t>
      </w:r>
    </w:p>
    <w:p w:rsidR="006A1A04">
      <w:pPr>
        <w:numPr>
          <w:numId w:val="182"/>
        </w:numPr>
        <w:spacing w:before="120"/>
        <w:jc w:val="both"/>
        <w:rPr>
          <w:rFonts w:ascii="Arial Narrow" w:hAnsi="Arial Narrow" w:cs="Arial Narrow"/>
          <w:sz w:val="22"/>
          <w:szCs w:val="24"/>
        </w:rPr>
      </w:pPr>
      <w:r>
        <w:rPr>
          <w:rFonts w:ascii="Arial Narrow" w:hAnsi="Arial Narrow" w:cs="Arial Narrow"/>
          <w:sz w:val="22"/>
          <w:szCs w:val="24"/>
        </w:rPr>
        <w:t>identifikačné údaje dodávateľa zemného plynu.</w:t>
      </w:r>
    </w:p>
    <w:p w:rsidR="006A1A04">
      <w:pPr>
        <w:numPr>
          <w:numId w:val="175"/>
        </w:numPr>
        <w:tabs>
          <w:tab w:val="clear" w:pos="340"/>
        </w:tabs>
        <w:spacing w:before="120"/>
        <w:ind w:left="0" w:firstLine="340"/>
        <w:jc w:val="both"/>
        <w:rPr>
          <w:rFonts w:ascii="Arial Narrow" w:hAnsi="Arial Narrow" w:cs="Arial Narrow"/>
          <w:color w:val="000000"/>
          <w:sz w:val="22"/>
          <w:szCs w:val="24"/>
        </w:rPr>
      </w:pPr>
      <w:r>
        <w:rPr>
          <w:rFonts w:ascii="Arial Narrow" w:hAnsi="Arial Narrow" w:cs="Arial Narrow"/>
          <w:color w:val="000000"/>
          <w:sz w:val="22"/>
          <w:szCs w:val="24"/>
        </w:rPr>
        <w:t>Prílohami k žiadosti sú</w:t>
      </w:r>
    </w:p>
    <w:p w:rsidR="006A1A04">
      <w:pPr>
        <w:numPr>
          <w:numId w:val="184"/>
        </w:numPr>
        <w:spacing w:before="120"/>
        <w:jc w:val="both"/>
        <w:rPr>
          <w:rFonts w:ascii="Arial Narrow" w:hAnsi="Arial Narrow" w:cs="Arial Narrow"/>
          <w:sz w:val="22"/>
          <w:szCs w:val="24"/>
        </w:rPr>
      </w:pPr>
      <w:r>
        <w:rPr>
          <w:rFonts w:ascii="Arial Narrow" w:hAnsi="Arial Narrow" w:cs="Arial Narrow"/>
          <w:sz w:val="22"/>
          <w:szCs w:val="24"/>
        </w:rPr>
        <w:t>výpis z obchodného registra, alebo zo živnostenského registra alebo inej evidencie oprávnení na podnikanie ustanovenej osobitným predpisom, a to nie starší ako 30 dní alebo jeho osvedčená kópia,  alebo doklad preukazujúci, že právnická osoba nie je zriadená alebo založená na podnikateľské účely, nie starší ako 30 dní alebo jeho osvedčená kópia,</w:t>
      </w:r>
    </w:p>
    <w:p w:rsidR="006A1A04">
      <w:pPr>
        <w:numPr>
          <w:numId w:val="184"/>
        </w:numPr>
        <w:spacing w:before="120"/>
        <w:jc w:val="both"/>
        <w:rPr>
          <w:rFonts w:ascii="Arial Narrow" w:hAnsi="Arial Narrow" w:cs="Arial Narrow"/>
          <w:sz w:val="22"/>
          <w:szCs w:val="24"/>
        </w:rPr>
      </w:pPr>
      <w:r>
        <w:rPr>
          <w:rFonts w:ascii="Arial Narrow" w:hAnsi="Arial Narrow" w:cs="Arial Narrow"/>
          <w:sz w:val="22"/>
          <w:szCs w:val="24"/>
        </w:rPr>
        <w:t>opis účelu použitia a spôsobu použitia zemného plynu oslobodeného od dane potrebný na posúdenie oprávnenosti oslobodenia a doklady preukazujúce uvedené skutočnosti,</w:t>
      </w:r>
    </w:p>
    <w:p w:rsidR="006A1A04">
      <w:pPr>
        <w:numPr>
          <w:numId w:val="184"/>
        </w:numPr>
        <w:spacing w:before="120"/>
        <w:jc w:val="both"/>
        <w:rPr>
          <w:rFonts w:ascii="Arial Narrow" w:hAnsi="Arial Narrow" w:cs="Arial Narrow"/>
          <w:sz w:val="22"/>
          <w:szCs w:val="24"/>
        </w:rPr>
      </w:pPr>
      <w:r>
        <w:rPr>
          <w:rFonts w:ascii="Arial Narrow" w:hAnsi="Arial Narrow" w:cs="Arial Narrow"/>
          <w:sz w:val="22"/>
          <w:szCs w:val="24"/>
        </w:rPr>
        <w:t>údaj o celkovom ročnom objeme spotreby zemného plynu a údaj o ročnom objeme spotreby zemného plynu na účely oslobodené od dane; ak nemožno vychádzať zo skutočnej spotreby zemného plynu za predchádzajúci kalendárny rok, žiadateľ vychádza z predpokladaného množstva spotreby zemného plynu za kalendárny rok.</w:t>
      </w:r>
    </w:p>
    <w:p w:rsidR="006A1A04">
      <w:pPr>
        <w:numPr>
          <w:numId w:val="175"/>
        </w:numPr>
        <w:tabs>
          <w:tab w:val="clear" w:pos="340"/>
        </w:tabs>
        <w:spacing w:before="120"/>
        <w:ind w:left="0" w:firstLine="340"/>
        <w:jc w:val="both"/>
        <w:rPr>
          <w:rFonts w:ascii="Arial Narrow" w:hAnsi="Arial Narrow" w:cs="Arial Narrow"/>
          <w:color w:val="000000"/>
          <w:sz w:val="22"/>
          <w:szCs w:val="24"/>
        </w:rPr>
      </w:pPr>
      <w:r>
        <w:rPr>
          <w:rFonts w:ascii="Arial Narrow" w:hAnsi="Arial Narrow" w:cs="Arial Narrow"/>
          <w:color w:val="000000"/>
          <w:sz w:val="22"/>
          <w:szCs w:val="24"/>
        </w:rPr>
        <w:t>Colný úrad pred registráciou oprávneného spotrebiteľa zemného plynu a pred vydaním povolenia na oslobodený zemný plyn, preverí u žiadateľa údaje uvedené v žiadosti podľa odseku 10 a v prílohách k žiadosti podľa odseku 11. Ak sú tieto</w:t>
      </w:r>
      <w:r>
        <w:rPr>
          <w:rFonts w:ascii="Arial Narrow" w:hAnsi="Arial Narrow" w:cs="Arial Narrow"/>
          <w:b/>
          <w:color w:val="000000"/>
          <w:sz w:val="22"/>
          <w:szCs w:val="24"/>
        </w:rPr>
        <w:t xml:space="preserve"> </w:t>
      </w:r>
      <w:r>
        <w:rPr>
          <w:rFonts w:ascii="Arial Narrow" w:hAnsi="Arial Narrow" w:cs="Arial Narrow"/>
          <w:color w:val="000000"/>
          <w:sz w:val="22"/>
          <w:szCs w:val="24"/>
        </w:rPr>
        <w:t xml:space="preserve">údaje pravdivé, colný úrad  vydá žiadateľovi  osvedčenie o registrácii a žiadateľovi, ktorý má samostatné odberné miesto </w:t>
      </w:r>
      <w:r>
        <w:rPr>
          <w:rFonts w:ascii="Arial Narrow" w:hAnsi="Arial Narrow" w:cs="Arial Narrow"/>
          <w:color w:val="000000"/>
          <w:sz w:val="22"/>
          <w:szCs w:val="24"/>
          <w:vertAlign w:val="superscript"/>
        </w:rPr>
        <w:t>20</w:t>
      </w:r>
      <w:r>
        <w:rPr>
          <w:rFonts w:ascii="Arial Narrow" w:hAnsi="Arial Narrow" w:cs="Arial Narrow"/>
          <w:color w:val="000000"/>
          <w:sz w:val="22"/>
          <w:szCs w:val="24"/>
        </w:rPr>
        <w:t>)  výlučne  na odber zemného plynu oslobodeného od dane, aj povolenie na  oslobodený zemný plyn  do 15 dní odo dňa podania žiadosti. Ak žiadateľ v tejto lehote nepreukáže pravdivosť všetkých údajov a splnenie všetkých podmienok, colný úrad  vydá osvedčenie o registrácii ako aj povolenie na oslobodený zemný plyn v lehote do 15 dní odo dňa preukázania pravdivosti všetkých údajov a splnenia poslednej z podmienok.</w:t>
      </w:r>
    </w:p>
    <w:p w:rsidR="006A1A04">
      <w:pPr>
        <w:numPr>
          <w:numId w:val="175"/>
        </w:numPr>
        <w:tabs>
          <w:tab w:val="clear" w:pos="340"/>
        </w:tabs>
        <w:spacing w:before="120"/>
        <w:ind w:left="0" w:firstLine="340"/>
        <w:jc w:val="both"/>
        <w:rPr>
          <w:rFonts w:ascii="Arial Narrow" w:hAnsi="Arial Narrow" w:cs="Arial Narrow"/>
          <w:color w:val="000000"/>
          <w:sz w:val="22"/>
          <w:szCs w:val="24"/>
        </w:rPr>
      </w:pPr>
      <w:r>
        <w:rPr>
          <w:rFonts w:ascii="Arial Narrow" w:hAnsi="Arial Narrow" w:cs="Arial Narrow"/>
          <w:color w:val="000000"/>
          <w:sz w:val="22"/>
          <w:szCs w:val="24"/>
        </w:rPr>
        <w:t>Právnická osoba alebo fyzická osoba, ktorej bolo vydané povolenie na oslobodenú elektrinu, povolenie na oslobodené uhlie alebo povolenie na oslobodený zemný plyn, je povinná bezodkladne predložiť povolenie na oslobodenú elektrinu, povolenie na oslobodené uhlie alebo povolenie na oslobodený zemný plyn svojmu dodávateľovi elektriny, dodávateľovi uhlia alebo dodávateľovi zemného plynu.</w:t>
      </w:r>
    </w:p>
    <w:p w:rsidR="006A1A04">
      <w:pPr>
        <w:pStyle w:val="Heading6"/>
        <w:spacing w:line="240" w:lineRule="auto"/>
        <w:rPr>
          <w:sz w:val="22"/>
          <w:szCs w:val="24"/>
        </w:rPr>
      </w:pPr>
    </w:p>
    <w:p w:rsidR="006A1A04" w:rsidP="00533965">
      <w:pPr>
        <w:pStyle w:val="Heading6"/>
        <w:spacing w:before="240" w:line="240" w:lineRule="auto"/>
        <w:rPr>
          <w:sz w:val="22"/>
          <w:szCs w:val="24"/>
        </w:rPr>
      </w:pPr>
      <w:r>
        <w:rPr>
          <w:sz w:val="22"/>
          <w:szCs w:val="24"/>
        </w:rPr>
        <w:t>Čl. II</w:t>
      </w:r>
    </w:p>
    <w:p w:rsidR="006A1A04">
      <w:pPr>
        <w:rPr>
          <w:rFonts w:ascii="Times New Roman" w:hAnsi="Times New Roman" w:cs="Times New Roman"/>
          <w:szCs w:val="24"/>
        </w:rPr>
      </w:pPr>
    </w:p>
    <w:p w:rsidR="006A1A04">
      <w:pPr>
        <w:pStyle w:val="Zkladntext"/>
        <w:ind w:firstLine="357"/>
        <w:jc w:val="both"/>
        <w:rPr>
          <w:rFonts w:ascii="Arial Narrow" w:hAnsi="Arial Narrow" w:cs="Arial Narrow"/>
          <w:sz w:val="22"/>
          <w:szCs w:val="24"/>
        </w:rPr>
      </w:pPr>
      <w:r>
        <w:rPr>
          <w:rFonts w:ascii="Arial Narrow" w:hAnsi="Arial Narrow" w:cs="Arial Narrow"/>
          <w:sz w:val="22"/>
          <w:szCs w:val="24"/>
        </w:rPr>
        <w:t>Zákon č. 98/2004 Z. z. o  spotrebnej dani z minerálneho oleja v znení zákona č. 667/2004 Z. z.,  zákona      č. 223/2006 Z. z. a  zákona č. 672/2006 Z. z.  sa mení  a dopĺňa takto:</w:t>
      </w:r>
    </w:p>
    <w:p w:rsidR="006A1A04">
      <w:pPr>
        <w:pStyle w:val="Zkladntext"/>
        <w:jc w:val="both"/>
        <w:rPr>
          <w:rFonts w:ascii="Arial Narrow" w:hAnsi="Arial Narrow" w:cs="Arial Narrow"/>
          <w:sz w:val="22"/>
          <w:szCs w:val="24"/>
        </w:rPr>
      </w:pPr>
    </w:p>
    <w:p w:rsidR="006A1A04" w:rsidP="00533965">
      <w:pPr>
        <w:pStyle w:val="Zkladntext"/>
        <w:numPr>
          <w:numId w:val="199"/>
        </w:numPr>
        <w:tabs>
          <w:tab w:val="num" w:pos="340"/>
        </w:tabs>
        <w:spacing w:after="120"/>
        <w:ind w:left="357" w:hanging="357"/>
        <w:jc w:val="both"/>
        <w:rPr>
          <w:rFonts w:ascii="Arial Narrow" w:hAnsi="Arial Narrow" w:cs="Arial Narrow"/>
          <w:sz w:val="22"/>
          <w:szCs w:val="24"/>
        </w:rPr>
      </w:pPr>
      <w:r>
        <w:rPr>
          <w:rFonts w:ascii="Arial Narrow" w:hAnsi="Arial Narrow" w:cs="Arial Narrow"/>
          <w:sz w:val="22"/>
          <w:szCs w:val="24"/>
        </w:rPr>
        <w:t xml:space="preserve">V § 4 ods. 2  písmeno b) znie:    </w:t>
      </w:r>
    </w:p>
    <w:p w:rsidR="006A1A04">
      <w:pPr>
        <w:pStyle w:val="Zkladntext"/>
        <w:ind w:left="357"/>
        <w:jc w:val="both"/>
        <w:rPr>
          <w:rFonts w:ascii="Arial Narrow" w:hAnsi="Arial Narrow" w:cs="Arial Narrow"/>
          <w:sz w:val="22"/>
          <w:szCs w:val="24"/>
        </w:rPr>
      </w:pPr>
      <w:r>
        <w:rPr>
          <w:rFonts w:ascii="Arial Narrow" w:hAnsi="Arial Narrow" w:cs="Arial Narrow"/>
          <w:sz w:val="22"/>
          <w:szCs w:val="24"/>
        </w:rPr>
        <w:t>„b)  tovar kódu kombinovanej nomenklatúry 2706 až 2715 okrem tovaru kódu kombinovanej</w:t>
      </w:r>
    </w:p>
    <w:p w:rsidR="006A1A04">
      <w:pPr>
        <w:pStyle w:val="Zkladntext"/>
        <w:ind w:left="357"/>
        <w:jc w:val="both"/>
        <w:rPr>
          <w:rFonts w:ascii="Arial Narrow" w:hAnsi="Arial Narrow" w:cs="Arial Narrow"/>
          <w:sz w:val="22"/>
          <w:szCs w:val="24"/>
        </w:rPr>
      </w:pPr>
      <w:r>
        <w:rPr>
          <w:rFonts w:ascii="Arial Narrow" w:hAnsi="Arial Narrow" w:cs="Arial Narrow"/>
          <w:sz w:val="22"/>
          <w:szCs w:val="24"/>
        </w:rPr>
        <w:t xml:space="preserve">      nomenklatúry  2711 11,  2711 21, 2711 29 a pevných uhľovodíkov kódu kombinovanej nomenklatúry </w:t>
      </w:r>
    </w:p>
    <w:p w:rsidR="006A1A04">
      <w:pPr>
        <w:pStyle w:val="Zkladntext"/>
        <w:ind w:left="357"/>
        <w:jc w:val="both"/>
        <w:rPr>
          <w:rFonts w:ascii="Arial Narrow" w:hAnsi="Arial Narrow" w:cs="Arial Narrow"/>
          <w:sz w:val="22"/>
          <w:szCs w:val="24"/>
        </w:rPr>
      </w:pPr>
      <w:r>
        <w:rPr>
          <w:rFonts w:ascii="Arial Narrow" w:hAnsi="Arial Narrow" w:cs="Arial Narrow"/>
          <w:sz w:val="22"/>
          <w:szCs w:val="24"/>
        </w:rPr>
        <w:t xml:space="preserve">      2706 až 2715,“.</w:t>
      </w:r>
    </w:p>
    <w:p w:rsidR="006A1A04">
      <w:pPr>
        <w:pStyle w:val="Zkladntext"/>
        <w:ind w:left="357"/>
        <w:jc w:val="both"/>
        <w:rPr>
          <w:rFonts w:ascii="Arial Narrow" w:hAnsi="Arial Narrow" w:cs="Arial Narrow"/>
          <w:sz w:val="22"/>
          <w:szCs w:val="24"/>
        </w:rPr>
      </w:pPr>
    </w:p>
    <w:p w:rsidR="006A1A04" w:rsidP="00533965">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 xml:space="preserve">V § 4  ods. 4 sa vypúšťajú slová „alebo zemného plynu“.  </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spacing w:after="120"/>
        <w:ind w:left="357" w:hanging="357"/>
        <w:jc w:val="both"/>
        <w:rPr>
          <w:rFonts w:ascii="Arial Narrow" w:hAnsi="Arial Narrow" w:cs="Arial Narrow"/>
          <w:sz w:val="22"/>
          <w:szCs w:val="24"/>
        </w:rPr>
      </w:pPr>
      <w:r>
        <w:rPr>
          <w:rFonts w:ascii="Arial Narrow" w:hAnsi="Arial Narrow" w:cs="Arial Narrow"/>
          <w:sz w:val="22"/>
          <w:szCs w:val="24"/>
        </w:rPr>
        <w:t xml:space="preserve">V  § 4  odsek  6  znie: </w:t>
      </w:r>
    </w:p>
    <w:p w:rsidR="006A1A04">
      <w:pPr>
        <w:pStyle w:val="Zkladntext"/>
        <w:ind w:left="360"/>
        <w:jc w:val="both"/>
        <w:rPr>
          <w:rFonts w:ascii="Arial Narrow" w:hAnsi="Arial Narrow" w:cs="Arial Narrow"/>
          <w:sz w:val="22"/>
          <w:szCs w:val="24"/>
        </w:rPr>
      </w:pPr>
      <w:r>
        <w:rPr>
          <w:rFonts w:ascii="Arial Narrow" w:hAnsi="Arial Narrow" w:cs="Arial Narrow"/>
          <w:sz w:val="22"/>
          <w:szCs w:val="24"/>
        </w:rPr>
        <w:t xml:space="preserve">   „(6) Minerálnym olejom na účely tohto zákona nie sú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a)  elektrina, uhlie  a zemný plyn podliehajúce spotrebnej dani podľa osobitného predpisu, </w:t>
      </w:r>
      <w:r>
        <w:rPr>
          <w:rFonts w:ascii="Arial Narrow" w:hAnsi="Arial Narrow" w:cs="Arial Narrow"/>
          <w:sz w:val="22"/>
          <w:szCs w:val="24"/>
          <w:vertAlign w:val="superscript"/>
        </w:rPr>
        <w:t>2a</w:t>
      </w:r>
      <w:r>
        <w:rPr>
          <w:rFonts w:ascii="Arial Narrow" w:hAnsi="Arial Narrow" w:cs="Arial Narrow"/>
          <w:sz w:val="22"/>
          <w:szCs w:val="24"/>
        </w:rPr>
        <w:t xml:space="preserve">)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b)  palivové drevo, drevené uhlie kódu kombinovanej nomenklatúry 4401 a 4402,</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c)  rašelina kódu kombinovanej nomenklatúry 2703.“.          </w:t>
      </w:r>
    </w:p>
    <w:p w:rsidR="006A1A04">
      <w:pPr>
        <w:pStyle w:val="Zkladntext"/>
        <w:spacing w:before="100" w:beforeAutospacing="1"/>
        <w:jc w:val="both"/>
        <w:rPr>
          <w:rFonts w:ascii="Arial Narrow" w:hAnsi="Arial Narrow" w:cs="Arial Narrow"/>
          <w:sz w:val="22"/>
          <w:szCs w:val="24"/>
        </w:rPr>
      </w:pPr>
      <w:r>
        <w:rPr>
          <w:rFonts w:ascii="Arial Narrow" w:hAnsi="Arial Narrow" w:cs="Arial Narrow"/>
          <w:sz w:val="22"/>
          <w:szCs w:val="24"/>
        </w:rPr>
        <w:t xml:space="preserve">        Poznámka pod čiarou k odkazu 2a znie:</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w:t>
      </w:r>
      <w:r>
        <w:rPr>
          <w:rFonts w:ascii="Arial Narrow" w:hAnsi="Arial Narrow" w:cs="Arial Narrow"/>
          <w:sz w:val="22"/>
          <w:szCs w:val="24"/>
          <w:vertAlign w:val="superscript"/>
        </w:rPr>
        <w:t>2a</w:t>
      </w:r>
      <w:r>
        <w:rPr>
          <w:rFonts w:ascii="Arial Narrow" w:hAnsi="Arial Narrow" w:cs="Arial Narrow"/>
          <w:sz w:val="22"/>
          <w:szCs w:val="24"/>
        </w:rPr>
        <w:t xml:space="preserve">)  Zákon  č. .../2007 Z. z. o spotrebnej dani z elektriny, uhlia a zemného plynu a o zmene a doplnení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zákona   č. 98/2004 Z. z. o spotrebnej dani z minerálneho oleja v znení neskorších predpisov.“.</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4 ods. 8 písm. d) sa vypúšťajú slová „s výnimkou tovarov kódov kombinovanej nomenklatúry             2711 11 00,  2711 21 00 a 2711 29 00“.</w:t>
      </w:r>
    </w:p>
    <w:p w:rsidR="006A1A04">
      <w:pPr>
        <w:pStyle w:val="Zkladntext"/>
        <w:numPr>
          <w:numId w:val="199"/>
        </w:numPr>
        <w:tabs>
          <w:tab w:val="num" w:pos="340"/>
        </w:tabs>
        <w:spacing w:before="240"/>
        <w:ind w:left="357" w:hanging="357"/>
        <w:jc w:val="both"/>
        <w:rPr>
          <w:rFonts w:ascii="Arial Narrow" w:hAnsi="Arial Narrow" w:cs="Arial Narrow"/>
          <w:sz w:val="22"/>
          <w:szCs w:val="24"/>
        </w:rPr>
      </w:pPr>
      <w:r>
        <w:rPr>
          <w:rFonts w:ascii="Arial Narrow" w:hAnsi="Arial Narrow" w:cs="Arial Narrow"/>
          <w:sz w:val="22"/>
          <w:szCs w:val="24"/>
        </w:rPr>
        <w:t>V § 6 ods. 1 sa vypúšťa písmeno g).</w:t>
      </w:r>
    </w:p>
    <w:p w:rsidR="006A1A04">
      <w:pPr>
        <w:pStyle w:val="Zkladntext"/>
        <w:numPr>
          <w:numId w:val="199"/>
        </w:numPr>
        <w:tabs>
          <w:tab w:val="num" w:pos="340"/>
        </w:tabs>
        <w:spacing w:before="240"/>
        <w:ind w:left="357" w:hanging="357"/>
        <w:jc w:val="both"/>
        <w:rPr>
          <w:rFonts w:ascii="Arial Narrow" w:hAnsi="Arial Narrow" w:cs="Arial Narrow"/>
          <w:sz w:val="22"/>
          <w:szCs w:val="24"/>
        </w:rPr>
      </w:pPr>
      <w:r>
        <w:rPr>
          <w:rFonts w:ascii="Arial Narrow" w:hAnsi="Arial Narrow" w:cs="Arial Narrow"/>
          <w:sz w:val="22"/>
          <w:szCs w:val="24"/>
        </w:rPr>
        <w:t>V § 6 ods. 2 sa   vypúšťa posledná veta.</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w:t>
      </w: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6 ods. 5 písm. a)  sa slovo „48/100“  nahrádza  slovom „47/100“ a slovo „7,2 %“  sa nahrádza slovom „7,05 %“.</w:t>
      </w:r>
    </w:p>
    <w:p w:rsidR="006A1A04">
      <w:pPr>
        <w:pStyle w:val="Zkladntext"/>
        <w:jc w:val="both"/>
        <w:rPr>
          <w:rFonts w:ascii="Arial Narrow" w:hAnsi="Arial Narrow" w:cs="Arial Narrow"/>
          <w:sz w:val="22"/>
          <w:szCs w:val="24"/>
        </w:rPr>
      </w:pPr>
    </w:p>
    <w:p w:rsidR="006A1A04">
      <w:pPr>
        <w:pStyle w:val="Zkladntext"/>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 xml:space="preserve">V  § 10 ods. 1 písm. b) prvom bode  sa za slovom „zborov“ slovo „a“ nahrádza čiarkou  a na konci  sa pripájajú tieto slová: „a pre lietadlovú techniku pre potreby Hasičského a záchranného zboru </w:t>
      </w:r>
      <w:r>
        <w:rPr>
          <w:rFonts w:ascii="Arial Narrow" w:hAnsi="Arial Narrow" w:cs="Arial Narrow"/>
          <w:sz w:val="22"/>
          <w:szCs w:val="24"/>
          <w:vertAlign w:val="superscript"/>
        </w:rPr>
        <w:t>4b</w:t>
      </w:r>
      <w:r>
        <w:rPr>
          <w:rFonts w:ascii="Arial Narrow" w:hAnsi="Arial Narrow" w:cs="Arial Narrow"/>
          <w:sz w:val="22"/>
          <w:szCs w:val="24"/>
        </w:rPr>
        <w:t xml:space="preserve">) pri plnení úloh podľa osobitného predpisu </w:t>
      </w:r>
      <w:r>
        <w:rPr>
          <w:rFonts w:ascii="Arial Narrow" w:hAnsi="Arial Narrow" w:cs="Arial Narrow"/>
          <w:sz w:val="22"/>
          <w:szCs w:val="24"/>
          <w:vertAlign w:val="superscript"/>
        </w:rPr>
        <w:t>4c</w:t>
      </w:r>
      <w:r>
        <w:rPr>
          <w:rFonts w:ascii="Arial Narrow" w:hAnsi="Arial Narrow" w:cs="Arial Narrow"/>
          <w:sz w:val="22"/>
          <w:szCs w:val="24"/>
        </w:rPr>
        <w:t>)“.</w:t>
      </w:r>
    </w:p>
    <w:p w:rsidR="006A1A04">
      <w:pPr>
        <w:pStyle w:val="Zkladntext"/>
        <w:jc w:val="both"/>
        <w:rPr>
          <w:rFonts w:ascii="Arial Narrow" w:hAnsi="Arial Narrow" w:cs="Arial Narrow"/>
          <w:sz w:val="22"/>
          <w:szCs w:val="24"/>
        </w:rPr>
      </w:pP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Poznámky pod čiarou k odkazom  4b  a  4c  znejú:</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w:t>
      </w:r>
      <w:r>
        <w:rPr>
          <w:rFonts w:ascii="Arial Narrow" w:hAnsi="Arial Narrow" w:cs="Arial Narrow"/>
          <w:sz w:val="22"/>
          <w:szCs w:val="24"/>
          <w:vertAlign w:val="superscript"/>
        </w:rPr>
        <w:t>4b</w:t>
      </w:r>
      <w:r>
        <w:rPr>
          <w:rFonts w:ascii="Arial Narrow" w:hAnsi="Arial Narrow" w:cs="Arial Narrow"/>
          <w:sz w:val="22"/>
          <w:szCs w:val="24"/>
        </w:rPr>
        <w:t xml:space="preserve">)  § 4 ods. 1 zákona č. 315/2001 Z. z. o Hasičskom a záchrannom zbore v znení neskorších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predpisov.</w:t>
      </w:r>
    </w:p>
    <w:p w:rsidR="006A1A04">
      <w:pPr>
        <w:pStyle w:val="Zkladntext"/>
        <w:jc w:val="both"/>
        <w:rPr>
          <w:rFonts w:ascii="Arial Narrow" w:hAnsi="Arial Narrow" w:cs="Arial Narrow"/>
          <w:sz w:val="22"/>
          <w:szCs w:val="24"/>
        </w:rPr>
      </w:pPr>
      <w:r>
        <w:rPr>
          <w:rFonts w:ascii="Arial Narrow" w:hAnsi="Arial Narrow" w:cs="Arial Narrow"/>
          <w:sz w:val="22"/>
          <w:szCs w:val="24"/>
          <w:vertAlign w:val="superscript"/>
        </w:rPr>
        <w:t xml:space="preserve">             4c</w:t>
      </w:r>
      <w:r>
        <w:rPr>
          <w:rFonts w:ascii="Arial Narrow" w:hAnsi="Arial Narrow" w:cs="Arial Narrow"/>
          <w:sz w:val="22"/>
          <w:szCs w:val="24"/>
        </w:rPr>
        <w:t xml:space="preserve">)  Napríklad § 3  zákona č. 315/2001 Z. z. v znení zákona č. 438/2002 Z. z.“. </w:t>
      </w:r>
    </w:p>
    <w:p w:rsidR="006A1A04">
      <w:pPr>
        <w:pStyle w:val="Zkladntext"/>
        <w:jc w:val="both"/>
        <w:rPr>
          <w:rFonts w:ascii="Arial Narrow" w:hAnsi="Arial Narrow" w:cs="Arial Narrow"/>
          <w:b/>
          <w:sz w:val="22"/>
          <w:szCs w:val="24"/>
        </w:rPr>
      </w:pPr>
    </w:p>
    <w:p w:rsidR="006A1A04">
      <w:pPr>
        <w:pStyle w:val="Zkladntext"/>
        <w:jc w:val="both"/>
        <w:rPr>
          <w:rFonts w:ascii="Arial Narrow" w:hAnsi="Arial Narrow" w:cs="Arial Narrow"/>
          <w:b/>
          <w:sz w:val="22"/>
          <w:szCs w:val="24"/>
        </w:rPr>
      </w:pPr>
    </w:p>
    <w:p w:rsidR="006A1A04">
      <w:pPr>
        <w:pStyle w:val="Zkladntext"/>
        <w:numPr>
          <w:numId w:val="199"/>
        </w:numPr>
        <w:tabs>
          <w:tab w:val="num" w:pos="340"/>
        </w:tabs>
        <w:spacing w:after="120"/>
        <w:ind w:left="357" w:hanging="357"/>
        <w:jc w:val="both"/>
        <w:rPr>
          <w:rFonts w:ascii="Arial Narrow" w:hAnsi="Arial Narrow" w:cs="Arial Narrow"/>
          <w:sz w:val="22"/>
          <w:szCs w:val="24"/>
        </w:rPr>
      </w:pPr>
      <w:r>
        <w:rPr>
          <w:rFonts w:ascii="Arial Narrow" w:hAnsi="Arial Narrow" w:cs="Arial Narrow"/>
          <w:sz w:val="22"/>
          <w:szCs w:val="24"/>
        </w:rPr>
        <w:t>V § 10 ods. 1 písmeno d) znie:</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„d) v mineralogických procesoch klasifikovaných v nomenklatúre NACE  Rev. 2 v kóde  23 „výroba ostatných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nekovových minerálnych výrobkov“ podľa osobitného predpisu,</w:t>
      </w:r>
      <w:r>
        <w:rPr>
          <w:rFonts w:ascii="Arial Narrow" w:hAnsi="Arial Narrow" w:cs="Arial Narrow"/>
          <w:sz w:val="22"/>
          <w:szCs w:val="24"/>
          <w:vertAlign w:val="superscript"/>
        </w:rPr>
        <w:t>4d</w:t>
      </w:r>
      <w:r>
        <w:rPr>
          <w:rFonts w:ascii="Arial Narrow" w:hAnsi="Arial Narrow" w:cs="Arial Narrow"/>
          <w:sz w:val="22"/>
          <w:szCs w:val="24"/>
        </w:rPr>
        <w:t>)“.</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Poznámka pod čiarou k odkazu 4d znie:</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w:t>
      </w:r>
      <w:r>
        <w:rPr>
          <w:rFonts w:ascii="Arial Narrow" w:hAnsi="Arial Narrow" w:cs="Arial Narrow"/>
          <w:sz w:val="22"/>
          <w:szCs w:val="24"/>
          <w:vertAlign w:val="superscript"/>
        </w:rPr>
        <w:t>4d</w:t>
      </w:r>
      <w:r>
        <w:rPr>
          <w:rFonts w:ascii="Arial Narrow" w:hAnsi="Arial Narrow" w:cs="Arial Narrow"/>
          <w:sz w:val="22"/>
          <w:szCs w:val="24"/>
        </w:rPr>
        <w:t xml:space="preserve">) Nariadenie Rady (EHS) 3037/90 z  9. októbra 1990 o štatistickej klasifikácii ekonomických činností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v Európskom spoločenstve (Mimoriadne vydanie Ú. v. EÚ, kap. 02/zv. 04)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v platnom znení.“.</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10 ods. 1 písm. g) sa za slová „pohonná látka“ vkladajú slová „lietadiel a lodí“.</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spacing w:after="120"/>
        <w:ind w:left="357" w:hanging="357"/>
        <w:jc w:val="both"/>
        <w:rPr>
          <w:rFonts w:ascii="Arial Narrow" w:hAnsi="Arial Narrow" w:cs="Arial Narrow"/>
          <w:sz w:val="22"/>
          <w:szCs w:val="24"/>
        </w:rPr>
      </w:pPr>
      <w:r>
        <w:rPr>
          <w:rFonts w:ascii="Arial Narrow" w:hAnsi="Arial Narrow" w:cs="Arial Narrow"/>
          <w:sz w:val="22"/>
          <w:szCs w:val="24"/>
        </w:rPr>
        <w:t>V § 10 sa odsek 1 dopĺňa písmenami h) a i), ktoré znejú:</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 h) na výrobu elektriny,</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i) na kombinovanú výrobu elektriny a tepla.“.</w:t>
      </w:r>
    </w:p>
    <w:p w:rsidR="006A1A04">
      <w:pPr>
        <w:pStyle w:val="Zkladntext"/>
        <w:jc w:val="both"/>
        <w:rPr>
          <w:rFonts w:ascii="Arial Narrow" w:hAnsi="Arial Narrow" w:cs="Arial Narrow"/>
          <w:sz w:val="22"/>
          <w:szCs w:val="24"/>
        </w:rPr>
      </w:pPr>
    </w:p>
    <w:p w:rsidR="006A1A04">
      <w:pPr>
        <w:pStyle w:val="Zkladntext"/>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10 ods. 2  sa vypúšťa písmeno j).</w:t>
      </w:r>
    </w:p>
    <w:p w:rsidR="006A1A04">
      <w:pPr>
        <w:pStyle w:val="Zkladntext"/>
        <w:jc w:val="both"/>
        <w:rPr>
          <w:rFonts w:ascii="Arial Narrow" w:hAnsi="Arial Narrow" w:cs="Arial Narrow"/>
          <w:sz w:val="22"/>
          <w:szCs w:val="24"/>
        </w:rPr>
      </w:pPr>
    </w:p>
    <w:p w:rsidR="006A1A04">
      <w:pPr>
        <w:pStyle w:val="Zkladntext"/>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10 odsek 3 znie:</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„(3) Od dane je oslobodený aj minerálny olej, ktorým je skvapalnený plynný uhľovodík kódu kombinovanej nomenklatúry  2711 12 00 až  2711 19 00, určený na použitie, ponúkaný na použitie alebo použitý ako pohonná látka.“. </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12 ods. 2  písmeno b) znie:</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„b) dodania alebo dňom použitia minerálneho oleja oslobodeného od dane na iný ako určený účel,“.</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12 sa vypúšťa odsek 4.</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13 ods. 2 písmeno b) znie:</w:t>
      </w:r>
    </w:p>
    <w:p w:rsidR="006A1A04">
      <w:pPr>
        <w:pStyle w:val="Zkladntext"/>
        <w:spacing w:before="120"/>
        <w:ind w:left="360"/>
        <w:jc w:val="both"/>
        <w:rPr>
          <w:rFonts w:ascii="Arial Narrow" w:hAnsi="Arial Narrow" w:cs="Arial Narrow"/>
          <w:sz w:val="22"/>
          <w:szCs w:val="24"/>
        </w:rPr>
      </w:pPr>
      <w:r>
        <w:rPr>
          <w:rFonts w:ascii="Arial Narrow" w:hAnsi="Arial Narrow" w:cs="Arial Narrow"/>
          <w:sz w:val="22"/>
          <w:szCs w:val="24"/>
        </w:rPr>
        <w:t>„b) dodala na použitie alebo použila minerálny olej oslobodený od dane na iný ako určený účel,“.</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spacing w:before="120"/>
        <w:ind w:left="360"/>
        <w:jc w:val="both"/>
        <w:rPr>
          <w:rFonts w:ascii="Arial Narrow" w:hAnsi="Arial Narrow" w:cs="Arial Narrow"/>
          <w:sz w:val="22"/>
          <w:szCs w:val="24"/>
        </w:rPr>
      </w:pPr>
      <w:r>
        <w:rPr>
          <w:rFonts w:ascii="Arial Narrow" w:hAnsi="Arial Narrow" w:cs="Arial Narrow"/>
          <w:sz w:val="22"/>
          <w:szCs w:val="24"/>
        </w:rPr>
        <w:t>V § 13  sa vypúšťa odsek 4.</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w:t>
      </w: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 xml:space="preserve">V § 14 ods. 2  prvej vete sa vypúšťajú slová „prevádzkovateľ podniku na výrobu, spracovanie alebo skladovanie zemného plynu (§ 34a), prevádzkovateľ distribučnej siete zemného plynu podľa osobitného       predpisu </w:t>
      </w:r>
      <w:r>
        <w:rPr>
          <w:rFonts w:ascii="Arial Narrow" w:hAnsi="Arial Narrow" w:cs="Arial Narrow"/>
          <w:sz w:val="22"/>
          <w:szCs w:val="24"/>
          <w:vertAlign w:val="superscript"/>
        </w:rPr>
        <w:t>7a</w:t>
      </w:r>
      <w:r>
        <w:rPr>
          <w:rFonts w:ascii="Arial Narrow" w:hAnsi="Arial Narrow" w:cs="Arial Narrow"/>
          <w:sz w:val="22"/>
          <w:szCs w:val="24"/>
        </w:rPr>
        <w:t xml:space="preserve">)“ a  v druhej vete sa za slovom „nevznikla“ čiarka nahrádza bodkou a vypúšťajú sa  slová           „s výnimkou prevádzkovateľa podniku na výrobu, spracovanie alebo skladovanie zemného plynu                   a prevádzkovateľa distribučnej siete zemného plynu. </w:t>
      </w:r>
      <w:r>
        <w:rPr>
          <w:rFonts w:ascii="Arial Narrow" w:hAnsi="Arial Narrow" w:cs="Arial Narrow"/>
          <w:sz w:val="22"/>
          <w:szCs w:val="24"/>
          <w:vertAlign w:val="superscript"/>
        </w:rPr>
        <w:t>7a</w:t>
      </w:r>
      <w:r>
        <w:rPr>
          <w:rFonts w:ascii="Arial Narrow" w:hAnsi="Arial Narrow" w:cs="Arial Narrow"/>
          <w:sz w:val="22"/>
          <w:szCs w:val="24"/>
        </w:rPr>
        <w:t xml:space="preserve">)“. </w:t>
      </w:r>
    </w:p>
    <w:p w:rsidR="006A1A04">
      <w:pPr>
        <w:pStyle w:val="Zkladntext"/>
        <w:spacing w:before="240"/>
        <w:jc w:val="both"/>
        <w:rPr>
          <w:rFonts w:ascii="Arial Narrow" w:hAnsi="Arial Narrow" w:cs="Arial Narrow"/>
          <w:sz w:val="22"/>
          <w:szCs w:val="24"/>
        </w:rPr>
      </w:pPr>
      <w:r>
        <w:rPr>
          <w:rFonts w:ascii="Arial Narrow" w:hAnsi="Arial Narrow" w:cs="Arial Narrow"/>
          <w:sz w:val="22"/>
          <w:szCs w:val="24"/>
        </w:rPr>
        <w:t xml:space="preserve">      Poznámka pod čiarou k odkazu  7a  sa  vypúšťa.</w:t>
      </w:r>
    </w:p>
    <w:p w:rsidR="006A1A04">
      <w:pPr>
        <w:pStyle w:val="Zkladntext"/>
        <w:spacing w:before="24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29 ods. 1 druhej vete a ods. 2  prvej vete sa vypúšťajú slová „s výnimkou zemného plynu“.</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 34a  sa  vypúšťa.</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 xml:space="preserve">V § 41 ods. 1 sa za slovom „olejom“  vypúšťa čiarka a  slová „prevádzkovateľov podnikov na výrobu, </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spracovanie alebo skladovanie zemného plynu, prevádzkovateľov distribučnej siete zemného plynu“.</w:t>
      </w:r>
    </w:p>
    <w:p w:rsidR="006A1A04">
      <w:pPr>
        <w:pStyle w:val="Zkladntext"/>
        <w:spacing w:before="120"/>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V § 42 ods. 4 sa vypúšťajú slová „alebo v § 6 ods. 1 písm. f) v druhom bode“.</w:t>
      </w:r>
    </w:p>
    <w:p w:rsidR="006A1A04">
      <w:pPr>
        <w:pStyle w:val="Zkladntext"/>
        <w:jc w:val="both"/>
        <w:rPr>
          <w:rFonts w:ascii="Arial Narrow" w:hAnsi="Arial Narrow" w:cs="Arial Narrow"/>
          <w:sz w:val="22"/>
          <w:szCs w:val="24"/>
        </w:rPr>
      </w:pPr>
    </w:p>
    <w:p w:rsidR="006A1A04">
      <w:pPr>
        <w:pStyle w:val="Zkladntext"/>
        <w:jc w:val="both"/>
        <w:rPr>
          <w:rFonts w:ascii="Arial Narrow" w:hAnsi="Arial Narrow" w:cs="Arial Narrow"/>
          <w:sz w:val="22"/>
          <w:szCs w:val="24"/>
        </w:rPr>
      </w:pPr>
    </w:p>
    <w:p w:rsidR="006A1A04">
      <w:pPr>
        <w:pStyle w:val="Zkladntext"/>
        <w:numPr>
          <w:numId w:val="199"/>
        </w:numPr>
        <w:tabs>
          <w:tab w:val="num" w:pos="340"/>
        </w:tabs>
        <w:ind w:left="357" w:hanging="357"/>
        <w:jc w:val="both"/>
        <w:rPr>
          <w:rFonts w:ascii="Arial Narrow" w:hAnsi="Arial Narrow" w:cs="Arial Narrow"/>
          <w:sz w:val="22"/>
          <w:szCs w:val="24"/>
        </w:rPr>
      </w:pPr>
      <w:r>
        <w:rPr>
          <w:rFonts w:ascii="Arial Narrow" w:hAnsi="Arial Narrow" w:cs="Arial Narrow"/>
          <w:sz w:val="22"/>
          <w:szCs w:val="24"/>
        </w:rPr>
        <w:t>Za § 46b sa vkladá § 46c, ktorý vrátane nadpisu znie:</w:t>
      </w:r>
    </w:p>
    <w:p w:rsidR="006A1A04">
      <w:pPr>
        <w:pStyle w:val="Zkladntext"/>
        <w:spacing w:before="120"/>
        <w:jc w:val="center"/>
        <w:rPr>
          <w:rFonts w:ascii="Arial Narrow" w:hAnsi="Arial Narrow" w:cs="Arial Narrow"/>
          <w:sz w:val="22"/>
          <w:szCs w:val="24"/>
        </w:rPr>
      </w:pPr>
      <w:r>
        <w:rPr>
          <w:rFonts w:ascii="Arial Narrow" w:hAnsi="Arial Narrow" w:cs="Arial Narrow"/>
          <w:sz w:val="22"/>
          <w:szCs w:val="24"/>
        </w:rPr>
        <w:t xml:space="preserve">„§ 46c                                                                                                                                                                                                                                                                                                                                                                                                             Prechodné ustanovenia k úpravám účinným od 1. júla 2008 </w:t>
      </w:r>
    </w:p>
    <w:p w:rsidR="006A1A04">
      <w:pPr>
        <w:pStyle w:val="Zkladntext"/>
        <w:spacing w:before="120"/>
        <w:jc w:val="center"/>
        <w:rPr>
          <w:rFonts w:ascii="Arial Narrow" w:hAnsi="Arial Narrow" w:cs="Arial Narrow"/>
          <w:sz w:val="22"/>
          <w:szCs w:val="24"/>
        </w:rPr>
      </w:pP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(1) Podľa doterajších predpisov sa až do uplynutia posudzujú všetky lehoty, ktoré začali plynúť</w:t>
      </w:r>
    </w:p>
    <w:p w:rsidR="006A1A04">
      <w:pPr>
        <w:pStyle w:val="Zkladntext"/>
        <w:jc w:val="both"/>
        <w:rPr>
          <w:rFonts w:ascii="Arial Narrow" w:hAnsi="Arial Narrow" w:cs="Arial Narrow"/>
          <w:sz w:val="22"/>
          <w:szCs w:val="24"/>
        </w:rPr>
      </w:pPr>
      <w:r>
        <w:rPr>
          <w:rFonts w:ascii="Arial Narrow" w:hAnsi="Arial Narrow" w:cs="Arial Narrow"/>
          <w:sz w:val="22"/>
          <w:szCs w:val="24"/>
        </w:rPr>
        <w:t xml:space="preserve"> pred  1. júlom 2008, ako aj na ne nadväzujúce lehoty na uplatnenie práv a plnenie povinností.</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(2) Daňové konanie právoplatne neukončené do 30. júna</w:t>
      </w:r>
      <w:r>
        <w:rPr>
          <w:rFonts w:ascii="Arial Narrow" w:hAnsi="Arial Narrow" w:cs="Arial Narrow"/>
          <w:b/>
          <w:sz w:val="22"/>
          <w:szCs w:val="24"/>
        </w:rPr>
        <w:t xml:space="preserve"> </w:t>
      </w:r>
      <w:r>
        <w:rPr>
          <w:rFonts w:ascii="Arial Narrow" w:hAnsi="Arial Narrow" w:cs="Arial Narrow"/>
          <w:sz w:val="22"/>
          <w:szCs w:val="24"/>
        </w:rPr>
        <w:t xml:space="preserve"> 2008  sa dokončí podľa doterajších prepisov. </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(3) Na zemný plyn dodaný a spotrebovaný do 30. júna  2008  sa použijú doterajšie predpisy.“.</w:t>
      </w:r>
    </w:p>
    <w:p w:rsidR="006A1A04">
      <w:pPr>
        <w:pStyle w:val="Zkladntext"/>
        <w:spacing w:before="120"/>
        <w:jc w:val="both"/>
        <w:rPr>
          <w:rFonts w:ascii="Arial Narrow" w:hAnsi="Arial Narrow" w:cs="Arial Narrow"/>
          <w:b/>
          <w:sz w:val="22"/>
          <w:szCs w:val="24"/>
        </w:rPr>
      </w:pPr>
    </w:p>
    <w:p w:rsidR="006A1A04">
      <w:pPr>
        <w:pStyle w:val="Zkladntext"/>
        <w:spacing w:before="120"/>
        <w:jc w:val="both"/>
        <w:rPr>
          <w:rFonts w:ascii="Arial Narrow" w:hAnsi="Arial Narrow" w:cs="Arial Narrow"/>
          <w:b/>
          <w:sz w:val="22"/>
          <w:szCs w:val="24"/>
        </w:rPr>
      </w:pPr>
    </w:p>
    <w:p w:rsidR="006A1A04">
      <w:pPr>
        <w:pStyle w:val="Zkladntext"/>
        <w:spacing w:line="340" w:lineRule="atLeast"/>
        <w:jc w:val="center"/>
        <w:rPr>
          <w:rFonts w:ascii="Arial Narrow" w:hAnsi="Arial Narrow" w:cs="Arial Narrow"/>
          <w:b/>
          <w:sz w:val="22"/>
          <w:szCs w:val="24"/>
        </w:rPr>
      </w:pPr>
      <w:r>
        <w:rPr>
          <w:rFonts w:ascii="Arial Narrow" w:hAnsi="Arial Narrow" w:cs="Arial Narrow"/>
          <w:b/>
          <w:sz w:val="22"/>
          <w:szCs w:val="24"/>
        </w:rPr>
        <w:t>Čl. III</w:t>
      </w:r>
    </w:p>
    <w:p w:rsidR="006A1A04">
      <w:pPr>
        <w:pStyle w:val="Zkladntext"/>
        <w:spacing w:before="120"/>
        <w:jc w:val="both"/>
        <w:rPr>
          <w:rFonts w:ascii="Arial Narrow" w:hAnsi="Arial Narrow" w:cs="Arial Narrow"/>
          <w:sz w:val="22"/>
          <w:szCs w:val="24"/>
        </w:rPr>
      </w:pPr>
      <w:r>
        <w:rPr>
          <w:rFonts w:ascii="Arial Narrow" w:hAnsi="Arial Narrow" w:cs="Arial Narrow"/>
          <w:sz w:val="22"/>
          <w:szCs w:val="24"/>
        </w:rPr>
        <w:t xml:space="preserve">       Tento zákon nadobúda účinnosť 1.  januára  2008,  s  výnimkou   ustanovení čl. I § 1 až 46,  čl. II           bodov  1  až  7 a  9  až  23,  ktoré nadobúdajú účinnosť  1. júla  2008.</w:t>
      </w: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rPr>
          <w:rFonts w:ascii="Arial Narrow" w:hAnsi="Arial Narrow" w:cs="Arial Narrow"/>
          <w:b/>
          <w:color w:val="000000"/>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533965">
      <w:pPr>
        <w:jc w:val="right"/>
        <w:rPr>
          <w:rFonts w:ascii="Arial Narrow" w:hAnsi="Arial Narrow" w:cs="Arial Narrow"/>
          <w:sz w:val="22"/>
          <w:szCs w:val="24"/>
        </w:rPr>
      </w:pPr>
    </w:p>
    <w:p w:rsidR="00533965">
      <w:pPr>
        <w:jc w:val="right"/>
        <w:rPr>
          <w:rFonts w:ascii="Arial Narrow" w:hAnsi="Arial Narrow" w:cs="Arial Narrow"/>
          <w:sz w:val="22"/>
          <w:szCs w:val="24"/>
        </w:rPr>
      </w:pPr>
    </w:p>
    <w:p w:rsidR="00533965">
      <w:pPr>
        <w:jc w:val="right"/>
        <w:rPr>
          <w:rFonts w:ascii="Arial Narrow" w:hAnsi="Arial Narrow" w:cs="Arial Narrow"/>
          <w:sz w:val="22"/>
          <w:szCs w:val="24"/>
        </w:rPr>
      </w:pPr>
    </w:p>
    <w:p w:rsidR="00533965">
      <w:pPr>
        <w:jc w:val="right"/>
        <w:rPr>
          <w:rFonts w:ascii="Arial Narrow" w:hAnsi="Arial Narrow" w:cs="Arial Narrow"/>
          <w:sz w:val="22"/>
          <w:szCs w:val="24"/>
        </w:rPr>
      </w:pPr>
    </w:p>
    <w:p w:rsidR="00533965">
      <w:pPr>
        <w:jc w:val="right"/>
        <w:rPr>
          <w:rFonts w:ascii="Arial Narrow" w:hAnsi="Arial Narrow" w:cs="Arial Narrow"/>
          <w:sz w:val="22"/>
          <w:szCs w:val="24"/>
        </w:rPr>
      </w:pPr>
    </w:p>
    <w:p w:rsidR="00533965">
      <w:pPr>
        <w:jc w:val="right"/>
        <w:rPr>
          <w:rFonts w:ascii="Arial Narrow" w:hAnsi="Arial Narrow" w:cs="Arial Narrow"/>
          <w:sz w:val="22"/>
          <w:szCs w:val="24"/>
        </w:rPr>
      </w:pPr>
    </w:p>
    <w:p w:rsidR="006A1A04">
      <w:pPr>
        <w:jc w:val="right"/>
        <w:rPr>
          <w:rFonts w:ascii="Arial Narrow" w:hAnsi="Arial Narrow" w:cs="Arial Narrow"/>
          <w:sz w:val="22"/>
          <w:szCs w:val="24"/>
        </w:rPr>
      </w:pPr>
      <w:r>
        <w:rPr>
          <w:rFonts w:ascii="Arial Narrow" w:hAnsi="Arial Narrow" w:cs="Arial Narrow"/>
          <w:sz w:val="22"/>
          <w:szCs w:val="24"/>
        </w:rPr>
        <w:t xml:space="preserve">                                                             </w:t>
      </w:r>
    </w:p>
    <w:p w:rsidR="006A1A04">
      <w:pPr>
        <w:pStyle w:val="Zkladntext"/>
        <w:ind w:left="357"/>
        <w:jc w:val="center"/>
        <w:rPr>
          <w:rFonts w:ascii="Arial Narrow" w:hAnsi="Arial Narrow" w:cs="Arial Narrow"/>
          <w:b/>
          <w:sz w:val="22"/>
          <w:szCs w:val="24"/>
        </w:rPr>
      </w:pPr>
      <w:r>
        <w:rPr>
          <w:rFonts w:ascii="Arial Narrow" w:hAnsi="Arial Narrow" w:cs="Arial Narrow"/>
          <w:b/>
          <w:szCs w:val="24"/>
        </w:rPr>
        <w:t xml:space="preserve">                                                                         </w:t>
      </w:r>
      <w:r>
        <w:rPr>
          <w:rFonts w:ascii="Arial Narrow" w:hAnsi="Arial Narrow" w:cs="Arial Narrow"/>
          <w:b/>
          <w:sz w:val="22"/>
          <w:szCs w:val="24"/>
        </w:rPr>
        <w:t xml:space="preserve">            Príloha č. 1 k zákonu č. ... /2007 Z. z.  </w:t>
      </w:r>
    </w:p>
    <w:p w:rsidR="006A1A04">
      <w:pPr>
        <w:pStyle w:val="Zkladntext"/>
        <w:rPr>
          <w:rFonts w:ascii="Times New Roman" w:hAnsi="Times New Roman" w:cs="Times New Roman"/>
          <w:szCs w:val="24"/>
        </w:rPr>
      </w:pPr>
    </w:p>
    <w:p w:rsidR="006A1A04">
      <w:pPr>
        <w:pStyle w:val="BodyText"/>
        <w:numPr>
          <w:ilvl w:val="12"/>
        </w:numPr>
        <w:jc w:val="center"/>
        <w:rPr>
          <w:szCs w:val="24"/>
        </w:rPr>
      </w:pPr>
      <w:r>
        <w:rPr>
          <w:szCs w:val="24"/>
        </w:rPr>
        <w:t>VZOR</w:t>
      </w:r>
    </w:p>
    <w:p w:rsidR="006A1A04">
      <w:pPr>
        <w:pStyle w:val="BodyText"/>
        <w:numPr>
          <w:ilvl w:val="12"/>
        </w:numPr>
        <w:jc w:val="center"/>
        <w:rPr>
          <w:szCs w:val="24"/>
        </w:rPr>
      </w:pPr>
      <w:r>
        <w:rPr>
          <w:szCs w:val="24"/>
        </w:rPr>
        <w:t xml:space="preserve">Potvrdenie </w:t>
      </w:r>
    </w:p>
    <w:p w:rsidR="006A1A04">
      <w:pPr>
        <w:pStyle w:val="BodyText"/>
        <w:numPr>
          <w:ilvl w:val="12"/>
        </w:numPr>
        <w:jc w:val="center"/>
        <w:rPr>
          <w:szCs w:val="24"/>
        </w:rPr>
      </w:pPr>
      <w:r>
        <w:rPr>
          <w:szCs w:val="24"/>
        </w:rPr>
        <w:t xml:space="preserve">Ministerstva zahraničných vecí Slovenskej republiky o postavení zahraničného zástupcu a o splnení podmienky vzájomnosti podľa § 40 ods. 5 zákona č. .../2007 Z. z. o spotrebnej dani z elektriny, uhlia a zemného plynu a o zmene a doplnení zákona č. 98/2004 Z. z. o spotrebnej dani z minerálneho oleja v znení neskorších predpisov </w:t>
      </w:r>
    </w:p>
    <w:p w:rsidR="006A1A04">
      <w:pPr>
        <w:pStyle w:val="BodyText"/>
        <w:numPr>
          <w:ilvl w:val="12"/>
        </w:numPr>
        <w:rPr>
          <w:b w:val="0"/>
          <w:szCs w:val="24"/>
        </w:rPr>
      </w:pPr>
    </w:p>
    <w:p w:rsidR="006A1A04">
      <w:pPr>
        <w:pStyle w:val="BodyText"/>
        <w:numPr>
          <w:ilvl w:val="12"/>
        </w:numPr>
        <w:rPr>
          <w:szCs w:val="24"/>
        </w:rPr>
      </w:pPr>
      <w:r>
        <w:rPr>
          <w:szCs w:val="24"/>
        </w:rPr>
        <w:t xml:space="preserve">Vypĺňa zahraničný zástupca </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06"/>
        <w:gridCol w:w="460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gridSpan w:val="2"/>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Zahraničný zástupca (uvedený v § 40 ods. 1)</w:t>
            </w:r>
          </w:p>
          <w:p w:rsidR="006A1A04">
            <w:pPr>
              <w:pStyle w:val="BodyText"/>
              <w:numPr>
                <w:ilvl w:val="12"/>
              </w:numPr>
              <w:rPr>
                <w:b w:val="0"/>
                <w:sz w:val="20"/>
                <w:szCs w:val="24"/>
              </w:rPr>
            </w:pPr>
          </w:p>
          <w:p w:rsidR="006A1A04">
            <w:pPr>
              <w:pStyle w:val="BodyText"/>
              <w:numPr>
                <w:ilvl w:val="12"/>
              </w:numPr>
              <w:rPr>
                <w:b w:val="0"/>
                <w:szCs w:val="24"/>
              </w:rPr>
            </w:pPr>
          </w:p>
        </w:tc>
      </w:tr>
      <w:tr>
        <w:tblPrEx>
          <w:tblW w:w="0" w:type="auto"/>
          <w:tblInd w:w="0" w:type="dxa"/>
        </w:tblPrEx>
        <w:trPr>
          <w:cantSplit/>
        </w:trPr>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Vysielajúci štát</w:t>
            </w:r>
          </w:p>
          <w:p w:rsidR="006A1A04">
            <w:pPr>
              <w:pStyle w:val="BodyText"/>
              <w:numPr>
                <w:ilvl w:val="12"/>
              </w:numPr>
              <w:rPr>
                <w:b w:val="0"/>
                <w:sz w:val="20"/>
                <w:szCs w:val="24"/>
              </w:rPr>
            </w:pPr>
          </w:p>
          <w:p w:rsidR="006A1A04">
            <w:pPr>
              <w:pStyle w:val="BodyText"/>
              <w:numPr>
                <w:ilvl w:val="12"/>
              </w:numPr>
              <w:rPr>
                <w:b w:val="0"/>
                <w:sz w:val="20"/>
                <w:szCs w:val="24"/>
              </w:rPr>
            </w:pPr>
          </w:p>
          <w:p w:rsidR="006A1A04">
            <w:pPr>
              <w:pStyle w:val="BodyText"/>
              <w:numPr>
                <w:ilvl w:val="12"/>
              </w:numPr>
              <w:rPr>
                <w:b w:val="0"/>
                <w:szCs w:val="24"/>
              </w:rPr>
            </w:pPr>
          </w:p>
        </w:tc>
        <w:tc>
          <w:tcPr>
            <w:tcW w:w="4606" w:type="dxa"/>
            <w:vMerge w:val="restart"/>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ind w:left="1276" w:hanging="1276"/>
              <w:rPr>
                <w:sz w:val="20"/>
                <w:szCs w:val="24"/>
              </w:rPr>
            </w:pPr>
            <w:r>
              <w:rPr>
                <w:sz w:val="20"/>
                <w:szCs w:val="24"/>
              </w:rPr>
              <w:t>Postavenie zahraničného zástupcu</w:t>
            </w:r>
          </w:p>
          <w:p w:rsidR="006A1A04">
            <w:pPr>
              <w:ind w:right="-851"/>
              <w:rPr>
                <w:rFonts w:ascii="Times New Roman" w:hAnsi="Times New Roman" w:cs="Times New Roman"/>
                <w:sz w:val="20"/>
                <w:szCs w:val="24"/>
              </w:rPr>
            </w:pPr>
            <w:r>
              <w:rPr>
                <w:rFonts w:ascii="Symbol" w:eastAsia="Times New Roman" w:hAnsi="Symbol" w:cs="Times New Roman"/>
                <w:szCs w:val="24"/>
              </w:rPr>
              <w:sym w:font="Symbol" w:char="F0F0"/>
            </w:r>
            <w:r>
              <w:rPr>
                <w:rFonts w:ascii="Times New Roman" w:hAnsi="Times New Roman" w:cs="Times New Roman"/>
                <w:szCs w:val="24"/>
              </w:rPr>
              <w:t xml:space="preserve">   </w:t>
            </w:r>
            <w:r>
              <w:rPr>
                <w:rFonts w:ascii="Times New Roman" w:hAnsi="Times New Roman" w:cs="Times New Roman"/>
                <w:sz w:val="20"/>
                <w:szCs w:val="24"/>
              </w:rPr>
              <w:t xml:space="preserve">diplomatická misia, </w:t>
            </w:r>
          </w:p>
          <w:p w:rsidR="006A1A04">
            <w:pPr>
              <w:ind w:right="-851"/>
              <w:rPr>
                <w:rFonts w:ascii="Times New Roman" w:hAnsi="Times New Roman" w:cs="Times New Roman"/>
                <w:sz w:val="20"/>
                <w:szCs w:val="24"/>
              </w:rPr>
            </w:pPr>
            <w:r>
              <w:rPr>
                <w:rFonts w:ascii="Symbol" w:eastAsia="Times New Roman" w:hAnsi="Symbol" w:cs="Times New Roman"/>
                <w:szCs w:val="24"/>
              </w:rPr>
              <w:sym w:font="Symbol" w:char="F0F0"/>
            </w:r>
            <w:r>
              <w:rPr>
                <w:rFonts w:ascii="Times New Roman" w:hAnsi="Times New Roman" w:cs="Times New Roman"/>
                <w:szCs w:val="24"/>
              </w:rPr>
              <w:t xml:space="preserve">   </w:t>
            </w:r>
            <w:r>
              <w:rPr>
                <w:rFonts w:ascii="Times New Roman" w:hAnsi="Times New Roman" w:cs="Times New Roman"/>
                <w:sz w:val="20"/>
                <w:szCs w:val="24"/>
              </w:rPr>
              <w:t>konzulárny úrad,</w:t>
            </w:r>
          </w:p>
          <w:p w:rsidR="006A1A04">
            <w:pPr>
              <w:ind w:right="-851"/>
              <w:rPr>
                <w:rFonts w:ascii="Times New Roman" w:hAnsi="Times New Roman" w:cs="Times New Roman"/>
                <w:szCs w:val="24"/>
              </w:rPr>
            </w:pPr>
            <w:r>
              <w:rPr>
                <w:rFonts w:ascii="Symbol" w:eastAsia="Times New Roman" w:hAnsi="Symbol" w:cs="Times New Roman"/>
                <w:szCs w:val="24"/>
              </w:rPr>
              <w:sym w:font="Symbol" w:char="F0F0"/>
            </w:r>
            <w:r>
              <w:rPr>
                <w:rFonts w:ascii="Times New Roman" w:hAnsi="Times New Roman" w:cs="Times New Roman"/>
                <w:szCs w:val="24"/>
              </w:rPr>
              <w:t xml:space="preserve">   </w:t>
            </w:r>
            <w:r>
              <w:rPr>
                <w:rFonts w:ascii="Times New Roman" w:hAnsi="Times New Roman" w:cs="Times New Roman"/>
                <w:sz w:val="20"/>
                <w:szCs w:val="24"/>
              </w:rPr>
              <w:t>medzinárodná organizácia</w:t>
            </w:r>
          </w:p>
          <w:p w:rsidR="006A1A04">
            <w:pPr>
              <w:pStyle w:val="BodyText"/>
              <w:numPr>
                <w:ilvl w:val="12"/>
              </w:numPr>
              <w:rPr>
                <w:sz w:val="16"/>
                <w:szCs w:val="24"/>
              </w:rPr>
            </w:pPr>
          </w:p>
          <w:p w:rsidR="006A1A04">
            <w:pPr>
              <w:pStyle w:val="BodyText"/>
              <w:numPr>
                <w:ilvl w:val="12"/>
              </w:numPr>
              <w:rPr>
                <w:sz w:val="16"/>
                <w:szCs w:val="24"/>
              </w:rPr>
            </w:pPr>
          </w:p>
          <w:p w:rsidR="006A1A04">
            <w:pPr>
              <w:pStyle w:val="BodyText"/>
              <w:numPr>
                <w:ilvl w:val="12"/>
              </w:numPr>
              <w:rPr>
                <w:sz w:val="16"/>
                <w:szCs w:val="24"/>
              </w:rPr>
            </w:pPr>
          </w:p>
          <w:p w:rsidR="006A1A04">
            <w:pPr>
              <w:pStyle w:val="BodyText"/>
              <w:numPr>
                <w:ilvl w:val="12"/>
              </w:numPr>
              <w:rPr>
                <w:sz w:val="16"/>
                <w:szCs w:val="24"/>
              </w:rPr>
            </w:pPr>
          </w:p>
          <w:p w:rsidR="006A1A04">
            <w:pPr>
              <w:pStyle w:val="BodyText"/>
              <w:numPr>
                <w:ilvl w:val="12"/>
              </w:numPr>
              <w:rPr>
                <w:sz w:val="16"/>
                <w:szCs w:val="24"/>
              </w:rPr>
            </w:pPr>
          </w:p>
          <w:p w:rsidR="006A1A04">
            <w:pPr>
              <w:pStyle w:val="BodyText"/>
              <w:numPr>
                <w:ilvl w:val="12"/>
              </w:numPr>
              <w:rPr>
                <w:b w:val="0"/>
                <w:szCs w:val="24"/>
              </w:rPr>
            </w:pPr>
            <w:r>
              <w:rPr>
                <w:sz w:val="16"/>
                <w:szCs w:val="24"/>
              </w:rPr>
              <w:t xml:space="preserve"> (Vyznačí sa X)</w:t>
            </w:r>
          </w:p>
        </w:tc>
      </w:tr>
      <w:tr>
        <w:tblPrEx>
          <w:tblW w:w="0" w:type="auto"/>
          <w:tblInd w:w="0" w:type="dxa"/>
        </w:tblPrEx>
        <w:trPr>
          <w:cantSplit/>
        </w:trPr>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Adresa sídla (bydliska)</w:t>
            </w:r>
          </w:p>
          <w:p w:rsidR="006A1A04">
            <w:pPr>
              <w:pStyle w:val="BodyText"/>
              <w:numPr>
                <w:ilvl w:val="12"/>
              </w:numPr>
              <w:rPr>
                <w:b w:val="0"/>
                <w:szCs w:val="24"/>
              </w:rPr>
            </w:pPr>
          </w:p>
        </w:tc>
        <w:tc>
          <w:tcPr>
            <w:tcW w:w="4606" w:type="dxa"/>
            <w:vMerge/>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b w:val="0"/>
                <w:szCs w:val="24"/>
              </w:rPr>
            </w:pPr>
          </w:p>
        </w:tc>
      </w:tr>
      <w:tr>
        <w:tblPrEx>
          <w:tblW w:w="0" w:type="auto"/>
          <w:tblInd w:w="0" w:type="dxa"/>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Číslo telefónu</w:t>
            </w:r>
          </w:p>
          <w:p w:rsidR="006A1A04">
            <w:pPr>
              <w:pStyle w:val="BodyText"/>
              <w:numPr>
                <w:ilvl w:val="12"/>
              </w:numPr>
              <w:rPr>
                <w:b w:val="0"/>
                <w:szCs w:val="24"/>
              </w:rPr>
            </w:pP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Cs w:val="24"/>
              </w:rPr>
            </w:pPr>
            <w:r>
              <w:rPr>
                <w:sz w:val="20"/>
                <w:szCs w:val="24"/>
              </w:rPr>
              <w:t>Číslo faxu</w:t>
            </w:r>
          </w:p>
        </w:tc>
      </w:tr>
      <w:tr>
        <w:tblPrEx>
          <w:tblW w:w="0" w:type="auto"/>
          <w:tblInd w:w="0" w:type="dxa"/>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Podpis zahraničného zástupcu</w:t>
            </w:r>
          </w:p>
          <w:p w:rsidR="006A1A04">
            <w:pPr>
              <w:pStyle w:val="BodyText"/>
              <w:numPr>
                <w:ilvl w:val="12"/>
              </w:numPr>
              <w:rPr>
                <w:b w:val="0"/>
                <w:sz w:val="20"/>
                <w:szCs w:val="24"/>
              </w:rPr>
            </w:pPr>
          </w:p>
          <w:p w:rsidR="006A1A04">
            <w:pPr>
              <w:pStyle w:val="BodyText"/>
              <w:numPr>
                <w:ilvl w:val="12"/>
              </w:numPr>
              <w:rPr>
                <w:b w:val="0"/>
                <w:sz w:val="20"/>
                <w:szCs w:val="24"/>
              </w:rPr>
            </w:pP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6A1A04">
            <w:pPr>
              <w:pStyle w:val="BodyText"/>
              <w:numPr>
                <w:ilvl w:val="12"/>
              </w:numPr>
              <w:rPr>
                <w:sz w:val="20"/>
                <w:szCs w:val="24"/>
              </w:rPr>
            </w:pPr>
            <w:r>
              <w:rPr>
                <w:sz w:val="20"/>
                <w:szCs w:val="24"/>
              </w:rPr>
              <w:t>Podpis vedúceho misie, odtlačok pečiatky</w:t>
            </w:r>
          </w:p>
        </w:tc>
      </w:tr>
    </w:tbl>
    <w:p w:rsidR="006A1A04">
      <w:pPr>
        <w:pStyle w:val="BodyText"/>
        <w:numPr>
          <w:ilvl w:val="12"/>
        </w:numPr>
        <w:rPr>
          <w:b w:val="0"/>
          <w:szCs w:val="24"/>
        </w:rPr>
      </w:pPr>
      <w:r>
        <w:rPr>
          <w:szCs w:val="24"/>
        </w:rPr>
        <w:t xml:space="preserve"> </w:t>
      </w:r>
    </w:p>
    <w:p w:rsidR="006A1A04">
      <w:pPr>
        <w:pStyle w:val="Heading7"/>
        <w:rPr>
          <w:szCs w:val="24"/>
        </w:rPr>
      </w:pPr>
      <w:r>
        <w:rPr>
          <w:szCs w:val="24"/>
        </w:rPr>
        <w:t>Potvrdenie</w:t>
      </w:r>
    </w:p>
    <w:p w:rsidR="006A1A04">
      <w:pPr>
        <w:pStyle w:val="Heading7"/>
        <w:rPr>
          <w:sz w:val="22"/>
          <w:szCs w:val="24"/>
        </w:rPr>
      </w:pPr>
      <w:r>
        <w:rPr>
          <w:sz w:val="22"/>
          <w:szCs w:val="24"/>
        </w:rPr>
        <w:t>Potvrdzuje Ministerstvo zahraničných vecí Slovenskej republiky</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921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6A1A04">
            <w:pPr>
              <w:rPr>
                <w:rFonts w:ascii="Times New Roman" w:hAnsi="Times New Roman" w:cs="Times New Roman"/>
                <w:b/>
                <w:sz w:val="20"/>
                <w:szCs w:val="24"/>
              </w:rPr>
            </w:pPr>
          </w:p>
          <w:p w:rsidR="006A1A04">
            <w:pPr>
              <w:rPr>
                <w:rFonts w:ascii="Times New Roman" w:hAnsi="Times New Roman" w:cs="Times New Roman"/>
                <w:b/>
                <w:sz w:val="20"/>
                <w:szCs w:val="24"/>
              </w:rPr>
            </w:pPr>
            <w:r>
              <w:rPr>
                <w:rFonts w:ascii="Times New Roman" w:hAnsi="Times New Roman" w:cs="Times New Roman"/>
                <w:b/>
                <w:sz w:val="20"/>
                <w:szCs w:val="24"/>
              </w:rPr>
              <w:t>Dĺžka pobytu zahraničného zástupcu:</w:t>
            </w: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r>
              <w:rPr>
                <w:rFonts w:ascii="Times New Roman" w:hAnsi="Times New Roman" w:cs="Times New Roman"/>
                <w:b/>
                <w:sz w:val="20"/>
                <w:szCs w:val="24"/>
              </w:rPr>
              <w:t>Splnenie podmienky vzájomnosti:</w:t>
            </w: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r>
              <w:rPr>
                <w:rFonts w:ascii="Times New Roman" w:hAnsi="Times New Roman" w:cs="Times New Roman"/>
                <w:b/>
                <w:sz w:val="20"/>
                <w:szCs w:val="24"/>
              </w:rPr>
              <w:t>Dátum ukončenia pobytu na území Slovenskej republiky:</w:t>
            </w: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r>
              <w:rPr>
                <w:rFonts w:ascii="Times New Roman" w:hAnsi="Times New Roman" w:cs="Times New Roman"/>
                <w:b/>
                <w:sz w:val="20"/>
                <w:szCs w:val="24"/>
              </w:rPr>
              <w:t>Poznámka:</w:t>
            </w: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r>
              <w:rPr>
                <w:rFonts w:ascii="Times New Roman" w:hAnsi="Times New Roman" w:cs="Times New Roman"/>
                <w:b/>
                <w:sz w:val="20"/>
                <w:szCs w:val="24"/>
              </w:rPr>
              <w:t>Dátum:                                                    Podpis:                                           Odtlačok úradnej pečiatky :</w:t>
            </w: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p w:rsidR="006A1A04">
            <w:pPr>
              <w:rPr>
                <w:rFonts w:ascii="Times New Roman" w:hAnsi="Times New Roman" w:cs="Times New Roman"/>
                <w:b/>
                <w:sz w:val="20"/>
                <w:szCs w:val="24"/>
              </w:rPr>
            </w:pPr>
          </w:p>
        </w:tc>
      </w:tr>
    </w:tbl>
    <w:p w:rsidR="006A1A04">
      <w:pPr>
        <w:rPr>
          <w:rFonts w:ascii="Times New Roman" w:hAnsi="Times New Roman" w:cs="Times New Roman"/>
          <w:szCs w:val="24"/>
        </w:rPr>
      </w:pPr>
    </w:p>
    <w:p w:rsidR="006A1A04">
      <w:pPr>
        <w:rPr>
          <w:rFonts w:ascii="Times New Roman" w:hAnsi="Times New Roman" w:cs="Times New Roman"/>
          <w:szCs w:val="24"/>
        </w:rPr>
      </w:pPr>
    </w:p>
    <w:p w:rsidR="006A1A04">
      <w:pPr>
        <w:jc w:val="right"/>
        <w:rPr>
          <w:rFonts w:ascii="Arial Narrow" w:hAnsi="Arial Narrow" w:cs="Arial Narrow"/>
          <w:sz w:val="22"/>
          <w:szCs w:val="24"/>
        </w:rPr>
      </w:pPr>
    </w:p>
    <w:p w:rsidR="006A1A04">
      <w:pPr>
        <w:jc w:val="right"/>
        <w:rPr>
          <w:rFonts w:ascii="Arial Narrow" w:hAnsi="Arial Narrow" w:cs="Arial Narrow"/>
          <w:b/>
          <w:sz w:val="22"/>
          <w:szCs w:val="24"/>
        </w:rPr>
      </w:pPr>
      <w:r>
        <w:rPr>
          <w:rFonts w:ascii="Arial Narrow" w:hAnsi="Arial Narrow" w:cs="Arial Narrow"/>
          <w:b/>
          <w:sz w:val="22"/>
          <w:szCs w:val="24"/>
        </w:rPr>
        <w:t xml:space="preserve">    Príloha č. 2 k  zákonu č. xxx/2007 Z. z.</w:t>
      </w: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right"/>
        <w:rPr>
          <w:rFonts w:ascii="Arial Narrow" w:hAnsi="Arial Narrow" w:cs="Arial Narrow"/>
          <w:sz w:val="22"/>
          <w:szCs w:val="24"/>
        </w:rPr>
      </w:pPr>
    </w:p>
    <w:p w:rsidR="006A1A04">
      <w:pPr>
        <w:jc w:val="center"/>
        <w:rPr>
          <w:rFonts w:ascii="Arial Narrow" w:hAnsi="Arial Narrow" w:cs="Arial Narrow"/>
          <w:b/>
          <w:sz w:val="22"/>
          <w:szCs w:val="24"/>
        </w:rPr>
      </w:pPr>
      <w:r>
        <w:rPr>
          <w:rFonts w:ascii="Arial Narrow" w:hAnsi="Arial Narrow" w:cs="Arial Narrow"/>
          <w:b/>
          <w:sz w:val="22"/>
          <w:szCs w:val="24"/>
        </w:rPr>
        <w:t>Zoznam preberaných právnych aktov Európskych spoločenstiev a Európskej únie</w:t>
      </w: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p>
    <w:p w:rsidR="006A1A04">
      <w:pPr>
        <w:jc w:val="center"/>
        <w:rPr>
          <w:rFonts w:ascii="Arial Narrow" w:hAnsi="Arial Narrow" w:cs="Arial Narrow"/>
          <w:b/>
          <w:sz w:val="22"/>
          <w:szCs w:val="24"/>
        </w:rPr>
      </w:pPr>
    </w:p>
    <w:p w:rsidR="006A1A04">
      <w:pPr>
        <w:autoSpaceDE w:val="0"/>
        <w:autoSpaceDN w:val="0"/>
        <w:adjustRightInd w:val="0"/>
        <w:spacing w:line="240" w:lineRule="atLeast"/>
        <w:ind w:left="720" w:hanging="360"/>
        <w:jc w:val="both"/>
        <w:rPr>
          <w:rFonts w:ascii="Arial Narrow" w:hAnsi="Arial Narrow" w:cs="Arial Narrow"/>
          <w:color w:val="000000"/>
          <w:sz w:val="22"/>
          <w:szCs w:val="24"/>
          <w:lang w:eastAsia="cs-CZ"/>
        </w:rPr>
      </w:pPr>
      <w:r>
        <w:rPr>
          <w:rFonts w:ascii="Arial Narrow" w:hAnsi="Arial Narrow" w:cs="Arial Narrow"/>
          <w:sz w:val="22"/>
          <w:szCs w:val="24"/>
        </w:rPr>
        <w:t xml:space="preserve">1. </w:t>
        <w:tab/>
      </w:r>
      <w:r>
        <w:rPr>
          <w:rFonts w:ascii="Arial Narrow" w:hAnsi="Arial Narrow" w:cs="Arial Narrow"/>
          <w:sz w:val="22"/>
          <w:szCs w:val="24"/>
          <w:lang w:eastAsia="cs-CZ"/>
        </w:rPr>
        <w:t>Smernica Rady 92/12/EHS z 25. februára 1992 o všeobecných systémoch pre výrobky podliehajúce spotrebnej dani a o vlastníctve, pohybe a monitorovaní takýchto výrobkov (</w:t>
      </w:r>
      <w:r>
        <w:rPr>
          <w:rFonts w:ascii="Arial Narrow" w:hAnsi="Arial Narrow" w:cs="Arial Narrow"/>
          <w:sz w:val="22"/>
          <w:szCs w:val="24"/>
        </w:rPr>
        <w:t>Mimoriadne vydanie Ú. v. EÚ 9/ zv. 1</w:t>
      </w:r>
      <w:r>
        <w:rPr>
          <w:rFonts w:ascii="Arial Narrow" w:hAnsi="Arial Narrow" w:cs="Arial Narrow"/>
          <w:sz w:val="22"/>
          <w:szCs w:val="24"/>
          <w:lang w:eastAsia="cs-CZ"/>
        </w:rPr>
        <w:t>) v znení smernice Rady 92/108/EHS zo 14. decembra 1992 (</w:t>
      </w:r>
      <w:r>
        <w:rPr>
          <w:rStyle w:val="Emphasis"/>
          <w:rFonts w:ascii="Arial Narrow" w:hAnsi="Arial Narrow" w:cs="Arial Narrow"/>
          <w:i w:val="0"/>
          <w:sz w:val="22"/>
          <w:szCs w:val="24"/>
        </w:rPr>
        <w:t>Mimoriadne vydanie Ú. v. EÚ 9/ zv. 1</w:t>
      </w:r>
      <w:r>
        <w:rPr>
          <w:rFonts w:ascii="Arial Narrow" w:hAnsi="Arial Narrow" w:cs="Arial Narrow"/>
          <w:sz w:val="22"/>
          <w:szCs w:val="24"/>
          <w:lang w:eastAsia="cs-CZ"/>
        </w:rPr>
        <w:t>), v znení smernice Rady 94/74/ES z 22. decembra 1994 (</w:t>
      </w:r>
      <w:r>
        <w:rPr>
          <w:rStyle w:val="Emphasis"/>
          <w:rFonts w:ascii="Arial Narrow" w:hAnsi="Arial Narrow" w:cs="Arial Narrow"/>
          <w:i w:val="0"/>
          <w:sz w:val="22"/>
          <w:szCs w:val="24"/>
        </w:rPr>
        <w:t>Mimoriadne vydanie Ú. v. EÚ 9/ zv. 1</w:t>
      </w:r>
      <w:r>
        <w:rPr>
          <w:rFonts w:ascii="Arial Narrow" w:hAnsi="Arial Narrow" w:cs="Arial Narrow"/>
          <w:sz w:val="22"/>
          <w:szCs w:val="24"/>
          <w:lang w:eastAsia="cs-CZ"/>
        </w:rPr>
        <w:t>), v znení smernice Rady 96/99/ES z 30. decembra 1996 (</w:t>
      </w:r>
      <w:r>
        <w:rPr>
          <w:rStyle w:val="Emphasis"/>
          <w:rFonts w:ascii="Arial Narrow" w:hAnsi="Arial Narrow" w:cs="Arial Narrow"/>
          <w:i w:val="0"/>
          <w:sz w:val="22"/>
          <w:szCs w:val="24"/>
        </w:rPr>
        <w:t>Mimoriadne vydanie Ú. v. EÚ 9/ zv. 1</w:t>
      </w:r>
      <w:r>
        <w:rPr>
          <w:rFonts w:ascii="Arial Narrow" w:hAnsi="Arial Narrow" w:cs="Arial Narrow"/>
          <w:sz w:val="22"/>
          <w:szCs w:val="24"/>
          <w:lang w:eastAsia="cs-CZ"/>
        </w:rPr>
        <w:t>), v znení smernice Rady 2000/44/ES z 30. júna 2000 (</w:t>
      </w:r>
      <w:r>
        <w:rPr>
          <w:rStyle w:val="Emphasis"/>
          <w:rFonts w:ascii="Arial Narrow" w:hAnsi="Arial Narrow" w:cs="Arial Narrow"/>
          <w:i w:val="0"/>
          <w:sz w:val="22"/>
          <w:szCs w:val="24"/>
        </w:rPr>
        <w:t>Mimoriadne vydanie Ú. v. EÚ 9/ zv. 1</w:t>
      </w:r>
      <w:r>
        <w:rPr>
          <w:rFonts w:ascii="Arial Narrow" w:hAnsi="Arial Narrow" w:cs="Arial Narrow"/>
          <w:sz w:val="22"/>
          <w:szCs w:val="24"/>
          <w:lang w:eastAsia="cs-CZ"/>
        </w:rPr>
        <w:t>), v znení smernice Rady 2000/47/ES z 20. júla 2000 (</w:t>
      </w:r>
      <w:r>
        <w:rPr>
          <w:rStyle w:val="Emphasis"/>
          <w:rFonts w:ascii="Arial Narrow" w:hAnsi="Arial Narrow" w:cs="Arial Narrow"/>
          <w:i w:val="0"/>
          <w:sz w:val="22"/>
          <w:szCs w:val="24"/>
        </w:rPr>
        <w:t>Mimoriadne vydanie Ú. v. EÚ 2/ zv. 10</w:t>
      </w:r>
      <w:r>
        <w:rPr>
          <w:rFonts w:ascii="Arial Narrow" w:hAnsi="Arial Narrow" w:cs="Arial Narrow"/>
          <w:sz w:val="22"/>
          <w:szCs w:val="24"/>
          <w:lang w:eastAsia="cs-CZ"/>
        </w:rPr>
        <w:t>), v znení nariadenia Rady 807/2003/ES zo 14. apríla 2003 (</w:t>
      </w:r>
      <w:r>
        <w:rPr>
          <w:rStyle w:val="Emphasis"/>
          <w:rFonts w:ascii="Arial Narrow" w:hAnsi="Arial Narrow" w:cs="Arial Narrow"/>
          <w:i w:val="0"/>
          <w:sz w:val="22"/>
          <w:szCs w:val="24"/>
        </w:rPr>
        <w:t>Mimoriadne vydanie Ú. v. EÚ 1/ zv. 4</w:t>
      </w:r>
      <w:r>
        <w:rPr>
          <w:rFonts w:ascii="Arial Narrow" w:hAnsi="Arial Narrow" w:cs="Arial Narrow"/>
          <w:sz w:val="22"/>
          <w:szCs w:val="24"/>
          <w:lang w:eastAsia="cs-CZ"/>
        </w:rPr>
        <w:t xml:space="preserve">), v znení smernice Rady 106/2004/ES zo 16. novembra 2004 (Ú. v. EÚ L 359, 4.12.2004) a v znení </w:t>
      </w:r>
      <w:r>
        <w:rPr>
          <w:rFonts w:ascii="Arial Narrow" w:hAnsi="Arial Narrow" w:cs="Arial Narrow"/>
          <w:color w:val="000000"/>
          <w:sz w:val="22"/>
          <w:szCs w:val="24"/>
        </w:rPr>
        <w:t>Aktu o podmienkach pristúpenia pripojeného k Zmluve o pristúpení Slovenskej republiky k Európskej únii  (Ú. v. EÚ L 236, 23. 9. 2003)</w:t>
      </w:r>
      <w:r>
        <w:rPr>
          <w:rFonts w:ascii="Arial Narrow" w:hAnsi="Arial Narrow" w:cs="Arial Narrow"/>
          <w:sz w:val="22"/>
          <w:szCs w:val="24"/>
          <w:lang w:eastAsia="cs-CZ"/>
        </w:rPr>
        <w:t>.</w:t>
      </w:r>
    </w:p>
    <w:p w:rsidR="006A1A04">
      <w:pPr>
        <w:numPr>
          <w:numId w:val="217"/>
        </w:numPr>
        <w:spacing w:before="120"/>
        <w:jc w:val="both"/>
        <w:rPr>
          <w:rFonts w:ascii="Arial Narrow" w:hAnsi="Arial Narrow" w:cs="Arial Narrow"/>
          <w:sz w:val="22"/>
          <w:szCs w:val="24"/>
        </w:rPr>
      </w:pPr>
      <w:r>
        <w:rPr>
          <w:rFonts w:ascii="Arial Narrow" w:hAnsi="Arial Narrow" w:cs="Arial Narrow"/>
          <w:sz w:val="22"/>
          <w:szCs w:val="24"/>
        </w:rPr>
        <w:t>Smernica Rady 2003/96/ES z 27. októbra 2003 o reštrukturalizácii právneho rámca Spoločenstva pre zdaňovanie energetických výrobkov a elektriny (Mimoriadne vydanie Ú. v. EÚ 9/ zv. 1) v znení smernice Rady 2004/74/ES z 29. apríla 2004 (Mimoriadne vydanie Ú. v. EÚ 9/ zv. 2) a smernice Rady 2004/75/ES z 29. apríla 2004 (Mimoriadne vydanie Ú. v. EÚ 9/ zv. 2).</w:t>
      </w: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rPr>
          <w:rFonts w:ascii="Arial Narrow" w:hAnsi="Arial Narrow" w:cs="Arial Narrow"/>
          <w:b/>
          <w:color w:val="000000"/>
          <w:sz w:val="22"/>
          <w:szCs w:val="24"/>
        </w:rPr>
      </w:pPr>
    </w:p>
    <w:p w:rsidR="006A1A04">
      <w:pPr>
        <w:rPr>
          <w:rFonts w:ascii="Times New Roman" w:hAnsi="Times New Roman" w:cs="Times New Roman"/>
          <w:szCs w:val="24"/>
        </w:rPr>
      </w:pPr>
    </w:p>
    <w:p w:rsidR="006A1A04">
      <w:pPr>
        <w:rPr>
          <w:rFonts w:ascii="Times New Roman" w:hAnsi="Times New Roman" w:cs="Times New Roman"/>
          <w:szCs w:val="24"/>
        </w:rPr>
      </w:pPr>
    </w:p>
    <w:sectPr>
      <w:footerReference w:type="default" r:id="rId5"/>
      <w:pgSz w:w="11906" w:h="16838"/>
      <w:pgMar w:top="1079" w:right="1417" w:bottom="540"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A04">
    <w:pPr>
      <w:pStyle w:val="Footer"/>
      <w:rPr>
        <w:rFonts w:ascii="Arial Narrow" w:hAnsi="Arial Narrow" w:cs="Arial Narrow"/>
        <w:sz w:val="22"/>
        <w:szCs w:val="24"/>
      </w:rPr>
    </w:pPr>
    <w:r>
      <w:rPr>
        <w:rFonts w:ascii="Times New Roman" w:hAnsi="Times New Roman" w:cs="Times New Roman"/>
        <w:szCs w:val="24"/>
      </w:rPr>
      <w:tab/>
      <w:t xml:space="preserve"> </w:t>
    </w:r>
    <w:r>
      <w:rPr>
        <w:rFonts w:ascii="Arial Narrow" w:hAnsi="Arial Narrow" w:cs="Arial Narrow"/>
        <w:sz w:val="22"/>
        <w:szCs w:val="24"/>
      </w:rPr>
      <w:fldChar w:fldCharType="begin"/>
    </w:r>
    <w:r>
      <w:rPr>
        <w:rFonts w:ascii="Arial Narrow" w:hAnsi="Arial Narrow" w:cs="Arial Narrow"/>
        <w:sz w:val="22"/>
        <w:szCs w:val="24"/>
      </w:rPr>
      <w:instrText xml:space="preserve"> PAGE </w:instrText>
    </w:r>
    <w:r>
      <w:rPr>
        <w:rFonts w:ascii="Arial Narrow" w:hAnsi="Arial Narrow" w:cs="Arial Narrow"/>
        <w:sz w:val="22"/>
        <w:szCs w:val="24"/>
      </w:rPr>
      <w:fldChar w:fldCharType="separate"/>
    </w:r>
    <w:r w:rsidR="00E90832">
      <w:rPr>
        <w:rFonts w:ascii="Arial Narrow" w:hAnsi="Arial Narrow" w:cs="Arial Narrow"/>
        <w:noProof/>
        <w:sz w:val="22"/>
        <w:szCs w:val="24"/>
      </w:rPr>
      <w:t>25</w:t>
    </w:r>
    <w:r>
      <w:rPr>
        <w:rFonts w:ascii="Arial Narrow" w:hAnsi="Arial Narrow" w:cs="Arial Narrow"/>
        <w:sz w:val="22"/>
        <w:szCs w:val="24"/>
      </w:rPr>
      <w:fldChar w:fldCharType="end"/>
    </w:r>
    <w:r>
      <w:rPr>
        <w:rFonts w:ascii="Arial Narrow" w:hAnsi="Arial Narrow" w:cs="Arial Narrow"/>
        <w:sz w:val="22"/>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xml:space="preserve">)   Článok 299 Zmluvy o založení Európskeho spoločenstva (Ú. v . ES C 325, 24. 12. 2002) v platnom znení.  </w:t>
      </w:r>
    </w:p>
  </w:footnote>
  <w:footnote w:id="1">
    <w:p w:rsidR="006A1A04">
      <w:pPr>
        <w:pStyle w:val="FootnoteText"/>
        <w:rPr>
          <w:rFonts w:ascii="Arial Narrow" w:hAnsi="Arial Narrow" w:cs="Arial Narrow"/>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w:t>
      </w:r>
      <w:r>
        <w:rPr>
          <w:rFonts w:ascii="Times New Roman" w:hAnsi="Times New Roman" w:cs="Times New Roman"/>
          <w:szCs w:val="24"/>
        </w:rPr>
        <w:t xml:space="preserve">   </w:t>
      </w:r>
      <w:r>
        <w:rPr>
          <w:rFonts w:ascii="Arial Narrow" w:hAnsi="Arial Narrow" w:cs="Arial Narrow"/>
          <w:sz w:val="18"/>
          <w:szCs w:val="24"/>
        </w:rPr>
        <w:t xml:space="preserve">Napríklad nariadenie Rady (EHS) č. 2658/87 z  23. júla 1987 o colnej a štatistickej nomenklatúre a o Spoločnom  colnom sadzobníku </w:t>
      </w:r>
    </w:p>
    <w:p>
      <w:pPr>
        <w:jc w:val="both"/>
        <w:rPr>
          <w:rFonts w:ascii="Times New Roman" w:hAnsi="Times New Roman" w:cs="Times New Roman"/>
          <w:szCs w:val="24"/>
        </w:rPr>
      </w:pPr>
      <w:r w:rsidR="006A1A04">
        <w:rPr>
          <w:rFonts w:ascii="Arial Narrow" w:hAnsi="Arial Narrow" w:cs="Arial Narrow"/>
          <w:sz w:val="18"/>
          <w:szCs w:val="24"/>
        </w:rPr>
        <w:t xml:space="preserve">      (Mimoriadne vydanie Ú. v.  EÚ kap.02/zv.2) v platnom znení.</w:t>
      </w:r>
    </w:p>
  </w:footnote>
  <w:footnote w:id="2">
    <w:p>
      <w:pPr>
        <w:pStyle w:val="FootnoteText"/>
        <w:rPr>
          <w:rFonts w:ascii="Times New Roman" w:hAnsi="Times New Roman" w:cs="Times New Roman"/>
          <w:szCs w:val="24"/>
        </w:rPr>
      </w:pPr>
      <w:r w:rsidR="006A1A04">
        <w:rPr>
          <w:rStyle w:val="FootnoteReference"/>
          <w:rFonts w:ascii="Arial Narrow" w:hAnsi="Arial Narrow" w:cs="Arial Narrow"/>
          <w:szCs w:val="24"/>
        </w:rPr>
        <w:footnoteRef/>
      </w:r>
      <w:r w:rsidR="006A1A04">
        <w:rPr>
          <w:rFonts w:ascii="Arial Narrow" w:hAnsi="Arial Narrow" w:cs="Arial Narrow"/>
          <w:szCs w:val="24"/>
        </w:rPr>
        <w:t>)</w:t>
      </w:r>
      <w:r w:rsidR="006A1A04">
        <w:rPr>
          <w:rFonts w:ascii="Times New Roman" w:hAnsi="Times New Roman" w:cs="Times New Roman"/>
          <w:szCs w:val="24"/>
        </w:rPr>
        <w:t xml:space="preserve">   </w:t>
      </w:r>
      <w:r w:rsidR="006A1A04">
        <w:rPr>
          <w:rFonts w:ascii="Arial Narrow" w:hAnsi="Arial Narrow" w:cs="Arial Narrow"/>
          <w:sz w:val="18"/>
          <w:szCs w:val="24"/>
        </w:rPr>
        <w:t xml:space="preserve">§ 2 Obchodného zákonníka. </w:t>
      </w:r>
    </w:p>
  </w:footnote>
  <w:footnote w:id="3">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 2 písm. b) bod 24 zákona č. 656/2004 Z. z. o energetike a o zmene niektorých zákonov.</w:t>
      </w:r>
    </w:p>
  </w:footnote>
  <w:footnote w:id="4">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 w:val="18"/>
          <w:szCs w:val="24"/>
        </w:rPr>
        <w:footnoteRef/>
      </w:r>
      <w:r w:rsidRPr="00BE1E00" w:rsidR="006A1A04">
        <w:rPr>
          <w:rFonts w:ascii="Arial Narrow" w:hAnsi="Arial Narrow" w:cs="Arial Narrow"/>
          <w:sz w:val="18"/>
          <w:szCs w:val="24"/>
        </w:rPr>
        <w:t>)   § 2 písm. c) bod 24 zákona č. 656/2004 Z. z.</w:t>
      </w:r>
    </w:p>
  </w:footnote>
  <w:footnote w:id="5">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2 písm. b) bod 25 zákona č. 656/2004 Z. z.</w:t>
      </w:r>
      <w:r w:rsidRPr="00BE1E00" w:rsidR="006A1A04">
        <w:rPr>
          <w:rFonts w:ascii="Arial Narrow" w:hAnsi="Arial Narrow" w:cs="Arial Narrow"/>
          <w:szCs w:val="24"/>
        </w:rPr>
        <w:t xml:space="preserve"> </w:t>
      </w:r>
    </w:p>
  </w:footnote>
  <w:footnote w:id="6">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2 písm. c) bod 25 zákona č. 656/2004 Z. z.</w:t>
      </w:r>
      <w:r w:rsidRPr="00BE1E00" w:rsidR="006A1A04">
        <w:rPr>
          <w:rFonts w:ascii="Arial Narrow" w:hAnsi="Arial Narrow" w:cs="Arial Narrow"/>
          <w:szCs w:val="24"/>
        </w:rPr>
        <w:t xml:space="preserve"> </w:t>
      </w:r>
    </w:p>
  </w:footnote>
  <w:footnote w:id="7">
    <w:p w:rsidR="006A1A04" w:rsidRPr="00BE1E00" w:rsidP="00BE1E00">
      <w:pPr>
        <w:jc w:val="both"/>
        <w:rPr>
          <w:rFonts w:ascii="Arial Narrow" w:hAnsi="Arial Narrow" w:cs="Arial Narrow"/>
          <w:sz w:val="18"/>
          <w:szCs w:val="24"/>
        </w:rPr>
      </w:pPr>
      <w:r w:rsidRPr="00BE1E00">
        <w:rPr>
          <w:rStyle w:val="FootnoteReference"/>
          <w:rFonts w:ascii="Arial Narrow" w:hAnsi="Arial Narrow" w:cs="Arial Narrow"/>
          <w:sz w:val="20"/>
          <w:szCs w:val="24"/>
        </w:rPr>
        <w:footnoteRef/>
      </w:r>
      <w:r w:rsidRPr="00BE1E00">
        <w:rPr>
          <w:rFonts w:ascii="Arial Narrow" w:hAnsi="Arial Narrow" w:cs="Arial Narrow"/>
          <w:sz w:val="20"/>
          <w:szCs w:val="24"/>
        </w:rPr>
        <w:t xml:space="preserve">)   </w:t>
      </w:r>
      <w:r w:rsidRPr="00BE1E00">
        <w:rPr>
          <w:rFonts w:ascii="Arial Narrow" w:hAnsi="Arial Narrow" w:cs="Arial Narrow"/>
          <w:sz w:val="18"/>
          <w:szCs w:val="24"/>
        </w:rPr>
        <w:t>Nariadenie Rady (EHS) č. 3037/90 z 9. októbra 1990 o štatistickej klasifikácii ekonomických činností v Európskom  spoločenstve</w:t>
      </w:r>
    </w:p>
    <w:p w:rsidP="00BE1E00">
      <w:pPr>
        <w:jc w:val="both"/>
        <w:rPr>
          <w:rFonts w:ascii="Times New Roman" w:hAnsi="Times New Roman" w:cs="Times New Roman"/>
          <w:szCs w:val="24"/>
        </w:rPr>
      </w:pPr>
      <w:r w:rsidRPr="00BE1E00" w:rsidR="006A1A04">
        <w:rPr>
          <w:rFonts w:ascii="Arial Narrow" w:hAnsi="Arial Narrow" w:cs="Arial Narrow"/>
          <w:sz w:val="18"/>
          <w:szCs w:val="24"/>
        </w:rPr>
        <w:t xml:space="preserve">      (Mimoriadne vydanie Ú. v. EÚ, kap. 02/zv. 04) v platnom znení. </w:t>
      </w:r>
    </w:p>
  </w:footnote>
  <w:footnote w:id="8">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5 zákona č. 656/2004 Z. z.</w:t>
      </w:r>
    </w:p>
  </w:footnote>
  <w:footnote w:id="9">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xml:space="preserve">§ 2 písm. b)  bod 7 zákona č. 656/2004 Z. z.  </w:t>
      </w:r>
    </w:p>
  </w:footnote>
  <w:footnote w:id="10">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2 písm. b)  bod 23 zákona č. 656/2004 Z. z.</w:t>
      </w:r>
      <w:r w:rsidRPr="00BE1E00" w:rsidR="006A1A04">
        <w:rPr>
          <w:rFonts w:ascii="Arial Narrow" w:hAnsi="Arial Narrow" w:cs="Arial Narrow"/>
          <w:b/>
          <w:sz w:val="18"/>
          <w:szCs w:val="24"/>
        </w:rPr>
        <w:t xml:space="preserve"> </w:t>
      </w:r>
      <w:r w:rsidRPr="00BE1E00" w:rsidR="006A1A04">
        <w:rPr>
          <w:rFonts w:ascii="Arial Narrow" w:hAnsi="Arial Narrow" w:cs="Arial Narrow"/>
          <w:strike/>
          <w:sz w:val="18"/>
          <w:szCs w:val="24"/>
        </w:rPr>
        <w:t xml:space="preserve">  </w:t>
      </w:r>
    </w:p>
  </w:footnote>
  <w:footnote w:id="11">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Cs w:val="24"/>
        </w:rPr>
        <w:t xml:space="preserve">)  </w:t>
      </w:r>
      <w:r w:rsidRPr="00BE1E00" w:rsidR="006A1A04">
        <w:rPr>
          <w:rFonts w:ascii="Arial Narrow" w:hAnsi="Arial Narrow" w:cs="Arial Narrow"/>
          <w:sz w:val="18"/>
          <w:szCs w:val="24"/>
        </w:rPr>
        <w:t>§ 2 písm. c) bod 15 zákona č. 656/2004 Z. z.</w:t>
      </w:r>
    </w:p>
  </w:footnote>
  <w:footnote w:id="12">
    <w:p w:rsidP="00BE1E00">
      <w:pPr>
        <w:pStyle w:val="FootnoteText"/>
        <w:jc w:val="both"/>
        <w:rPr>
          <w:rFonts w:ascii="Times New Roman" w:hAnsi="Times New Roman" w:cs="Times New Roman"/>
          <w:szCs w:val="24"/>
        </w:rPr>
      </w:pPr>
      <w:r w:rsidRPr="00BE1E00" w:rsidR="006A1A04">
        <w:rPr>
          <w:rStyle w:val="FootnoteReference"/>
          <w:rFonts w:ascii="Arial Narrow" w:hAnsi="Arial Narrow" w:cs="Arial Narrow"/>
          <w:szCs w:val="24"/>
        </w:rPr>
        <w:footnoteRef/>
      </w:r>
      <w:r w:rsidRPr="00BE1E00" w:rsidR="006A1A04">
        <w:rPr>
          <w:rFonts w:ascii="Arial Narrow" w:hAnsi="Arial Narrow" w:cs="Arial Narrow"/>
          <w:sz w:val="18"/>
          <w:szCs w:val="24"/>
        </w:rPr>
        <w:t>)   § 2 písm. c) bod 16 zákona č. 656/2004 Z. z.</w:t>
      </w:r>
      <w:r w:rsidR="006A1A04">
        <w:rPr>
          <w:rFonts w:ascii="Arial Narrow" w:hAnsi="Arial Narrow" w:cs="Arial Narrow"/>
          <w:sz w:val="18"/>
          <w:szCs w:val="24"/>
        </w:rPr>
        <w:t xml:space="preserve">   </w:t>
      </w:r>
    </w:p>
  </w:footnote>
  <w:footnote w:id="13">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xml:space="preserve">)   § 2 písm. b)  bod 4 zákona č. 656/2004 Z.  z.  </w:t>
      </w:r>
    </w:p>
  </w:footnote>
  <w:footnote w:id="14">
    <w:p w:rsidR="006A1A04">
      <w:pPr>
        <w:pStyle w:val="FootnoteText"/>
        <w:rPr>
          <w:rFonts w:ascii="Arial Narrow" w:hAnsi="Arial Narrow" w:cs="Arial Narrow"/>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xml:space="preserve">)   § 2 písm. b)  nariadenia  vlády Slovenskej republiky č. 246/2006 Z. z. o minimálnom množstve pohonných látok vyrobených </w:t>
      </w:r>
    </w:p>
    <w:p>
      <w:pPr>
        <w:pStyle w:val="FootnoteText"/>
        <w:rPr>
          <w:rFonts w:ascii="Times New Roman" w:hAnsi="Times New Roman" w:cs="Times New Roman"/>
          <w:szCs w:val="24"/>
        </w:rPr>
      </w:pPr>
      <w:r w:rsidR="006A1A04">
        <w:rPr>
          <w:rFonts w:ascii="Arial Narrow" w:hAnsi="Arial Narrow" w:cs="Arial Narrow"/>
          <w:sz w:val="18"/>
          <w:szCs w:val="24"/>
        </w:rPr>
        <w:t xml:space="preserve">       z obnoviteľných zdrojov v motorových benzínoch a motorovej nafte uvádzaných na trh  Slovenskej republiky.</w:t>
      </w:r>
    </w:p>
  </w:footnote>
  <w:footnote w:id="15">
    <w:p w:rsidR="006A1A04">
      <w:pPr>
        <w:pStyle w:val="FootnoteText"/>
        <w:rPr>
          <w:rFonts w:ascii="Arial Narrow" w:hAnsi="Arial Narrow" w:cs="Arial Narrow"/>
          <w:b/>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 2 písm. b)  bod 17 zákona č. 656/2004 Z. z.</w:t>
      </w:r>
    </w:p>
    <w:p>
      <w:pPr>
        <w:pStyle w:val="FootnoteText"/>
        <w:rPr>
          <w:rFonts w:ascii="Times New Roman" w:hAnsi="Times New Roman" w:cs="Times New Roman"/>
          <w:szCs w:val="24"/>
        </w:rPr>
      </w:pPr>
    </w:p>
  </w:footnote>
  <w:footnote w:id="16">
    <w:p>
      <w:pPr>
        <w:pStyle w:val="FootnoteText"/>
        <w:rPr>
          <w:rFonts w:ascii="Times New Roman" w:hAnsi="Times New Roman" w:cs="Times New Roman"/>
          <w:szCs w:val="24"/>
        </w:rPr>
      </w:pPr>
      <w:r w:rsidRPr="00BE1E00" w:rsidR="006A1A04">
        <w:rPr>
          <w:rStyle w:val="FootnoteReference"/>
          <w:rFonts w:ascii="Arial Narrow" w:hAnsi="Arial Narrow" w:cs="Arial Narrow"/>
          <w:sz w:val="18"/>
          <w:szCs w:val="24"/>
        </w:rPr>
        <w:footnoteRef/>
      </w:r>
      <w:r w:rsidRPr="00BE1E00" w:rsidR="006A1A04">
        <w:rPr>
          <w:rFonts w:ascii="Arial Narrow" w:hAnsi="Arial Narrow" w:cs="Arial Narrow"/>
          <w:sz w:val="18"/>
          <w:szCs w:val="24"/>
        </w:rPr>
        <w:t>)   § 39 ods. 1 zákona č. 656/2004 Z. z. v znení zákona č. 107/2007 Z. z.</w:t>
      </w:r>
    </w:p>
  </w:footnote>
  <w:footnote w:id="17">
    <w:p>
      <w:pPr>
        <w:pStyle w:val="FootnoteText"/>
        <w:rPr>
          <w:rFonts w:ascii="Times New Roman" w:hAnsi="Times New Roman" w:cs="Times New Roman"/>
          <w:szCs w:val="24"/>
        </w:rPr>
      </w:pPr>
      <w:r w:rsidRPr="00BE1E00" w:rsidR="006A1A04">
        <w:rPr>
          <w:rStyle w:val="FootnoteReference"/>
          <w:rFonts w:ascii="Arial Narrow" w:hAnsi="Arial Narrow" w:cs="Arial Narrow"/>
          <w:sz w:val="18"/>
          <w:szCs w:val="24"/>
        </w:rPr>
        <w:footnoteRef/>
      </w:r>
      <w:r w:rsidRPr="00BE1E00" w:rsidR="006A1A04">
        <w:rPr>
          <w:rFonts w:ascii="Arial Narrow" w:hAnsi="Arial Narrow" w:cs="Arial Narrow"/>
          <w:sz w:val="18"/>
          <w:szCs w:val="24"/>
        </w:rPr>
        <w:t>)</w:t>
      </w:r>
      <w:r w:rsidRPr="00BE1E00" w:rsidR="006A1A04">
        <w:rPr>
          <w:rFonts w:ascii="Times New Roman" w:hAnsi="Times New Roman" w:cs="Times New Roman"/>
          <w:sz w:val="18"/>
          <w:szCs w:val="24"/>
        </w:rPr>
        <w:t xml:space="preserve">   </w:t>
      </w:r>
      <w:r w:rsidRPr="00BE1E00" w:rsidR="006A1A04">
        <w:rPr>
          <w:rFonts w:ascii="Arial Narrow" w:hAnsi="Arial Narrow" w:cs="Arial Narrow"/>
          <w:sz w:val="18"/>
          <w:szCs w:val="24"/>
        </w:rPr>
        <w:t>§ 19 ods. 3 zákona č. 222/2004 Z. z. o dani z pridanej hodnoty v znení neskorších predpisov.</w:t>
      </w:r>
    </w:p>
  </w:footnote>
  <w:footnote w:id="18">
    <w:p w:rsidR="006A1A04">
      <w:pPr>
        <w:pStyle w:val="FootnoteText"/>
        <w:rPr>
          <w:rFonts w:ascii="Arial Narrow" w:hAnsi="Arial Narrow" w:cs="Arial Narrow"/>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xml:space="preserve">) Zákon č. 142/2000 Z. z. o metrológii a o zmene a doplnení niektorých zákonov v znení zákona č. 431/2004 Z. z. </w:t>
      </w:r>
    </w:p>
    <w:p>
      <w:pPr>
        <w:pStyle w:val="FootnoteText"/>
        <w:rPr>
          <w:rFonts w:ascii="Times New Roman" w:hAnsi="Times New Roman" w:cs="Times New Roman"/>
          <w:szCs w:val="24"/>
        </w:rPr>
      </w:pPr>
    </w:p>
  </w:footnote>
  <w:footnote w:id="19">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 2 písm. c) bod 13 zákona č. 656/2004 Z. z.</w:t>
      </w:r>
    </w:p>
  </w:footnote>
  <w:footnote w:id="20">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xml:space="preserve">)  § 59 ods. 1 zákona č. 656/2004 Z. z. </w:t>
      </w:r>
    </w:p>
  </w:footnote>
  <w:footnote w:id="21">
    <w:p w:rsidR="006A1A04">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Narrow" w:hAnsi="Arial Narrow" w:cs="Arial Narrow"/>
          <w:color w:val="000000"/>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xml:space="preserve">)   </w:t>
      </w:r>
      <w:r>
        <w:rPr>
          <w:rFonts w:ascii="Arial Narrow" w:hAnsi="Arial Narrow" w:cs="Arial Narrow"/>
          <w:color w:val="000000"/>
          <w:sz w:val="18"/>
          <w:szCs w:val="24"/>
        </w:rPr>
        <w:t xml:space="preserve">Napríklad vyhláška ministra zahraničných vecí č. 157/1964 Zb. o Viedenskom dohovore o diplomatických stykoch, vyhláška         </w:t>
      </w:r>
    </w:p>
    <w:p w:rsidR="006A1A04">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Narrow" w:hAnsi="Arial Narrow" w:cs="Arial Narrow"/>
          <w:color w:val="000000"/>
          <w:sz w:val="18"/>
          <w:szCs w:val="24"/>
        </w:rPr>
      </w:pPr>
      <w:r>
        <w:rPr>
          <w:rFonts w:ascii="Arial Narrow" w:hAnsi="Arial Narrow" w:cs="Arial Narrow"/>
          <w:color w:val="000000"/>
          <w:sz w:val="18"/>
          <w:szCs w:val="24"/>
        </w:rPr>
        <w:t xml:space="preserve">       ministra  zahraničných vecí č. 21/1968 Zb. o Dohovore o výsadách a imunitách </w:t>
      </w:r>
      <w:r>
        <w:rPr>
          <w:rFonts w:ascii="Arial Narrow" w:hAnsi="Arial Narrow" w:cs="Arial Narrow"/>
          <w:sz w:val="18"/>
          <w:szCs w:val="24"/>
        </w:rPr>
        <w:t xml:space="preserve"> medzinárodných odborných organizácií,</w:t>
      </w:r>
    </w:p>
    <w:p w:rsidR="006A1A04">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Narrow" w:hAnsi="Arial Narrow" w:cs="Arial Narrow"/>
          <w:color w:val="000000"/>
          <w:sz w:val="18"/>
          <w:szCs w:val="24"/>
        </w:rPr>
      </w:pPr>
      <w:r>
        <w:rPr>
          <w:rFonts w:ascii="Arial Narrow" w:hAnsi="Arial Narrow" w:cs="Arial Narrow"/>
          <w:color w:val="000000"/>
          <w:sz w:val="18"/>
          <w:szCs w:val="24"/>
        </w:rPr>
        <w:t xml:space="preserve">       vyhláška ministra  zahraničných vecí č. 32/1969 Zb. o Viedenskom dohovore o konzulárnych stykoch, vyhláška ministra</w:t>
      </w:r>
    </w:p>
    <w:p>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szCs w:val="24"/>
        </w:rPr>
      </w:pPr>
      <w:r w:rsidR="006A1A04">
        <w:rPr>
          <w:rFonts w:ascii="Arial Narrow" w:hAnsi="Arial Narrow" w:cs="Arial Narrow"/>
          <w:color w:val="000000"/>
          <w:sz w:val="18"/>
          <w:szCs w:val="24"/>
        </w:rPr>
        <w:t xml:space="preserve">       zahraničných vecí  č. 40/1987 Zb. o  Dohovore o osobitných  misiách.          </w:t>
      </w:r>
    </w:p>
  </w:footnote>
  <w:footnote w:id="22">
    <w:p w:rsidR="006A1A04">
      <w:pPr>
        <w:pStyle w:val="FootnoteText"/>
        <w:rPr>
          <w:rFonts w:ascii="Arial Narrow" w:hAnsi="Arial Narrow" w:cs="Arial Narrow"/>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xml:space="preserve">)    Napríklad § 15  a 15b zákona Slovenskej národnej rady č. 511/1992 Zb. o správe daní a poplatkov a o zmenách v sústave územných </w:t>
      </w:r>
    </w:p>
    <w:p>
      <w:pPr>
        <w:pStyle w:val="FootnoteText"/>
        <w:rPr>
          <w:rFonts w:ascii="Times New Roman" w:hAnsi="Times New Roman" w:cs="Times New Roman"/>
          <w:szCs w:val="24"/>
        </w:rPr>
      </w:pPr>
      <w:r w:rsidR="006A1A04">
        <w:rPr>
          <w:rFonts w:ascii="Arial Narrow" w:hAnsi="Arial Narrow" w:cs="Arial Narrow"/>
          <w:sz w:val="18"/>
          <w:szCs w:val="24"/>
        </w:rPr>
        <w:t xml:space="preserve">        finančných  orgánov v znení neskorších predpisov.</w:t>
      </w:r>
    </w:p>
  </w:footnote>
  <w:footnote w:id="23">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w:t>
      </w:r>
      <w:r w:rsidR="006A1A04">
        <w:rPr>
          <w:rFonts w:ascii="Arial Narrow" w:hAnsi="Arial Narrow" w:cs="Arial Narrow"/>
          <w:szCs w:val="24"/>
        </w:rPr>
        <w:t xml:space="preserve">    </w:t>
      </w:r>
      <w:r w:rsidR="006A1A04">
        <w:rPr>
          <w:rFonts w:ascii="Arial Narrow" w:hAnsi="Arial Narrow" w:cs="Arial Narrow"/>
          <w:sz w:val="18"/>
          <w:szCs w:val="24"/>
        </w:rPr>
        <w:t>§ 15 ods. 2  zákona  Slovenskej národnej rady č. 511/1992 Zb. v znení neskorších predpisov.</w:t>
      </w:r>
    </w:p>
  </w:footnote>
  <w:footnote w:id="24">
    <w:p w:rsidR="006A1A04">
      <w:pPr>
        <w:pStyle w:val="FootnoteText"/>
        <w:rPr>
          <w:rFonts w:ascii="Arial Narrow" w:hAnsi="Arial Narrow" w:cs="Arial Narrow"/>
          <w:sz w:val="18"/>
          <w:szCs w:val="24"/>
        </w:rPr>
      </w:pPr>
      <w:r w:rsidRPr="00E90832">
        <w:rPr>
          <w:rStyle w:val="FootnoteReference"/>
          <w:rFonts w:ascii="Arial Narrow" w:hAnsi="Arial Narrow" w:cs="Arial Narrow"/>
          <w:sz w:val="18"/>
          <w:szCs w:val="24"/>
        </w:rPr>
        <w:footnoteRef/>
      </w:r>
      <w:r w:rsidRPr="00E90832">
        <w:rPr>
          <w:rFonts w:ascii="Arial Narrow" w:hAnsi="Arial Narrow" w:cs="Arial Narrow"/>
          <w:sz w:val="18"/>
          <w:szCs w:val="24"/>
        </w:rPr>
        <w:t>)</w:t>
      </w:r>
      <w:r w:rsidRPr="00E90832">
        <w:rPr>
          <w:rFonts w:ascii="Arial Narrow" w:hAnsi="Arial Narrow" w:cs="Arial Narrow"/>
          <w:szCs w:val="24"/>
        </w:rPr>
        <w:t xml:space="preserve">  </w:t>
      </w:r>
      <w:r>
        <w:rPr>
          <w:rFonts w:ascii="Times New Roman" w:hAnsi="Times New Roman" w:cs="Times New Roman"/>
          <w:szCs w:val="24"/>
        </w:rPr>
        <w:t xml:space="preserve"> </w:t>
      </w:r>
      <w:r>
        <w:rPr>
          <w:rFonts w:ascii="Arial Narrow" w:hAnsi="Arial Narrow" w:cs="Arial Narrow"/>
          <w:sz w:val="18"/>
          <w:szCs w:val="24"/>
        </w:rPr>
        <w:t>Nariadenie Rady( ES) č. 2073/2004 zo 16. novembra 2004 o správnej spolupráci v oblasti  spotrebných daní</w:t>
      </w:r>
    </w:p>
    <w:p>
      <w:pPr>
        <w:pStyle w:val="FootnoteText"/>
        <w:rPr>
          <w:rFonts w:ascii="Times New Roman" w:hAnsi="Times New Roman" w:cs="Times New Roman"/>
          <w:szCs w:val="24"/>
        </w:rPr>
      </w:pPr>
      <w:r w:rsidR="006A1A04">
        <w:rPr>
          <w:rFonts w:ascii="Arial Narrow" w:hAnsi="Arial Narrow" w:cs="Arial Narrow"/>
          <w:sz w:val="18"/>
          <w:szCs w:val="24"/>
        </w:rPr>
        <w:t xml:space="preserve">       (Ú. v.  EÚ L 359, 04. 12. 2004).</w:t>
      </w:r>
    </w:p>
  </w:footnote>
  <w:footnote w:id="25">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color w:val="000000"/>
          <w:sz w:val="18"/>
          <w:szCs w:val="24"/>
        </w:rPr>
        <w:t>)   § 35  ods. 1 písm. a) a g) zákona Slovenskej národnej rady  č. 511/1992 Zb. v znení neskorších predpisov.</w:t>
      </w:r>
    </w:p>
  </w:footnote>
  <w:footnote w:id="26">
    <w:p>
      <w:pPr>
        <w:pStyle w:val="FootnoteText"/>
        <w:rPr>
          <w:rFonts w:ascii="Times New Roman" w:hAnsi="Times New Roman" w:cs="Times New Roman"/>
          <w:szCs w:val="24"/>
        </w:rPr>
      </w:pPr>
      <w:r w:rsidR="006A1A04">
        <w:rPr>
          <w:rStyle w:val="FootnoteReference"/>
          <w:rFonts w:ascii="Arial Narrow" w:hAnsi="Arial Narrow" w:cs="Arial Narrow"/>
          <w:sz w:val="18"/>
          <w:szCs w:val="24"/>
        </w:rPr>
        <w:footnoteRef/>
      </w:r>
      <w:r w:rsidR="006A1A04">
        <w:rPr>
          <w:rFonts w:ascii="Arial Narrow" w:hAnsi="Arial Narrow" w:cs="Arial Narrow"/>
          <w:sz w:val="18"/>
          <w:szCs w:val="24"/>
        </w:rPr>
        <w:t>)   Zákon  Slovenskej národnej rady č. 511/1992 Zb. v znení neskorších predpisov.</w:t>
      </w:r>
    </w:p>
  </w:footnote>
  <w:footnote w:id="27">
    <w:p w:rsidR="006A1A04">
      <w:pPr>
        <w:pStyle w:val="FootnoteText"/>
        <w:rPr>
          <w:rFonts w:ascii="Arial Narrow" w:hAnsi="Arial Narrow" w:cs="Arial Narrow"/>
          <w:sz w:val="18"/>
          <w:szCs w:val="24"/>
        </w:rPr>
      </w:pPr>
      <w:r>
        <w:rPr>
          <w:rStyle w:val="FootnoteReference"/>
          <w:rFonts w:ascii="Arial Narrow" w:hAnsi="Arial Narrow" w:cs="Arial Narrow"/>
          <w:sz w:val="18"/>
          <w:szCs w:val="24"/>
        </w:rPr>
        <w:footnoteRef/>
      </w:r>
      <w:r>
        <w:rPr>
          <w:rFonts w:ascii="Arial Narrow" w:hAnsi="Arial Narrow" w:cs="Arial Narrow"/>
          <w:sz w:val="18"/>
          <w:szCs w:val="24"/>
        </w:rPr>
        <w:t>)   Zákon č. 98/2004 Z. z. o spotrebnej dani z minerálneho oleja v znení neskorších predpisov.</w:t>
      </w:r>
    </w:p>
    <w:p w:rsidR="006A1A04">
      <w:pPr>
        <w:pStyle w:val="FootnoteText"/>
        <w:rPr>
          <w:rFonts w:ascii="Arial Narrow" w:hAnsi="Arial Narrow" w:cs="Arial Narrow"/>
          <w:sz w:val="18"/>
          <w:szCs w:val="24"/>
        </w:rPr>
      </w:pPr>
    </w:p>
    <w:p>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17D"/>
    <w:multiLevelType w:val="multilevel"/>
    <w:tmpl w:val="3FB8CB4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89408D"/>
    <w:multiLevelType w:val="hybridMultilevel"/>
    <w:tmpl w:val="4548542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94044F"/>
    <w:multiLevelType w:val="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4749E"/>
    <w:multiLevelType w:val="multilevel"/>
    <w:tmpl w:val="DE620F4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6E01A0"/>
    <w:multiLevelType w:val="multilevel"/>
    <w:tmpl w:val="4E78E1C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5820B39"/>
    <w:multiLevelType w:val="multilevel"/>
    <w:tmpl w:val="6CF43E8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5985777"/>
    <w:multiLevelType w:val="hybridMultilevel"/>
    <w:tmpl w:val="86285428"/>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5D74567"/>
    <w:multiLevelType w:val="multilevel"/>
    <w:tmpl w:val="234A5110"/>
    <w:lvl w:ilvl="0">
      <w:start w:val="1"/>
      <w:numFmt w:val="decimal"/>
      <w:lvlText w:val="(%1)"/>
      <w:lvlJc w:val="left"/>
      <w:pPr>
        <w:tabs>
          <w:tab w:val="num" w:pos="360"/>
        </w:tabs>
        <w:ind w:firstLine="36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66F6D7E"/>
    <w:multiLevelType w:val="multilevel"/>
    <w:tmpl w:val="772086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947E54"/>
    <w:multiLevelType w:val="multilevel"/>
    <w:tmpl w:val="2C9A5AE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b w:val="0"/>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69E7F57"/>
    <w:multiLevelType w:val="multilevel"/>
    <w:tmpl w:val="07E63B2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6A81D1E"/>
    <w:multiLevelType w:val="hybridMultilevel"/>
    <w:tmpl w:val="8C24ED0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786530F"/>
    <w:multiLevelType w:val="multilevel"/>
    <w:tmpl w:val="9D0ED2A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D65126"/>
    <w:multiLevelType w:val="multilevel"/>
    <w:tmpl w:val="F716B9AE"/>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8573437"/>
    <w:multiLevelType w:val="hybridMultilevel"/>
    <w:tmpl w:val="C36C7A5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8682AF7"/>
    <w:multiLevelType w:val="hybridMultilevel"/>
    <w:tmpl w:val="FA74DE4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86F4903"/>
    <w:multiLevelType w:val="hybridMultilevel"/>
    <w:tmpl w:val="7E46D9A8"/>
    <w:lvl w:ilvl="0">
      <w:start w:val="1"/>
      <w:numFmt w:val="lowerLetter"/>
      <w:lvlText w:val="%1)"/>
      <w:lvlJc w:val="left"/>
      <w:pPr>
        <w:tabs>
          <w:tab w:val="num" w:pos="1437"/>
        </w:tabs>
        <w:ind w:left="1437" w:hanging="360"/>
      </w:pPr>
      <w:rPr>
        <w:rFonts w:hint="default"/>
      </w:r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abstractNum w:abstractNumId="17">
    <w:nsid w:val="08AC6630"/>
    <w:multiLevelType w:val="multilevel"/>
    <w:tmpl w:val="6CF43E8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8B00122"/>
    <w:multiLevelType w:val="multilevel"/>
    <w:tmpl w:val="07E63B2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8F55493"/>
    <w:multiLevelType w:val="hybridMultilevel"/>
    <w:tmpl w:val="867A724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92D3222"/>
    <w:multiLevelType w:val="hybridMultilevel"/>
    <w:tmpl w:val="10DAC0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96E72A7"/>
    <w:multiLevelType w:val="hybridMultilevel"/>
    <w:tmpl w:val="A3CC5D8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A632A74"/>
    <w:multiLevelType w:val="hybridMultilevel"/>
    <w:tmpl w:val="BAC0F044"/>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B9748F2"/>
    <w:multiLevelType w:val="hybridMultilevel"/>
    <w:tmpl w:val="6FA8F470"/>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BEF021D"/>
    <w:multiLevelType w:val="hybridMultilevel"/>
    <w:tmpl w:val="E126ED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C4D23BE"/>
    <w:multiLevelType w:val="multilevel"/>
    <w:tmpl w:val="295881D4"/>
    <w:lvl w:ilvl="0">
      <w:start w:val="1"/>
      <w:numFmt w:val="lowerLetter"/>
      <w:lvlText w:val="%1)"/>
      <w:lvlJc w:val="left"/>
      <w:pPr>
        <w:tabs>
          <w:tab w:val="num" w:pos="1420"/>
        </w:tabs>
        <w:ind w:left="1420" w:hanging="3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nsid w:val="0CBF397E"/>
    <w:multiLevelType w:val="hybridMultilevel"/>
    <w:tmpl w:val="B19885F6"/>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E5467D8"/>
    <w:multiLevelType w:val="hybridMultilevel"/>
    <w:tmpl w:val="34447EB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F670B0A"/>
    <w:multiLevelType w:val="hybridMultilevel"/>
    <w:tmpl w:val="4B76477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F833506"/>
    <w:multiLevelType w:val="multilevel"/>
    <w:tmpl w:val="E048BCF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FCC2EB2"/>
    <w:multiLevelType w:val="hybridMultilevel"/>
    <w:tmpl w:val="3E2EFB8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FEE536D"/>
    <w:multiLevelType w:val="hybridMultilevel"/>
    <w:tmpl w:val="87D8E3B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FFB4C4C"/>
    <w:multiLevelType w:val="multilevel"/>
    <w:tmpl w:val="BBEC06D6"/>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0387145"/>
    <w:multiLevelType w:val="multilevel"/>
    <w:tmpl w:val="9D0ED2A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06D4962"/>
    <w:multiLevelType w:val="multilevel"/>
    <w:tmpl w:val="7F92AB9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19A79D3"/>
    <w:multiLevelType w:val="multilevel"/>
    <w:tmpl w:val="69A8BF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1DA7A73"/>
    <w:multiLevelType w:val="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12974D3D"/>
    <w:multiLevelType w:val="multilevel"/>
    <w:tmpl w:val="82C090D0"/>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2B73496"/>
    <w:multiLevelType w:val="multilevel"/>
    <w:tmpl w:val="926E17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2D06888"/>
    <w:multiLevelType w:val="multilevel"/>
    <w:tmpl w:val="34447EB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14FD5DA2"/>
    <w:multiLevelType w:val="multilevel"/>
    <w:tmpl w:val="E9DC59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15D52FEE"/>
    <w:multiLevelType w:val="multilevel"/>
    <w:tmpl w:val="9CEA3C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16C11C2E"/>
    <w:multiLevelType w:val="hybridMultilevel"/>
    <w:tmpl w:val="706EAB7A"/>
    <w:lvl w:ilvl="0">
      <w:start w:val="1"/>
      <w:numFmt w:val="decimal"/>
      <w:lvlText w:val="(%1)"/>
      <w:lvlJc w:val="left"/>
      <w:pPr>
        <w:tabs>
          <w:tab w:val="num" w:pos="340"/>
        </w:tabs>
        <w:ind w:left="340"/>
      </w:pPr>
      <w:rPr>
        <w:rFonts w:hint="default"/>
      </w:rPr>
    </w:lvl>
    <w:lvl w:ilvl="1">
      <w:start w:val="1"/>
      <w:numFmt w:val="lowerLetter"/>
      <w:lvlText w:val="%2)"/>
      <w:lvlJc w:val="left"/>
      <w:pPr>
        <w:tabs>
          <w:tab w:val="num" w:pos="0"/>
        </w:tabs>
        <w:ind w:left="340" w:hanging="340"/>
      </w:pPr>
      <w:rPr>
        <w:rFonts w:hint="default"/>
      </w:rPr>
    </w:lvl>
    <w:lvl w:ilvl="2">
      <w:start w:val="1"/>
      <w:numFmt w:val="decimal"/>
      <w:lvlText w:val="%3."/>
      <w:lvlJc w:val="left"/>
      <w:pPr>
        <w:tabs>
          <w:tab w:val="num" w:pos="680"/>
        </w:tabs>
        <w:ind w:left="68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6EA3EA3"/>
    <w:multiLevelType w:val="hybridMultilevel"/>
    <w:tmpl w:val="4CB4F05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7026581"/>
    <w:multiLevelType w:val="hybridMultilevel"/>
    <w:tmpl w:val="BBEC06D6"/>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8355CDE"/>
    <w:multiLevelType w:val="hybridMultilevel"/>
    <w:tmpl w:val="1708F868"/>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198D7171"/>
    <w:multiLevelType w:val="multilevel"/>
    <w:tmpl w:val="94E0F98A"/>
    <w:lvl w:ilvl="0">
      <w:start w:val="1"/>
      <w:numFmt w:val="decimal"/>
      <w:lvlText w:val="(%1)"/>
      <w:lvlJc w:val="left"/>
      <w:pPr>
        <w:tabs>
          <w:tab w:val="num" w:pos="360"/>
        </w:tabs>
        <w:ind w:left="20"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19ED53BE"/>
    <w:multiLevelType w:val="hybridMultilevel"/>
    <w:tmpl w:val="DFC66C2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1A1B3C98"/>
    <w:multiLevelType w:val="hybridMultilevel"/>
    <w:tmpl w:val="40AC7AF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1D2973C6"/>
    <w:multiLevelType w:val="hybridMultilevel"/>
    <w:tmpl w:val="88744B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1D377AF5"/>
    <w:multiLevelType w:val="multilevel"/>
    <w:tmpl w:val="3BCC6A74"/>
    <w:lvl w:ilvl="0">
      <w:start w:val="1"/>
      <w:numFmt w:val="decimal"/>
      <w:lvlText w:val="(%1)"/>
      <w:lvlJc w:val="left"/>
      <w:pPr>
        <w:tabs>
          <w:tab w:val="num" w:pos="360"/>
        </w:tabs>
        <w:ind w:left="20"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D417C4D"/>
    <w:multiLevelType w:val="hybridMultilevel"/>
    <w:tmpl w:val="C54C730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1D516C9D"/>
    <w:multiLevelType w:val="hybridMultilevel"/>
    <w:tmpl w:val="1C787D3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1D975655"/>
    <w:multiLevelType w:val="hybridMultilevel"/>
    <w:tmpl w:val="192E477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1D9C254D"/>
    <w:multiLevelType w:val="hybridMultilevel"/>
    <w:tmpl w:val="53288FF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1EBB2091"/>
    <w:multiLevelType w:val="hybridMultilevel"/>
    <w:tmpl w:val="35044D2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1F040478"/>
    <w:multiLevelType w:val="multilevel"/>
    <w:tmpl w:val="016E43D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1F460363"/>
    <w:multiLevelType w:val="hybridMultilevel"/>
    <w:tmpl w:val="4D80A7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1F9718CF"/>
    <w:multiLevelType w:val="multilevel"/>
    <w:tmpl w:val="B688FAF0"/>
    <w:lvl w:ilvl="0">
      <w:start w:val="1"/>
      <w:numFmt w:val="decimal"/>
      <w:lvlText w:val="(%1)"/>
      <w:lvlJc w:val="left"/>
      <w:pPr>
        <w:tabs>
          <w:tab w:val="num" w:pos="340"/>
        </w:tabs>
        <w:ind w:left="340"/>
      </w:pPr>
      <w:rPr>
        <w:rFonts w:hint="default"/>
      </w:rPr>
    </w:lvl>
    <w:lvl w:ilvl="1">
      <w:start w:val="1"/>
      <w:numFmt w:val="lowerLetter"/>
      <w:lvlText w:val="%2)"/>
      <w:lvlJc w:val="left"/>
      <w:pPr>
        <w:tabs>
          <w:tab w:val="num" w:pos="624"/>
        </w:tabs>
        <w:ind w:left="624"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20F20F22"/>
    <w:multiLevelType w:val="hybridMultilevel"/>
    <w:tmpl w:val="7D802D52"/>
    <w:lvl w:ilvl="0">
      <w:start w:val="1"/>
      <w:numFmt w:val="decimal"/>
      <w:lvlText w:val="(%1)"/>
      <w:lvlJc w:val="left"/>
      <w:pPr>
        <w:tabs>
          <w:tab w:val="num" w:pos="340"/>
        </w:tabs>
        <w:ind w:left="-20" w:firstLine="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21196896"/>
    <w:multiLevelType w:val="hybridMultilevel"/>
    <w:tmpl w:val="D8B04F3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19C069E"/>
    <w:multiLevelType w:val="hybridMultilevel"/>
    <w:tmpl w:val="27DEF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1FB54FD"/>
    <w:multiLevelType w:val="hybridMultilevel"/>
    <w:tmpl w:val="8E56F81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22026DF6"/>
    <w:multiLevelType w:val="hybridMultilevel"/>
    <w:tmpl w:val="E436A85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249793F"/>
    <w:multiLevelType w:val="multilevel"/>
    <w:tmpl w:val="644E5BA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22C51167"/>
    <w:multiLevelType w:val="multilevel"/>
    <w:tmpl w:val="9C60BC9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2310486F"/>
    <w:multiLevelType w:val="hybridMultilevel"/>
    <w:tmpl w:val="B0B8396E"/>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23970568"/>
    <w:multiLevelType w:val="multilevel"/>
    <w:tmpl w:val="1158A99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24977F13"/>
    <w:multiLevelType w:val="multilevel"/>
    <w:tmpl w:val="D2D6E2A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24B433CD"/>
    <w:multiLevelType w:val="multilevel"/>
    <w:tmpl w:val="7F92AB9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253C32E5"/>
    <w:multiLevelType w:val="multilevel"/>
    <w:tmpl w:val="326CCF7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256D6E55"/>
    <w:multiLevelType w:val="hybridMultilevel"/>
    <w:tmpl w:val="CFE06EF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266C3580"/>
    <w:multiLevelType w:val="hybridMultilevel"/>
    <w:tmpl w:val="722C757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8463FB9"/>
    <w:multiLevelType w:val="hybridMultilevel"/>
    <w:tmpl w:val="C720983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284D4106"/>
    <w:multiLevelType w:val="multilevel"/>
    <w:tmpl w:val="8018B71A"/>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28C24F87"/>
    <w:multiLevelType w:val="multilevel"/>
    <w:tmpl w:val="14D2117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29432047"/>
    <w:multiLevelType w:val="hybridMultilevel"/>
    <w:tmpl w:val="1884DAE4"/>
    <w:lvl w:ilvl="0">
      <w:start w:val="1"/>
      <w:numFmt w:val="lowerLetter"/>
      <w:lvlText w:val="%1)"/>
      <w:lvlJc w:val="left"/>
      <w:pPr>
        <w:tabs>
          <w:tab w:val="num" w:pos="340"/>
        </w:tabs>
        <w:ind w:left="340" w:hanging="34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2B3D0064"/>
    <w:multiLevelType w:val="multilevel"/>
    <w:tmpl w:val="B19885F6"/>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2C242C41"/>
    <w:multiLevelType w:val="multilevel"/>
    <w:tmpl w:val="94E0F98A"/>
    <w:lvl w:ilvl="0">
      <w:start w:val="1"/>
      <w:numFmt w:val="decimal"/>
      <w:lvlText w:val="(%1)"/>
      <w:lvlJc w:val="left"/>
      <w:pPr>
        <w:tabs>
          <w:tab w:val="num" w:pos="360"/>
        </w:tabs>
        <w:ind w:left="20"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2C712F50"/>
    <w:multiLevelType w:val="hybridMultilevel"/>
    <w:tmpl w:val="81F663C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2C754A4D"/>
    <w:multiLevelType w:val="multilevel"/>
    <w:tmpl w:val="046C0BF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2C8A54AD"/>
    <w:multiLevelType w:val="multilevel"/>
    <w:tmpl w:val="DFC66C2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2D70549F"/>
    <w:multiLevelType w:val="multilevel"/>
    <w:tmpl w:val="C674D906"/>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2DA676BF"/>
    <w:multiLevelType w:val="multilevel"/>
    <w:tmpl w:val="BEA0AA0A"/>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2E2F6ACB"/>
    <w:multiLevelType w:val="hybridMultilevel"/>
    <w:tmpl w:val="57AE47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2ED30773"/>
    <w:multiLevelType w:val="hybridMultilevel"/>
    <w:tmpl w:val="1A50C5B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2F6E4C0F"/>
    <w:multiLevelType w:val="hybridMultilevel"/>
    <w:tmpl w:val="5B484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07D5758"/>
    <w:multiLevelType w:val="multilevel"/>
    <w:tmpl w:val="21D2CAE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30E6184E"/>
    <w:multiLevelType w:val="multilevel"/>
    <w:tmpl w:val="21D2CAE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312F203A"/>
    <w:multiLevelType w:val="multilevel"/>
    <w:tmpl w:val="D2D6E2A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314F672C"/>
    <w:multiLevelType w:val="multilevel"/>
    <w:tmpl w:val="9CEA3C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316E754A"/>
    <w:multiLevelType w:val="hybridMultilevel"/>
    <w:tmpl w:val="DEC006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32F52B7F"/>
    <w:multiLevelType w:val="multilevel"/>
    <w:tmpl w:val="926E17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339B6E43"/>
    <w:multiLevelType w:val="hybridMultilevel"/>
    <w:tmpl w:val="A674621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344A345B"/>
    <w:multiLevelType w:val="multilevel"/>
    <w:tmpl w:val="82C090D0"/>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35066435"/>
    <w:multiLevelType w:val="multilevel"/>
    <w:tmpl w:val="50F0679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35400EB5"/>
    <w:multiLevelType w:val="multilevel"/>
    <w:tmpl w:val="69708CD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371D0A9A"/>
    <w:multiLevelType w:val="multilevel"/>
    <w:tmpl w:val="90A22120"/>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37F74840"/>
    <w:multiLevelType w:val="multilevel"/>
    <w:tmpl w:val="926E17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383F0DB8"/>
    <w:multiLevelType w:val="multilevel"/>
    <w:tmpl w:val="43AEFA52"/>
    <w:lvl w:ilvl="0">
      <w:start w:val="1"/>
      <w:numFmt w:val="lowerLetter"/>
      <w:lvlText w:val="%1)"/>
      <w:lvlJc w:val="left"/>
      <w:pPr>
        <w:tabs>
          <w:tab w:val="num" w:pos="1418"/>
        </w:tabs>
        <w:ind w:left="1134" w:hanging="57"/>
      </w:pPr>
      <w:rPr>
        <w:rFonts w:hint="default"/>
      </w:rPr>
    </w:lvl>
    <w:lvl w:ilvl="1">
      <w:start w:val="1"/>
      <w:numFmt w:val="decimal"/>
      <w:lvlText w:val="(%2)"/>
      <w:lvlJc w:val="left"/>
      <w:pPr>
        <w:tabs>
          <w:tab w:val="num" w:pos="108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39646D0B"/>
    <w:multiLevelType w:val="multilevel"/>
    <w:tmpl w:val="8788E3D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39DA11BB"/>
    <w:multiLevelType w:val="multilevel"/>
    <w:tmpl w:val="C674D906"/>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3BDF12A2"/>
    <w:multiLevelType w:val="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3C2473A9"/>
    <w:multiLevelType w:val="hybridMultilevel"/>
    <w:tmpl w:val="145429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3C401185"/>
    <w:multiLevelType w:val="hybridMultilevel"/>
    <w:tmpl w:val="B05E7B1C"/>
    <w:lvl w:ilvl="0">
      <w:start w:val="2"/>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3C640F0E"/>
    <w:multiLevelType w:val="hybridMultilevel"/>
    <w:tmpl w:val="9342CA8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3ED77345"/>
    <w:multiLevelType w:val="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3F1F43AA"/>
    <w:multiLevelType w:val="multilevel"/>
    <w:tmpl w:val="477CD9F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414E13AE"/>
    <w:multiLevelType w:val="multilevel"/>
    <w:tmpl w:val="C57A78EC"/>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419366DA"/>
    <w:multiLevelType w:val="hybridMultilevel"/>
    <w:tmpl w:val="F716B9AE"/>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41EF1CB2"/>
    <w:multiLevelType w:val="multilevel"/>
    <w:tmpl w:val="E9DC59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439A25A6"/>
    <w:multiLevelType w:val="hybridMultilevel"/>
    <w:tmpl w:val="3B9C244E"/>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43C40825"/>
    <w:multiLevelType w:val="multilevel"/>
    <w:tmpl w:val="9056AD1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44AE7F85"/>
    <w:multiLevelType w:val="multilevel"/>
    <w:tmpl w:val="21D2CAE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44F94FE3"/>
    <w:multiLevelType w:val="hybridMultilevel"/>
    <w:tmpl w:val="BF661E96"/>
    <w:lvl w:ilvl="0">
      <w:start w:val="2"/>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15">
    <w:nsid w:val="45DB2C2B"/>
    <w:multiLevelType w:val="hybridMultilevel"/>
    <w:tmpl w:val="95EC0A64"/>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47431C78"/>
    <w:multiLevelType w:val="hybridMultilevel"/>
    <w:tmpl w:val="9CEA3C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482337E2"/>
    <w:multiLevelType w:val="multilevel"/>
    <w:tmpl w:val="C674D906"/>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484B16B6"/>
    <w:multiLevelType w:val="hybridMultilevel"/>
    <w:tmpl w:val="21D2CAE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21"/>
        </w:tabs>
        <w:ind w:left="1137"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49BB4A8A"/>
    <w:multiLevelType w:val="hybridMultilevel"/>
    <w:tmpl w:val="32DEBA7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4AD1041A"/>
    <w:multiLevelType w:val="hybridMultilevel"/>
    <w:tmpl w:val="366C2C2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4B5F3214"/>
    <w:multiLevelType w:val="multilevel"/>
    <w:tmpl w:val="223A70CA"/>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4C483B4A"/>
    <w:multiLevelType w:val="multilevel"/>
    <w:tmpl w:val="7848F66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4C801078"/>
    <w:multiLevelType w:val="hybridMultilevel"/>
    <w:tmpl w:val="8334F7B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4D0C7DFF"/>
    <w:multiLevelType w:val="hybridMultilevel"/>
    <w:tmpl w:val="48987936"/>
    <w:lvl w:ilvl="0">
      <w:start w:val="1"/>
      <w:numFmt w:val="decimal"/>
      <w:lvlText w:val="(%1)"/>
      <w:lvlJc w:val="left"/>
      <w:pPr>
        <w:tabs>
          <w:tab w:val="num" w:pos="360"/>
        </w:tabs>
        <w:ind w:firstLine="36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4D2F3E6D"/>
    <w:multiLevelType w:val="hybridMultilevel"/>
    <w:tmpl w:val="644E5BA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4D4106E0"/>
    <w:multiLevelType w:val="hybridMultilevel"/>
    <w:tmpl w:val="BEA0AA0A"/>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4DA2149A"/>
    <w:multiLevelType w:val="multilevel"/>
    <w:tmpl w:val="644E5BA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4E21090F"/>
    <w:multiLevelType w:val="hybridMultilevel"/>
    <w:tmpl w:val="7F80CE8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4E264687"/>
    <w:multiLevelType w:val="hybridMultilevel"/>
    <w:tmpl w:val="99CEF048"/>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4F146F40"/>
    <w:multiLevelType w:val="hybridMultilevel"/>
    <w:tmpl w:val="5E9C05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4F9953F8"/>
    <w:multiLevelType w:val="hybridMultilevel"/>
    <w:tmpl w:val="6D6E9AF6"/>
    <w:lvl w:ilvl="0">
      <w:start w:val="1"/>
      <w:numFmt w:val="decimal"/>
      <w:lvlText w:val="(%1)"/>
      <w:lvlJc w:val="left"/>
      <w:pPr>
        <w:tabs>
          <w:tab w:val="num" w:pos="454"/>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50691DED"/>
    <w:multiLevelType w:val="multilevel"/>
    <w:tmpl w:val="926E17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50D8436B"/>
    <w:multiLevelType w:val="hybridMultilevel"/>
    <w:tmpl w:val="E9DC597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50F35187"/>
    <w:multiLevelType w:val="multilevel"/>
    <w:tmpl w:val="DBF4D858"/>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510B6396"/>
    <w:multiLevelType w:val="multilevel"/>
    <w:tmpl w:val="C31EE6DA"/>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517957BF"/>
    <w:multiLevelType w:val="multilevel"/>
    <w:tmpl w:val="706EAB7A"/>
    <w:lvl w:ilvl="0">
      <w:start w:val="1"/>
      <w:numFmt w:val="decimal"/>
      <w:lvlText w:val="(%1)"/>
      <w:lvlJc w:val="left"/>
      <w:pPr>
        <w:tabs>
          <w:tab w:val="num" w:pos="340"/>
        </w:tabs>
        <w:ind w:left="340"/>
      </w:pPr>
      <w:rPr>
        <w:rFonts w:hint="default"/>
      </w:rPr>
    </w:lvl>
    <w:lvl w:ilvl="1">
      <w:start w:val="1"/>
      <w:numFmt w:val="lowerLetter"/>
      <w:lvlText w:val="%2)"/>
      <w:lvlJc w:val="left"/>
      <w:pPr>
        <w:tabs>
          <w:tab w:val="num" w:pos="0"/>
        </w:tabs>
        <w:ind w:left="340" w:hanging="340"/>
      </w:pPr>
      <w:rPr>
        <w:rFonts w:hint="default"/>
      </w:rPr>
    </w:lvl>
    <w:lvl w:ilvl="2">
      <w:start w:val="1"/>
      <w:numFmt w:val="decimal"/>
      <w:lvlText w:val="%3."/>
      <w:lvlJc w:val="left"/>
      <w:pPr>
        <w:tabs>
          <w:tab w:val="num" w:pos="680"/>
        </w:tabs>
        <w:ind w:left="68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nsid w:val="520F5846"/>
    <w:multiLevelType w:val="hybridMultilevel"/>
    <w:tmpl w:val="762CE40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52194B0B"/>
    <w:multiLevelType w:val="hybridMultilevel"/>
    <w:tmpl w:val="DAEE7404"/>
    <w:lvl w:ilvl="0">
      <w:start w:val="1"/>
      <w:numFmt w:val="decimal"/>
      <w:lvlText w:val="(%1)"/>
      <w:lvlJc w:val="left"/>
      <w:pPr>
        <w:tabs>
          <w:tab w:val="num" w:pos="454"/>
        </w:tabs>
        <w:ind w:firstLine="340"/>
      </w:pPr>
      <w:rPr>
        <w:rFonts w:hint="default"/>
      </w:rPr>
    </w:lvl>
    <w:lvl w:ilvl="1">
      <w:start w:val="1"/>
      <w:numFmt w:val="lowerLetter"/>
      <w:lvlText w:val="%2)"/>
      <w:lvlJc w:val="left"/>
      <w:pPr>
        <w:tabs>
          <w:tab w:val="num" w:pos="0"/>
        </w:tabs>
        <w:ind w:left="284" w:hanging="284"/>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340"/>
        </w:tabs>
        <w:ind w:left="680" w:hanging="34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52D576C4"/>
    <w:multiLevelType w:val="multilevel"/>
    <w:tmpl w:val="9056AD1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52D633D5"/>
    <w:multiLevelType w:val="multilevel"/>
    <w:tmpl w:val="38767F1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540F1A3D"/>
    <w:multiLevelType w:val="hybridMultilevel"/>
    <w:tmpl w:val="B5AC24AA"/>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54E1784E"/>
    <w:multiLevelType w:val="multilevel"/>
    <w:tmpl w:val="887433EA"/>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55B82F2C"/>
    <w:multiLevelType w:val="multilevel"/>
    <w:tmpl w:val="4D80A764"/>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5665238A"/>
    <w:multiLevelType w:val="hybridMultilevel"/>
    <w:tmpl w:val="3E94FED0"/>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568C7A51"/>
    <w:multiLevelType w:val="hybridMultilevel"/>
    <w:tmpl w:val="926E17C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763"/>
        </w:tabs>
        <w:ind w:left="1763" w:hanging="68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581904A2"/>
    <w:multiLevelType w:val="hybridMultilevel"/>
    <w:tmpl w:val="43AEFA52"/>
    <w:lvl w:ilvl="0">
      <w:start w:val="1"/>
      <w:numFmt w:val="lowerLetter"/>
      <w:lvlText w:val="%1)"/>
      <w:lvlJc w:val="left"/>
      <w:pPr>
        <w:tabs>
          <w:tab w:val="num" w:pos="1418"/>
        </w:tabs>
        <w:ind w:left="1134" w:hanging="57"/>
      </w:pPr>
      <w:rPr>
        <w:rFonts w:hint="default"/>
      </w:rPr>
    </w:lvl>
    <w:lvl w:ilvl="1">
      <w:start w:val="1"/>
      <w:numFmt w:val="decimal"/>
      <w:lvlText w:val="(%2)"/>
      <w:lvlJc w:val="left"/>
      <w:pPr>
        <w:tabs>
          <w:tab w:val="num" w:pos="1080"/>
        </w:tabs>
        <w:ind w:left="740" w:firstLine="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58502AA6"/>
    <w:multiLevelType w:val="multilevel"/>
    <w:tmpl w:val="7F92AB9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587842FF"/>
    <w:multiLevelType w:val="multilevel"/>
    <w:tmpl w:val="7848F66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59973A08"/>
    <w:multiLevelType w:val="multilevel"/>
    <w:tmpl w:val="644E5BA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5B517F5F"/>
    <w:multiLevelType w:val="hybridMultilevel"/>
    <w:tmpl w:val="50F0679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5BB61C93"/>
    <w:multiLevelType w:val="hybridMultilevel"/>
    <w:tmpl w:val="D5C8D078"/>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5BB755C8"/>
    <w:multiLevelType w:val="multilevel"/>
    <w:tmpl w:val="DEC006D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5C0445E4"/>
    <w:multiLevelType w:val="hybridMultilevel"/>
    <w:tmpl w:val="F5B8161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5D8634DF"/>
    <w:multiLevelType w:val="hybridMultilevel"/>
    <w:tmpl w:val="3FB092D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5E0D5E9D"/>
    <w:multiLevelType w:val="multilevel"/>
    <w:tmpl w:val="887433EA"/>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61541788"/>
    <w:multiLevelType w:val="multilevel"/>
    <w:tmpl w:val="35044D2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61815495"/>
    <w:multiLevelType w:val="multilevel"/>
    <w:tmpl w:val="6CF43E8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61B816B5"/>
    <w:multiLevelType w:val="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61CF0CFA"/>
    <w:multiLevelType w:val="multilevel"/>
    <w:tmpl w:val="BD0642F8"/>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63034195"/>
    <w:multiLevelType w:val="multilevel"/>
    <w:tmpl w:val="FA74DE4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63E75B7A"/>
    <w:multiLevelType w:val="hybridMultilevel"/>
    <w:tmpl w:val="4FB2D89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63EE78D2"/>
    <w:multiLevelType w:val="hybridMultilevel"/>
    <w:tmpl w:val="BE042D82"/>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64E862D1"/>
    <w:multiLevelType w:val="hybridMultilevel"/>
    <w:tmpl w:val="8D80D0F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65303A97"/>
    <w:multiLevelType w:val="multilevel"/>
    <w:tmpl w:val="FFE4690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658727A8"/>
    <w:multiLevelType w:val="hybridMultilevel"/>
    <w:tmpl w:val="90D82076"/>
    <w:lvl w:ilvl="0">
      <w:start w:val="0"/>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6">
    <w:nsid w:val="658C6F86"/>
    <w:multiLevelType w:val="multilevel"/>
    <w:tmpl w:val="A03CBEB2"/>
    <w:lvl w:ilvl="0">
      <w:start w:val="1"/>
      <w:numFmt w:val="decimal"/>
      <w:lvlText w:val="%1."/>
      <w:lvlJc w:val="left"/>
      <w:pPr>
        <w:tabs>
          <w:tab w:val="num" w:pos="900"/>
        </w:tabs>
        <w:ind w:left="900" w:hanging="360"/>
      </w:pPr>
      <w:rPr>
        <w:rFonts w:hint="default"/>
        <w:b w:val="0"/>
        <w:i w:val="0"/>
      </w:rPr>
    </w:lvl>
    <w:lvl w:ilvl="1">
      <w:start w:val="1"/>
      <w:numFmt w:val="lowerLetter"/>
      <w:lvlText w:val="%2)"/>
      <w:lvlJc w:val="left"/>
      <w:pPr>
        <w:tabs>
          <w:tab w:val="num" w:pos="1003"/>
        </w:tabs>
        <w:ind w:left="1134"/>
      </w:pPr>
      <w:rPr>
        <w:rFonts w:hint="default"/>
        <w:b w:val="0"/>
        <w:i w:val="0"/>
      </w:rPr>
    </w:lvl>
    <w:lvl w:ilvl="2">
      <w:start w:val="1"/>
      <w:numFmt w:val="lowerRoman"/>
      <w:lvlText w:val="%3."/>
      <w:lvlJc w:val="right"/>
      <w:pPr>
        <w:tabs>
          <w:tab w:val="num" w:pos="2100"/>
        </w:tabs>
        <w:ind w:left="2100" w:hanging="180"/>
      </w:pPr>
      <w:rPr>
        <w:rFonts w:hint="default"/>
      </w:rPr>
    </w:lvl>
    <w:lvl w:ilvl="3">
      <w:start w:val="1"/>
      <w:numFmt w:val="decimal"/>
      <w:lvlText w:val="%4."/>
      <w:lvlJc w:val="left"/>
      <w:pPr>
        <w:tabs>
          <w:tab w:val="num" w:pos="2820"/>
        </w:tabs>
        <w:ind w:left="2820" w:hanging="360"/>
      </w:pPr>
      <w:rPr>
        <w:rFonts w:ascii="Times New Roman" w:eastAsia="Times New Roman" w:hAnsi="Times New Roman"/>
      </w:rPr>
    </w:lvl>
    <w:lvl w:ilvl="4">
      <w:start w:val="1"/>
      <w:numFmt w:val="lowerLetter"/>
      <w:lvlText w:val="%5."/>
      <w:lvlJc w:val="left"/>
      <w:pPr>
        <w:tabs>
          <w:tab w:val="num" w:pos="3540"/>
        </w:tabs>
        <w:ind w:left="3540" w:hanging="360"/>
      </w:pPr>
      <w:rPr>
        <w:rFonts w:hint="default"/>
      </w:rPr>
    </w:lvl>
    <w:lvl w:ilvl="5">
      <w:start w:val="1"/>
      <w:numFmt w:val="lowerRoman"/>
      <w:lvlText w:val="%6."/>
      <w:lvlJc w:val="right"/>
      <w:pPr>
        <w:tabs>
          <w:tab w:val="num" w:pos="4260"/>
        </w:tabs>
        <w:ind w:left="4260" w:hanging="180"/>
      </w:pPr>
      <w:rPr>
        <w:rFonts w:hint="default"/>
      </w:rPr>
    </w:lvl>
    <w:lvl w:ilvl="6">
      <w:start w:val="1"/>
      <w:numFmt w:val="decimal"/>
      <w:lvlText w:val="%7."/>
      <w:lvlJc w:val="left"/>
      <w:pPr>
        <w:tabs>
          <w:tab w:val="num" w:pos="4980"/>
        </w:tabs>
        <w:ind w:left="4980" w:hanging="360"/>
      </w:pPr>
      <w:rPr>
        <w:rFonts w:hint="default"/>
      </w:rPr>
    </w:lvl>
    <w:lvl w:ilvl="7">
      <w:start w:val="1"/>
      <w:numFmt w:val="lowerLetter"/>
      <w:lvlText w:val="%8."/>
      <w:lvlJc w:val="left"/>
      <w:pPr>
        <w:tabs>
          <w:tab w:val="num" w:pos="5700"/>
        </w:tabs>
        <w:ind w:left="5700" w:hanging="360"/>
      </w:pPr>
      <w:rPr>
        <w:rFonts w:hint="default"/>
      </w:rPr>
    </w:lvl>
    <w:lvl w:ilvl="8">
      <w:start w:val="1"/>
      <w:numFmt w:val="lowerRoman"/>
      <w:lvlText w:val="%9."/>
      <w:lvlJc w:val="right"/>
      <w:pPr>
        <w:tabs>
          <w:tab w:val="num" w:pos="6420"/>
        </w:tabs>
        <w:ind w:left="6420" w:hanging="180"/>
      </w:pPr>
      <w:rPr>
        <w:rFonts w:hint="default"/>
      </w:rPr>
    </w:lvl>
  </w:abstractNum>
  <w:abstractNum w:abstractNumId="167">
    <w:nsid w:val="664A76C8"/>
    <w:multiLevelType w:val="hybridMultilevel"/>
    <w:tmpl w:val="649C119E"/>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679E7122"/>
    <w:multiLevelType w:val="multilevel"/>
    <w:tmpl w:val="95EC0A64"/>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69262A2D"/>
    <w:multiLevelType w:val="multilevel"/>
    <w:tmpl w:val="3FB092D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697F79E2"/>
    <w:multiLevelType w:val="multilevel"/>
    <w:tmpl w:val="772086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69E84732"/>
    <w:multiLevelType w:val="hybridMultilevel"/>
    <w:tmpl w:val="3A5096CC"/>
    <w:lvl w:ilvl="0">
      <w:start w:val="1"/>
      <w:numFmt w:val="decimal"/>
      <w:lvlText w:val="%1."/>
      <w:lvlJc w:val="left"/>
      <w:pPr>
        <w:tabs>
          <w:tab w:val="num" w:pos="737"/>
        </w:tabs>
        <w:ind w:left="737" w:hanging="397"/>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2">
    <w:nsid w:val="6A563EDB"/>
    <w:multiLevelType w:val="multilevel"/>
    <w:tmpl w:val="32DEBA7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6A6F62AA"/>
    <w:multiLevelType w:val="hybridMultilevel"/>
    <w:tmpl w:val="A204F4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6A7F5860"/>
    <w:multiLevelType w:val="hybridMultilevel"/>
    <w:tmpl w:val="3FB8CB48"/>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6B4B5D12"/>
    <w:multiLevelType w:val="hybridMultilevel"/>
    <w:tmpl w:val="9D0ED2A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nsid w:val="6B75322A"/>
    <w:multiLevelType w:val="hybridMultilevel"/>
    <w:tmpl w:val="36B87E9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6C0715B4"/>
    <w:multiLevelType w:val="multilevel"/>
    <w:tmpl w:val="7F92AB96"/>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340"/>
        </w:tabs>
        <w:ind w:left="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6CCD4704"/>
    <w:multiLevelType w:val="multilevel"/>
    <w:tmpl w:val="63D41154"/>
    <w:lvl w:ilvl="0">
      <w:start w:val="1"/>
      <w:numFmt w:val="decimal"/>
      <w:lvlText w:val="(%1)"/>
      <w:lvlJc w:val="left"/>
      <w:pPr>
        <w:tabs>
          <w:tab w:val="num" w:pos="360"/>
        </w:tabs>
        <w:ind w:firstLine="36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nsid w:val="6DA10536"/>
    <w:multiLevelType w:val="multilevel"/>
    <w:tmpl w:val="996AF84E"/>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nsid w:val="6F4323E5"/>
    <w:multiLevelType w:val="multilevel"/>
    <w:tmpl w:val="403A78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nsid w:val="70036A29"/>
    <w:multiLevelType w:val="multilevel"/>
    <w:tmpl w:val="B48026F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nsid w:val="700965EE"/>
    <w:multiLevelType w:val="hybridMultilevel"/>
    <w:tmpl w:val="5C90991E"/>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70885997"/>
    <w:multiLevelType w:val="multilevel"/>
    <w:tmpl w:val="86EC7F5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20"/>
        </w:tabs>
        <w:ind w:left="142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nsid w:val="710F2FBA"/>
    <w:multiLevelType w:val="multilevel"/>
    <w:tmpl w:val="C31EE6DA"/>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nsid w:val="71883B5A"/>
    <w:multiLevelType w:val="multilevel"/>
    <w:tmpl w:val="234A5110"/>
    <w:lvl w:ilvl="0">
      <w:start w:val="1"/>
      <w:numFmt w:val="decimal"/>
      <w:lvlText w:val="(%1)"/>
      <w:lvlJc w:val="left"/>
      <w:pPr>
        <w:tabs>
          <w:tab w:val="num" w:pos="360"/>
        </w:tabs>
        <w:ind w:firstLine="36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71C57582"/>
    <w:multiLevelType w:val="multilevel"/>
    <w:tmpl w:val="644E5BA4"/>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nsid w:val="7217324C"/>
    <w:multiLevelType w:val="multilevel"/>
    <w:tmpl w:val="4CB4F052"/>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nsid w:val="72295529"/>
    <w:multiLevelType w:val="multilevel"/>
    <w:tmpl w:val="F5B8161C"/>
    <w:lvl w:ilvl="0">
      <w:start w:val="1"/>
      <w:numFmt w:val="decimal"/>
      <w:lvlText w:val="(%1)"/>
      <w:lvlJc w:val="left"/>
      <w:pPr>
        <w:tabs>
          <w:tab w:val="num" w:pos="340"/>
        </w:tabs>
        <w:ind w:left="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nsid w:val="722A098B"/>
    <w:multiLevelType w:val="multilevel"/>
    <w:tmpl w:val="8E722CC4"/>
    <w:lvl w:ilvl="0">
      <w:start w:val="1"/>
      <w:numFmt w:val="decimal"/>
      <w:lvlText w:val="(%1)"/>
      <w:lvlJc w:val="left"/>
      <w:pPr>
        <w:tabs>
          <w:tab w:val="num" w:pos="340"/>
        </w:tabs>
        <w:ind w:firstLine="340"/>
      </w:pPr>
      <w:rPr>
        <w:rFonts w:hint="default"/>
      </w:rPr>
    </w:lvl>
    <w:lvl w:ilvl="1">
      <w:start w:val="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722B2807"/>
    <w:multiLevelType w:val="multilevel"/>
    <w:tmpl w:val="77208600"/>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nsid w:val="72F154FF"/>
    <w:multiLevelType w:val="hybridMultilevel"/>
    <w:tmpl w:val="295881D4"/>
    <w:lvl w:ilvl="0">
      <w:start w:val="1"/>
      <w:numFmt w:val="lowerLetter"/>
      <w:lvlText w:val="%1)"/>
      <w:lvlJc w:val="left"/>
      <w:pPr>
        <w:tabs>
          <w:tab w:val="num" w:pos="1420"/>
        </w:tabs>
        <w:ind w:left="1420" w:hanging="3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2">
    <w:nsid w:val="730D7805"/>
    <w:multiLevelType w:val="hybridMultilevel"/>
    <w:tmpl w:val="6AA0D61E"/>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nsid w:val="73915BCF"/>
    <w:multiLevelType w:val="hybridMultilevel"/>
    <w:tmpl w:val="BD0642F8"/>
    <w:lvl w:ilvl="0">
      <w:start w:val="1"/>
      <w:numFmt w:val="lowerLetter"/>
      <w:lvlText w:val="%1)"/>
      <w:lvlJc w:val="left"/>
      <w:pPr>
        <w:tabs>
          <w:tab w:val="num" w:pos="1418"/>
        </w:tabs>
        <w:ind w:left="1134"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nsid w:val="73C9244B"/>
    <w:multiLevelType w:val="hybridMultilevel"/>
    <w:tmpl w:val="FA645536"/>
    <w:lvl w:ilvl="0">
      <w:start w:val="1"/>
      <w:numFmt w:val="lowerLetter"/>
      <w:lvlText w:val="%1)"/>
      <w:lvlJc w:val="left"/>
      <w:pPr>
        <w:tabs>
          <w:tab w:val="num" w:pos="1763"/>
        </w:tabs>
        <w:ind w:left="1763" w:hanging="6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nsid w:val="742D38D4"/>
    <w:multiLevelType w:val="hybridMultilevel"/>
    <w:tmpl w:val="4E78E1C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nsid w:val="74483DF5"/>
    <w:multiLevelType w:val="hybridMultilevel"/>
    <w:tmpl w:val="3286C474"/>
    <w:lvl w:ilvl="0">
      <w:start w:val="1"/>
      <w:numFmt w:val="decimal"/>
      <w:lvlText w:val="(%1)"/>
      <w:lvlJc w:val="left"/>
      <w:pPr>
        <w:tabs>
          <w:tab w:val="num" w:pos="680"/>
        </w:tabs>
        <w:ind w:left="340" w:firstLine="340"/>
      </w:pPr>
      <w:rPr>
        <w:rFonts w:hint="default"/>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97">
    <w:nsid w:val="74D26D64"/>
    <w:multiLevelType w:val="multilevel"/>
    <w:tmpl w:val="95EC0A64"/>
    <w:lvl w:ilvl="0">
      <w:start w:val="1"/>
      <w:numFmt w:val="decimal"/>
      <w:lvlText w:val="(%1)"/>
      <w:lvlJc w:val="left"/>
      <w:pPr>
        <w:tabs>
          <w:tab w:val="num" w:pos="340"/>
        </w:tabs>
        <w:ind w:left="340"/>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980"/>
        </w:tabs>
        <w:ind w:left="1640" w:firstLine="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nsid w:val="758D7E8B"/>
    <w:multiLevelType w:val="hybridMultilevel"/>
    <w:tmpl w:val="A27C20F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18"/>
        </w:tabs>
        <w:ind w:left="1134" w:hanging="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nsid w:val="779A3148"/>
    <w:multiLevelType w:val="hybridMultilevel"/>
    <w:tmpl w:val="9E0808D6"/>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nsid w:val="77A9508A"/>
    <w:multiLevelType w:val="hybridMultilevel"/>
    <w:tmpl w:val="6C740C6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nsid w:val="77D45D1A"/>
    <w:multiLevelType w:val="multilevel"/>
    <w:tmpl w:val="4268199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780115A3"/>
    <w:multiLevelType w:val="hybridMultilevel"/>
    <w:tmpl w:val="71A2AFD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nsid w:val="7869311B"/>
    <w:multiLevelType w:val="hybridMultilevel"/>
    <w:tmpl w:val="C51C80E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nsid w:val="78A05775"/>
    <w:multiLevelType w:val="multilevel"/>
    <w:tmpl w:val="37D409DE"/>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nsid w:val="78BD2AEF"/>
    <w:multiLevelType w:val="hybridMultilevel"/>
    <w:tmpl w:val="9E5E23C6"/>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nsid w:val="7A8A5AF0"/>
    <w:multiLevelType w:val="multilevel"/>
    <w:tmpl w:val="C31EE6DA"/>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nsid w:val="7B2473C2"/>
    <w:multiLevelType w:val="multilevel"/>
    <w:tmpl w:val="660AF04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nsid w:val="7B391412"/>
    <w:multiLevelType w:val="hybridMultilevel"/>
    <w:tmpl w:val="E4CE59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nsid w:val="7BDA3223"/>
    <w:multiLevelType w:val="hybridMultilevel"/>
    <w:tmpl w:val="5628B7F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nsid w:val="7C45245D"/>
    <w:multiLevelType w:val="hybridMultilevel"/>
    <w:tmpl w:val="437ECBF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nsid w:val="7E892F02"/>
    <w:multiLevelType w:val="hybridMultilevel"/>
    <w:tmpl w:val="18A4BC62"/>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nsid w:val="7EBA0544"/>
    <w:multiLevelType w:val="hybridMultilevel"/>
    <w:tmpl w:val="CD7A7B1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nsid w:val="7EE737D2"/>
    <w:multiLevelType w:val="multilevel"/>
    <w:tmpl w:val="046C0BFC"/>
    <w:lvl w:ilvl="0">
      <w:start w:val="1"/>
      <w:numFmt w:val="decimal"/>
      <w:lvlText w:val="(%1)"/>
      <w:lvlJc w:val="left"/>
      <w:pPr>
        <w:tabs>
          <w:tab w:val="num" w:pos="340"/>
        </w:tabs>
        <w:ind w:firstLine="340"/>
      </w:pPr>
      <w:rPr>
        <w:rFonts w:hint="default"/>
      </w:rPr>
    </w:lvl>
    <w:lvl w:ilvl="1">
      <w:start w:val="1"/>
      <w:numFmt w:val="lowerLetter"/>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nsid w:val="7F51087F"/>
    <w:multiLevelType w:val="multilevel"/>
    <w:tmpl w:val="07E63B2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34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nsid w:val="7F8972DF"/>
    <w:multiLevelType w:val="multilevel"/>
    <w:tmpl w:val="76E0E05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nsid w:val="7FB800BF"/>
    <w:multiLevelType w:val="hybridMultilevel"/>
    <w:tmpl w:val="996AF84E"/>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6"/>
  </w:num>
  <w:num w:numId="2">
    <w:abstractNumId w:val="131"/>
  </w:num>
  <w:num w:numId="3">
    <w:abstractNumId w:val="138"/>
  </w:num>
  <w:num w:numId="4">
    <w:abstractNumId w:val="119"/>
  </w:num>
  <w:num w:numId="5">
    <w:abstractNumId w:val="66"/>
  </w:num>
  <w:num w:numId="6">
    <w:abstractNumId w:val="42"/>
  </w:num>
  <w:num w:numId="7">
    <w:abstractNumId w:val="129"/>
  </w:num>
  <w:num w:numId="8">
    <w:abstractNumId w:val="125"/>
  </w:num>
  <w:num w:numId="9">
    <w:abstractNumId w:val="105"/>
  </w:num>
  <w:num w:numId="10">
    <w:abstractNumId w:val="123"/>
  </w:num>
  <w:num w:numId="11">
    <w:abstractNumId w:val="154"/>
  </w:num>
  <w:num w:numId="12">
    <w:abstractNumId w:val="52"/>
  </w:num>
  <w:num w:numId="13">
    <w:abstractNumId w:val="71"/>
  </w:num>
  <w:num w:numId="14">
    <w:abstractNumId w:val="172"/>
  </w:num>
  <w:num w:numId="15">
    <w:abstractNumId w:val="19"/>
  </w:num>
  <w:num w:numId="16">
    <w:abstractNumId w:val="133"/>
  </w:num>
  <w:num w:numId="17">
    <w:abstractNumId w:val="124"/>
  </w:num>
  <w:num w:numId="18">
    <w:abstractNumId w:val="150"/>
  </w:num>
  <w:num w:numId="19">
    <w:abstractNumId w:val="30"/>
  </w:num>
  <w:num w:numId="20">
    <w:abstractNumId w:val="115"/>
  </w:num>
  <w:num w:numId="21">
    <w:abstractNumId w:val="58"/>
  </w:num>
  <w:num w:numId="22">
    <w:abstractNumId w:val="8"/>
  </w:num>
  <w:num w:numId="23">
    <w:abstractNumId w:val="116"/>
  </w:num>
  <w:num w:numId="24">
    <w:abstractNumId w:val="90"/>
  </w:num>
  <w:num w:numId="25">
    <w:abstractNumId w:val="153"/>
  </w:num>
  <w:num w:numId="26">
    <w:abstractNumId w:val="147"/>
  </w:num>
  <w:num w:numId="27">
    <w:abstractNumId w:val="175"/>
  </w:num>
  <w:num w:numId="28">
    <w:abstractNumId w:val="33"/>
  </w:num>
  <w:num w:numId="29">
    <w:abstractNumId w:val="111"/>
  </w:num>
  <w:num w:numId="30">
    <w:abstractNumId w:val="170"/>
  </w:num>
  <w:num w:numId="31">
    <w:abstractNumId w:val="57"/>
  </w:num>
  <w:num w:numId="32">
    <w:abstractNumId w:val="69"/>
  </w:num>
  <w:num w:numId="33">
    <w:abstractNumId w:val="212"/>
  </w:num>
  <w:num w:numId="34">
    <w:abstractNumId w:val="122"/>
  </w:num>
  <w:num w:numId="35">
    <w:abstractNumId w:val="145"/>
  </w:num>
  <w:num w:numId="36">
    <w:abstractNumId w:val="148"/>
  </w:num>
  <w:num w:numId="37">
    <w:abstractNumId w:val="56"/>
  </w:num>
  <w:num w:numId="38">
    <w:abstractNumId w:val="142"/>
  </w:num>
  <w:num w:numId="39">
    <w:abstractNumId w:val="53"/>
  </w:num>
  <w:num w:numId="40">
    <w:abstractNumId w:val="204"/>
  </w:num>
  <w:num w:numId="41">
    <w:abstractNumId w:val="155"/>
  </w:num>
  <w:num w:numId="42">
    <w:abstractNumId w:val="198"/>
  </w:num>
  <w:num w:numId="43">
    <w:abstractNumId w:val="29"/>
  </w:num>
  <w:num w:numId="44">
    <w:abstractNumId w:val="89"/>
  </w:num>
  <w:num w:numId="45">
    <w:abstractNumId w:val="68"/>
  </w:num>
  <w:num w:numId="46">
    <w:abstractNumId w:val="41"/>
  </w:num>
  <w:num w:numId="47">
    <w:abstractNumId w:val="6"/>
  </w:num>
  <w:num w:numId="48">
    <w:abstractNumId w:val="94"/>
  </w:num>
  <w:num w:numId="49">
    <w:abstractNumId w:val="37"/>
  </w:num>
  <w:num w:numId="50">
    <w:abstractNumId w:val="184"/>
  </w:num>
  <w:num w:numId="51">
    <w:abstractNumId w:val="5"/>
  </w:num>
  <w:num w:numId="52">
    <w:abstractNumId w:val="183"/>
  </w:num>
  <w:num w:numId="53">
    <w:abstractNumId w:val="43"/>
  </w:num>
  <w:num w:numId="54">
    <w:abstractNumId w:val="97"/>
  </w:num>
  <w:num w:numId="55">
    <w:abstractNumId w:val="82"/>
  </w:num>
  <w:num w:numId="56">
    <w:abstractNumId w:val="101"/>
  </w:num>
  <w:num w:numId="57">
    <w:abstractNumId w:val="117"/>
  </w:num>
  <w:num w:numId="58">
    <w:abstractNumId w:val="38"/>
  </w:num>
  <w:num w:numId="59">
    <w:abstractNumId w:val="72"/>
  </w:num>
  <w:num w:numId="60">
    <w:abstractNumId w:val="157"/>
  </w:num>
  <w:num w:numId="61">
    <w:abstractNumId w:val="49"/>
  </w:num>
  <w:num w:numId="62">
    <w:abstractNumId w:val="102"/>
  </w:num>
  <w:num w:numId="63">
    <w:abstractNumId w:val="211"/>
  </w:num>
  <w:num w:numId="64">
    <w:abstractNumId w:val="17"/>
  </w:num>
  <w:num w:numId="65">
    <w:abstractNumId w:val="106"/>
  </w:num>
  <w:num w:numId="66">
    <w:abstractNumId w:val="132"/>
  </w:num>
  <w:num w:numId="67">
    <w:abstractNumId w:val="158"/>
  </w:num>
  <w:num w:numId="68">
    <w:abstractNumId w:val="96"/>
  </w:num>
  <w:num w:numId="69">
    <w:abstractNumId w:val="121"/>
  </w:num>
  <w:num w:numId="70">
    <w:abstractNumId w:val="134"/>
  </w:num>
  <w:num w:numId="71">
    <w:abstractNumId w:val="62"/>
  </w:num>
  <w:num w:numId="72">
    <w:abstractNumId w:val="118"/>
  </w:num>
  <w:num w:numId="73">
    <w:abstractNumId w:val="113"/>
  </w:num>
  <w:num w:numId="74">
    <w:abstractNumId w:val="206"/>
  </w:num>
  <w:num w:numId="75">
    <w:abstractNumId w:val="80"/>
  </w:num>
  <w:num w:numId="76">
    <w:abstractNumId w:val="55"/>
  </w:num>
  <w:num w:numId="77">
    <w:abstractNumId w:val="109"/>
  </w:num>
  <w:num w:numId="78">
    <w:abstractNumId w:val="156"/>
  </w:num>
  <w:num w:numId="79">
    <w:abstractNumId w:val="209"/>
  </w:num>
  <w:num w:numId="80">
    <w:abstractNumId w:val="88"/>
  </w:num>
  <w:num w:numId="81">
    <w:abstractNumId w:val="27"/>
  </w:num>
  <w:num w:numId="82">
    <w:abstractNumId w:val="44"/>
  </w:num>
  <w:num w:numId="83">
    <w:abstractNumId w:val="210"/>
  </w:num>
  <w:num w:numId="84">
    <w:abstractNumId w:val="34"/>
  </w:num>
  <w:num w:numId="85">
    <w:abstractNumId w:val="177"/>
  </w:num>
  <w:num w:numId="86">
    <w:abstractNumId w:val="12"/>
  </w:num>
  <w:num w:numId="87">
    <w:abstractNumId w:val="54"/>
  </w:num>
  <w:num w:numId="88">
    <w:abstractNumId w:val="108"/>
  </w:num>
  <w:num w:numId="89">
    <w:abstractNumId w:val="213"/>
  </w:num>
  <w:num w:numId="90">
    <w:abstractNumId w:val="165"/>
  </w:num>
  <w:num w:numId="91">
    <w:abstractNumId w:val="196"/>
  </w:num>
  <w:num w:numId="92">
    <w:abstractNumId w:val="50"/>
  </w:num>
  <w:num w:numId="93">
    <w:abstractNumId w:val="46"/>
  </w:num>
  <w:num w:numId="94">
    <w:abstractNumId w:val="78"/>
  </w:num>
  <w:num w:numId="95">
    <w:abstractNumId w:val="185"/>
  </w:num>
  <w:num w:numId="96">
    <w:abstractNumId w:val="59"/>
  </w:num>
  <w:num w:numId="97">
    <w:abstractNumId w:val="36"/>
  </w:num>
  <w:num w:numId="98">
    <w:abstractNumId w:val="141"/>
  </w:num>
  <w:num w:numId="99">
    <w:abstractNumId w:val="92"/>
  </w:num>
  <w:num w:numId="100">
    <w:abstractNumId w:val="194"/>
  </w:num>
  <w:num w:numId="101">
    <w:abstractNumId w:val="7"/>
  </w:num>
  <w:num w:numId="102">
    <w:abstractNumId w:val="178"/>
  </w:num>
  <w:num w:numId="103">
    <w:abstractNumId w:val="166"/>
  </w:num>
  <w:num w:numId="104">
    <w:abstractNumId w:val="171"/>
  </w:num>
  <w:num w:numId="105">
    <w:abstractNumId w:val="51"/>
  </w:num>
  <w:num w:numId="106">
    <w:abstractNumId w:val="200"/>
  </w:num>
  <w:num w:numId="107">
    <w:abstractNumId w:val="24"/>
  </w:num>
  <w:num w:numId="108">
    <w:abstractNumId w:val="161"/>
  </w:num>
  <w:num w:numId="109">
    <w:abstractNumId w:val="163"/>
  </w:num>
  <w:num w:numId="110">
    <w:abstractNumId w:val="174"/>
  </w:num>
  <w:num w:numId="111">
    <w:abstractNumId w:val="47"/>
  </w:num>
  <w:num w:numId="112">
    <w:abstractNumId w:val="137"/>
  </w:num>
  <w:num w:numId="113">
    <w:abstractNumId w:val="100"/>
  </w:num>
  <w:num w:numId="114">
    <w:abstractNumId w:val="140"/>
  </w:num>
  <w:num w:numId="115">
    <w:abstractNumId w:val="149"/>
  </w:num>
  <w:num w:numId="116">
    <w:abstractNumId w:val="195"/>
  </w:num>
  <w:num w:numId="117">
    <w:abstractNumId w:val="186"/>
  </w:num>
  <w:num w:numId="118">
    <w:abstractNumId w:val="130"/>
  </w:num>
  <w:num w:numId="119">
    <w:abstractNumId w:val="139"/>
  </w:num>
  <w:num w:numId="120">
    <w:abstractNumId w:val="14"/>
  </w:num>
  <w:num w:numId="121">
    <w:abstractNumId w:val="181"/>
  </w:num>
  <w:num w:numId="122">
    <w:abstractNumId w:val="103"/>
  </w:num>
  <w:num w:numId="123">
    <w:abstractNumId w:val="3"/>
  </w:num>
  <w:num w:numId="124">
    <w:abstractNumId w:val="4"/>
  </w:num>
  <w:num w:numId="125">
    <w:abstractNumId w:val="21"/>
  </w:num>
  <w:num w:numId="126">
    <w:abstractNumId w:val="215"/>
  </w:num>
  <w:num w:numId="127">
    <w:abstractNumId w:val="60"/>
  </w:num>
  <w:num w:numId="128">
    <w:abstractNumId w:val="164"/>
  </w:num>
  <w:num w:numId="129">
    <w:abstractNumId w:val="120"/>
  </w:num>
  <w:num w:numId="130">
    <w:abstractNumId w:val="67"/>
  </w:num>
  <w:num w:numId="131">
    <w:abstractNumId w:val="128"/>
  </w:num>
  <w:num w:numId="132">
    <w:abstractNumId w:val="135"/>
  </w:num>
  <w:num w:numId="133">
    <w:abstractNumId w:val="189"/>
  </w:num>
  <w:num w:numId="134">
    <w:abstractNumId w:val="9"/>
  </w:num>
  <w:num w:numId="135">
    <w:abstractNumId w:val="173"/>
  </w:num>
  <w:num w:numId="136">
    <w:abstractNumId w:val="65"/>
  </w:num>
  <w:num w:numId="137">
    <w:abstractNumId w:val="91"/>
  </w:num>
  <w:num w:numId="138">
    <w:abstractNumId w:val="152"/>
  </w:num>
  <w:num w:numId="139">
    <w:abstractNumId w:val="93"/>
  </w:num>
  <w:num w:numId="140">
    <w:abstractNumId w:val="87"/>
  </w:num>
  <w:num w:numId="141">
    <w:abstractNumId w:val="11"/>
  </w:num>
  <w:num w:numId="142">
    <w:abstractNumId w:val="13"/>
  </w:num>
  <w:num w:numId="143">
    <w:abstractNumId w:val="146"/>
  </w:num>
  <w:num w:numId="144">
    <w:abstractNumId w:val="75"/>
  </w:num>
  <w:num w:numId="145">
    <w:abstractNumId w:val="99"/>
  </w:num>
  <w:num w:numId="146">
    <w:abstractNumId w:val="26"/>
  </w:num>
  <w:num w:numId="147">
    <w:abstractNumId w:val="77"/>
  </w:num>
  <w:num w:numId="148">
    <w:abstractNumId w:val="187"/>
  </w:num>
  <w:num w:numId="149">
    <w:abstractNumId w:val="104"/>
  </w:num>
  <w:num w:numId="150">
    <w:abstractNumId w:val="95"/>
  </w:num>
  <w:num w:numId="151">
    <w:abstractNumId w:val="45"/>
  </w:num>
  <w:num w:numId="152">
    <w:abstractNumId w:val="98"/>
  </w:num>
  <w:num w:numId="153">
    <w:abstractNumId w:val="191"/>
  </w:num>
  <w:num w:numId="154">
    <w:abstractNumId w:val="25"/>
  </w:num>
  <w:num w:numId="155">
    <w:abstractNumId w:val="193"/>
  </w:num>
  <w:num w:numId="156">
    <w:abstractNumId w:val="159"/>
  </w:num>
  <w:num w:numId="157">
    <w:abstractNumId w:val="192"/>
  </w:num>
  <w:num w:numId="158">
    <w:abstractNumId w:val="136"/>
  </w:num>
  <w:num w:numId="159">
    <w:abstractNumId w:val="205"/>
  </w:num>
  <w:num w:numId="160">
    <w:abstractNumId w:val="48"/>
  </w:num>
  <w:num w:numId="161">
    <w:abstractNumId w:val="182"/>
  </w:num>
  <w:num w:numId="162">
    <w:abstractNumId w:val="143"/>
  </w:num>
  <w:num w:numId="163">
    <w:abstractNumId w:val="199"/>
  </w:num>
  <w:num w:numId="164">
    <w:abstractNumId w:val="107"/>
  </w:num>
  <w:num w:numId="165">
    <w:abstractNumId w:val="190"/>
  </w:num>
  <w:num w:numId="166">
    <w:abstractNumId w:val="74"/>
  </w:num>
  <w:num w:numId="167">
    <w:abstractNumId w:val="168"/>
  </w:num>
  <w:num w:numId="168">
    <w:abstractNumId w:val="162"/>
  </w:num>
  <w:num w:numId="169">
    <w:abstractNumId w:val="39"/>
  </w:num>
  <w:num w:numId="170">
    <w:abstractNumId w:val="1"/>
  </w:num>
  <w:num w:numId="171">
    <w:abstractNumId w:val="32"/>
  </w:num>
  <w:num w:numId="172">
    <w:abstractNumId w:val="126"/>
  </w:num>
  <w:num w:numId="173">
    <w:abstractNumId w:val="180"/>
  </w:num>
  <w:num w:numId="174">
    <w:abstractNumId w:val="83"/>
  </w:num>
  <w:num w:numId="175">
    <w:abstractNumId w:val="144"/>
  </w:num>
  <w:num w:numId="176">
    <w:abstractNumId w:val="197"/>
  </w:num>
  <w:num w:numId="177">
    <w:abstractNumId w:val="167"/>
  </w:num>
  <w:num w:numId="178">
    <w:abstractNumId w:val="127"/>
  </w:num>
  <w:num w:numId="179">
    <w:abstractNumId w:val="15"/>
  </w:num>
  <w:num w:numId="180">
    <w:abstractNumId w:val="112"/>
  </w:num>
  <w:num w:numId="181">
    <w:abstractNumId w:val="110"/>
  </w:num>
  <w:num w:numId="182">
    <w:abstractNumId w:val="216"/>
  </w:num>
  <w:num w:numId="183">
    <w:abstractNumId w:val="179"/>
  </w:num>
  <w:num w:numId="184">
    <w:abstractNumId w:val="73"/>
  </w:num>
  <w:num w:numId="185">
    <w:abstractNumId w:val="2"/>
  </w:num>
  <w:num w:numId="186">
    <w:abstractNumId w:val="16"/>
  </w:num>
  <w:num w:numId="187">
    <w:abstractNumId w:val="40"/>
  </w:num>
  <w:num w:numId="188">
    <w:abstractNumId w:val="176"/>
  </w:num>
  <w:num w:numId="189">
    <w:abstractNumId w:val="81"/>
  </w:num>
  <w:num w:numId="190">
    <w:abstractNumId w:val="85"/>
  </w:num>
  <w:num w:numId="191">
    <w:abstractNumId w:val="169"/>
  </w:num>
  <w:num w:numId="192">
    <w:abstractNumId w:val="207"/>
  </w:num>
  <w:num w:numId="193">
    <w:abstractNumId w:val="201"/>
  </w:num>
  <w:num w:numId="194">
    <w:abstractNumId w:val="214"/>
  </w:num>
  <w:num w:numId="195">
    <w:abstractNumId w:val="188"/>
  </w:num>
  <w:num w:numId="196">
    <w:abstractNumId w:val="151"/>
  </w:num>
  <w:num w:numId="197">
    <w:abstractNumId w:val="64"/>
  </w:num>
  <w:num w:numId="198">
    <w:abstractNumId w:val="63"/>
  </w:num>
  <w:num w:numId="199">
    <w:abstractNumId w:val="86"/>
  </w:num>
  <w:num w:numId="200">
    <w:abstractNumId w:val="10"/>
  </w:num>
  <w:num w:numId="201">
    <w:abstractNumId w:val="20"/>
  </w:num>
  <w:num w:numId="202">
    <w:abstractNumId w:val="18"/>
  </w:num>
  <w:num w:numId="203">
    <w:abstractNumId w:val="70"/>
  </w:num>
  <w:num w:numId="204">
    <w:abstractNumId w:val="160"/>
  </w:num>
  <w:num w:numId="205">
    <w:abstractNumId w:val="84"/>
  </w:num>
  <w:num w:numId="206">
    <w:abstractNumId w:val="208"/>
  </w:num>
  <w:num w:numId="207">
    <w:abstractNumId w:val="61"/>
  </w:num>
  <w:num w:numId="208">
    <w:abstractNumId w:val="203"/>
  </w:num>
  <w:num w:numId="209">
    <w:abstractNumId w:val="0"/>
  </w:num>
  <w:num w:numId="210">
    <w:abstractNumId w:val="31"/>
  </w:num>
  <w:num w:numId="211">
    <w:abstractNumId w:val="35"/>
  </w:num>
  <w:num w:numId="212">
    <w:abstractNumId w:val="79"/>
  </w:num>
  <w:num w:numId="213">
    <w:abstractNumId w:val="23"/>
  </w:num>
  <w:num w:numId="214">
    <w:abstractNumId w:val="22"/>
  </w:num>
  <w:num w:numId="215">
    <w:abstractNumId w:val="28"/>
  </w:num>
  <w:num w:numId="216">
    <w:abstractNumId w:val="202"/>
  </w:num>
  <w:num w:numId="217">
    <w:abstractNumId w:val="1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A1A04"/>
    <w:rsid w:val="00230B41"/>
    <w:rsid w:val="00533965"/>
    <w:rsid w:val="006A1A04"/>
    <w:rsid w:val="00BE1E00"/>
    <w:rsid w:val="00CA01D4"/>
    <w:rsid w:val="00E90832"/>
    <w:rsid w:val="00EE3A1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left"/>
      <w:outlineLvl w:val="0"/>
    </w:pPr>
    <w:rPr>
      <w:rFonts w:ascii="Arial Narrow" w:hAnsi="Arial Narrow" w:cs="Arial Narrow"/>
      <w:b/>
      <w:sz w:val="22"/>
    </w:rPr>
  </w:style>
  <w:style w:type="paragraph" w:styleId="Heading2">
    <w:name w:val="heading 2"/>
    <w:basedOn w:val="Normal"/>
    <w:next w:val="Normal"/>
    <w:uiPriority w:val="99"/>
    <w:pPr>
      <w:keepNext/>
      <w:spacing w:before="120"/>
      <w:jc w:val="center"/>
      <w:outlineLvl w:val="1"/>
    </w:pPr>
    <w:rPr>
      <w:rFonts w:ascii="Arial Narrow" w:hAnsi="Arial Narrow" w:cs="Arial Narrow"/>
      <w:b/>
      <w:sz w:val="22"/>
    </w:rPr>
  </w:style>
  <w:style w:type="paragraph" w:styleId="Heading3">
    <w:name w:val="heading 3"/>
    <w:basedOn w:val="Normal"/>
    <w:next w:val="Normal"/>
    <w:uiPriority w:val="99"/>
    <w:pPr>
      <w:keepNext/>
      <w:spacing w:before="120"/>
      <w:ind w:left="284"/>
      <w:jc w:val="center"/>
      <w:outlineLvl w:val="2"/>
    </w:pPr>
    <w:rPr>
      <w:rFonts w:ascii="Arial Narrow" w:hAnsi="Arial Narrow" w:cs="Arial Narrow"/>
      <w:b/>
      <w:sz w:val="22"/>
    </w:rPr>
  </w:style>
  <w:style w:type="paragraph" w:styleId="Heading4">
    <w:name w:val="heading 4"/>
    <w:basedOn w:val="Normal"/>
    <w:next w:val="Normal"/>
    <w:uiPriority w:val="99"/>
    <w:pPr>
      <w:keepNext/>
      <w:jc w:val="both"/>
      <w:outlineLvl w:val="3"/>
    </w:pPr>
    <w:rPr>
      <w:rFonts w:ascii="Arial Narrow" w:hAnsi="Arial Narrow" w:cs="Arial Narrow"/>
      <w:b/>
      <w:sz w:val="22"/>
    </w:rPr>
  </w:style>
  <w:style w:type="paragraph" w:styleId="Heading5">
    <w:name w:val="heading 5"/>
    <w:basedOn w:val="Normal"/>
    <w:next w:val="Normal"/>
    <w:uiPriority w:val="99"/>
    <w:pPr>
      <w:keepNext/>
      <w:tabs>
        <w:tab w:val="left" w:pos="0"/>
        <w:tab w:val="left" w:pos="720"/>
        <w:tab w:val="left" w:pos="1440"/>
        <w:tab w:val="left" w:pos="2160"/>
        <w:tab w:val="left" w:pos="2880"/>
        <w:tab w:val="left" w:pos="3600"/>
        <w:tab w:val="left" w:pos="4320"/>
      </w:tabs>
      <w:autoSpaceDE w:val="0"/>
      <w:autoSpaceDN w:val="0"/>
      <w:adjustRightInd w:val="0"/>
      <w:spacing w:before="120" w:line="240" w:lineRule="atLeast"/>
      <w:ind w:left="340"/>
      <w:jc w:val="both"/>
      <w:outlineLvl w:val="4"/>
    </w:pPr>
    <w:rPr>
      <w:rFonts w:ascii="Arial Narrow" w:hAnsi="Arial Narrow" w:cs="Arial Narrow"/>
      <w:b/>
      <w:sz w:val="22"/>
    </w:rPr>
  </w:style>
  <w:style w:type="paragraph" w:styleId="Heading6">
    <w:name w:val="heading 6"/>
    <w:basedOn w:val="Normal"/>
    <w:next w:val="Normal"/>
    <w:uiPriority w:val="99"/>
    <w:pPr>
      <w:keepNext/>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center"/>
      <w:outlineLvl w:val="5"/>
    </w:pPr>
    <w:rPr>
      <w:rFonts w:ascii="Arial Narrow" w:hAnsi="Arial Narrow" w:cs="Arial Narrow"/>
      <w:b/>
      <w:noProof/>
      <w:color w:val="000000"/>
    </w:rPr>
  </w:style>
  <w:style w:type="paragraph" w:styleId="Heading7">
    <w:name w:val="heading 7"/>
    <w:basedOn w:val="Normal"/>
    <w:next w:val="Normal"/>
    <w:uiPriority w:val="99"/>
    <w:pPr>
      <w:keepNext/>
      <w:jc w:val="left"/>
      <w:outlineLvl w:val="6"/>
    </w:pPr>
    <w:rPr>
      <w:rFonts w:ascii="Arial Narrow" w:hAnsi="Arial Narrow" w:cs="Arial Narrow"/>
      <w:b/>
    </w:rPr>
  </w:style>
  <w:style w:type="paragraph" w:styleId="Heading8">
    <w:name w:val="heading 8"/>
    <w:basedOn w:val="Normal"/>
    <w:next w:val="Normal"/>
    <w:uiPriority w:val="99"/>
    <w:pPr>
      <w:keepNext/>
      <w:spacing w:before="120"/>
      <w:jc w:val="center"/>
      <w:outlineLvl w:val="7"/>
    </w:pPr>
    <w:rPr>
      <w:rFonts w:ascii="Arial Narrow" w:hAnsi="Arial Narrow" w:cs="Arial Narrow"/>
      <w:b/>
      <w:color w:val="000000"/>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Footer">
    <w:name w:val="footer"/>
    <w:basedOn w:val="Normal"/>
    <w:uiPriority w:val="99"/>
    <w:pPr>
      <w:tabs>
        <w:tab w:val="center" w:pos="4536"/>
        <w:tab w:val="right" w:pos="9072"/>
      </w:tabs>
      <w:jc w:val="left"/>
    </w:pPr>
  </w:style>
  <w:style w:type="paragraph" w:styleId="Header">
    <w:name w:val="header"/>
    <w:basedOn w:val="Normal"/>
    <w:uiPriority w:val="99"/>
    <w:pPr>
      <w:tabs>
        <w:tab w:val="center" w:pos="4536"/>
        <w:tab w:val="right" w:pos="9072"/>
      </w:tabs>
      <w:jc w:val="left"/>
    </w:pPr>
  </w:style>
  <w:style w:type="paragraph" w:styleId="FootnoteText">
    <w:name w:val="footnote text"/>
    <w:basedOn w:val="Normal"/>
    <w:uiPriority w:val="99"/>
    <w:semiHidden/>
    <w:pPr>
      <w:jc w:val="left"/>
    </w:pPr>
    <w:rPr>
      <w:sz w:val="20"/>
    </w:rPr>
  </w:style>
  <w:style w:type="character" w:styleId="FootnoteReference">
    <w:name w:val="footnote reference"/>
    <w:basedOn w:val="DefaultParagraphFont"/>
    <w:uiPriority w:val="99"/>
    <w:semiHidden/>
    <w:rPr>
      <w:vertAlign w:val="superscript"/>
    </w:rPr>
  </w:style>
  <w:style w:type="paragraph" w:customStyle="1" w:styleId="Zkladntext">
    <w:name w:val="Základní text"/>
    <w:uiPriority w:val="99"/>
    <w:pPr>
      <w:widowControl w:val="0"/>
      <w:autoSpaceDE w:val="0"/>
      <w:autoSpaceDN w:val="0"/>
      <w:adjustRightInd/>
      <w:ind w:left="0" w:right="0"/>
      <w:jc w:val="left"/>
      <w:textAlignment w:val="auto"/>
    </w:pPr>
    <w:rPr>
      <w:color w:val="000000"/>
      <w:sz w:val="24"/>
      <w:lang w:val="sk-SK" w:eastAsia="sk-SK"/>
    </w:rPr>
  </w:style>
  <w:style w:type="paragraph" w:styleId="BodyText2">
    <w:name w:val="Body Text 2"/>
    <w:basedOn w:val="Normal"/>
    <w:uiPriority w:val="99"/>
    <w:pPr>
      <w:tabs>
        <w:tab w:val="left" w:pos="0"/>
        <w:tab w:val="left" w:pos="720"/>
        <w:tab w:val="left" w:pos="1440"/>
        <w:tab w:val="left" w:pos="2160"/>
        <w:tab w:val="left" w:pos="2880"/>
        <w:tab w:val="left" w:pos="3600"/>
        <w:tab w:val="left" w:pos="4320"/>
      </w:tabs>
      <w:autoSpaceDE w:val="0"/>
      <w:autoSpaceDN w:val="0"/>
      <w:adjustRightInd w:val="0"/>
      <w:spacing w:before="120" w:line="240" w:lineRule="atLeast"/>
      <w:jc w:val="both"/>
    </w:pPr>
    <w:rPr>
      <w:rFonts w:ascii="Arial Narrow" w:hAnsi="Arial Narrow" w:cs="Arial Narrow"/>
      <w:color w:val="000000"/>
      <w:sz w:val="22"/>
    </w:rPr>
  </w:style>
  <w:style w:type="paragraph" w:styleId="BodyText">
    <w:name w:val="Body Text"/>
    <w:basedOn w:val="Normal"/>
    <w:uiPriority w:val="99"/>
    <w:pPr>
      <w:tabs>
        <w:tab w:val="left" w:pos="0"/>
        <w:tab w:val="left" w:pos="720"/>
        <w:tab w:val="left" w:pos="1440"/>
        <w:tab w:val="left" w:pos="2160"/>
        <w:tab w:val="left" w:pos="2880"/>
        <w:tab w:val="left" w:pos="3600"/>
        <w:tab w:val="left" w:pos="4320"/>
      </w:tabs>
      <w:autoSpaceDE w:val="0"/>
      <w:autoSpaceDN w:val="0"/>
      <w:adjustRightInd w:val="0"/>
      <w:spacing w:before="120"/>
      <w:jc w:val="both"/>
    </w:pPr>
    <w:rPr>
      <w:rFonts w:ascii="Arial Narrow" w:hAnsi="Arial Narrow" w:cs="Arial Narrow"/>
      <w:b/>
      <w:color w:val="000000"/>
      <w:sz w:val="22"/>
    </w:rPr>
  </w:style>
  <w:style w:type="paragraph" w:styleId="BodyText3">
    <w:name w:val="Body Text 3"/>
    <w:basedOn w:val="Normal"/>
    <w:uiPriority w:val="99"/>
    <w:pPr>
      <w:jc w:val="left"/>
    </w:pPr>
    <w:rPr>
      <w:rFonts w:ascii="Arial Narrow" w:hAnsi="Arial Narrow" w:cs="Arial Narrow"/>
      <w:b/>
      <w:sz w:val="22"/>
    </w:rPr>
  </w:style>
  <w:style w:type="character" w:styleId="Emphasis">
    <w:name w:val="Emphasis"/>
    <w:basedOn w:val="DefaultParagraphFont"/>
    <w:uiPriority w:val="99"/>
    <w:rPr>
      <w:i/>
    </w:rPr>
  </w:style>
  <w:style w:type="paragraph" w:styleId="BodyTextIndent2">
    <w:name w:val="Body Text Indent 2"/>
    <w:basedOn w:val="Normal"/>
    <w:uiPriority w:val="99"/>
    <w:pPr>
      <w:spacing w:before="240"/>
      <w:ind w:left="360" w:hanging="360"/>
      <w:jc w:val="both"/>
    </w:pPr>
    <w:rPr>
      <w:rFonts w:ascii="Arial Narrow" w:hAnsi="Arial Narrow" w:cs="Arial Narrow"/>
      <w:sz w:val="22"/>
    </w:rPr>
  </w:style>
  <w:style w:type="paragraph" w:styleId="BodyTextIndent3">
    <w:name w:val="Body Text Indent 3"/>
    <w:basedOn w:val="Normal"/>
    <w:uiPriority w:val="99"/>
    <w:pPr>
      <w:ind w:left="180" w:hanging="180"/>
      <w:jc w:val="both"/>
    </w:pPr>
    <w:rPr>
      <w:rFonts w:ascii="Arial Narrow" w:hAnsi="Arial Narrow" w:cs="Arial Narrow"/>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TotalTime>
  <Pages>32</Pages>
  <Words>13785</Words>
  <Characters>78579</Characters>
  <Application>Microsoft Office Word</Application>
  <DocSecurity>0</DocSecurity>
  <Lines>0</Lines>
  <Paragraphs>0</Paragraphs>
  <ScaleCrop>false</ScaleCrop>
  <Company>MFSR</Company>
  <LinksUpToDate>false</LinksUpToDate>
  <CharactersWithSpaces>92180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akoprivova</dc:creator>
  <cp:lastModifiedBy>;</cp:lastModifiedBy>
  <cp:revision>7</cp:revision>
  <cp:lastPrinted>2007-09-27T08:55:00Z</cp:lastPrinted>
  <dcterms:created xsi:type="dcterms:W3CDTF">2007-09-21T12:58:00Z</dcterms:created>
  <dcterms:modified xsi:type="dcterms:W3CDTF">2007-09-27T08:59:00Z</dcterms:modified>
</cp:coreProperties>
</file>