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553F">
      <w:pPr>
        <w:spacing w:after="12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Národná rada Slovenskej republiky </w:t>
      </w:r>
    </w:p>
    <w:p w:rsidR="0076553F">
      <w:pPr>
        <w:pBdr>
          <w:bottom w:val="single" w:sz="6" w:space="1" w:color="auto"/>
        </w:pBdr>
        <w:spacing w:after="12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IV. volebné obdobie</w:t>
      </w:r>
    </w:p>
    <w:p w:rsidR="0076553F">
      <w:pPr>
        <w:spacing w:after="12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428</w:t>
      </w:r>
    </w:p>
    <w:p w:rsidR="0076553F">
      <w:pPr>
        <w:spacing w:after="12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VLÁDNY NÁVRH 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76553F">
      <w:pPr>
        <w:spacing w:after="12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ZÁKON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z...... 2007</w:t>
      </w:r>
      <w:r w:rsidR="00130EB9">
        <w:rPr>
          <w:rFonts w:ascii="Times New Roman" w:hAnsi="Times New Roman" w:cs="Times New Roman"/>
          <w:b/>
          <w:sz w:val="22"/>
          <w:szCs w:val="22"/>
        </w:rPr>
        <w:t>,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0EB9" w:rsidP="00130EB9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="00473DF0">
        <w:rPr>
          <w:rFonts w:ascii="Times New Roman" w:hAnsi="Times New Roman" w:cs="Times New Roman"/>
          <w:b/>
          <w:sz w:val="22"/>
          <w:szCs w:val="22"/>
        </w:rPr>
        <w:t xml:space="preserve">o pomoci poskytovanej z fondov </w:t>
      </w:r>
      <w:r>
        <w:rPr>
          <w:rFonts w:ascii="Times New Roman" w:hAnsi="Times New Roman" w:cs="Times New Roman"/>
          <w:b/>
          <w:sz w:val="22"/>
          <w:szCs w:val="22"/>
        </w:rPr>
        <w:t>Európskeho spoločenstva</w:t>
      </w:r>
      <w:r w:rsidRPr="00912E4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6553F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6553F">
      <w:pPr>
        <w:spacing w:after="12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Národná rada Slovenskej republiky sa uzniesla na tomto zákone:</w:t>
      </w:r>
    </w:p>
    <w:p w:rsidR="0076553F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Prvá časť</w:t>
      </w:r>
    </w:p>
    <w:p w:rsidR="0076553F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Všeobecné ustanovenia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</w:t>
      </w:r>
      <w:r>
        <w:rPr>
          <w:rFonts w:ascii="Times New Roman" w:hAnsi="Times New Roman" w:cs="Times New Roman"/>
          <w:b/>
          <w:sz w:val="22"/>
          <w:szCs w:val="22"/>
        </w:rPr>
        <w:t>edmet zákona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Tento zákon v oblasti systému zabezpečenia riadenia a kontroly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pomoci poskytovanej z fondov Európskeho spoločenstva (ďalej len „pomoc“) a podpory poskytovanej z fondov Európskeho spoločenstva (ďalej len „podpora“)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3"/>
      </w:r>
      <w:r>
        <w:rPr>
          <w:rFonts w:ascii="Times New Roman" w:hAnsi="Times New Roman" w:cs="Times New Roman"/>
          <w:szCs w:val="22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upravuje </w:t>
      </w:r>
    </w:p>
    <w:p w:rsidR="0076553F">
      <w:pPr>
        <w:numPr>
          <w:ilvl w:val="0"/>
          <w:numId w:val="44"/>
        </w:numPr>
        <w:tabs>
          <w:tab w:val="left" w:pos="360"/>
          <w:tab w:val="clear" w:pos="720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postavenie a </w:t>
      </w:r>
      <w:r>
        <w:rPr>
          <w:rFonts w:ascii="Times New Roman" w:hAnsi="Times New Roman" w:cs="Times New Roman"/>
          <w:sz w:val="22"/>
          <w:szCs w:val="22"/>
        </w:rPr>
        <w:t xml:space="preserve">právomoc </w:t>
      </w:r>
    </w:p>
    <w:p w:rsidR="0076553F">
      <w:pPr>
        <w:numPr>
          <w:ilvl w:val="1"/>
          <w:numId w:val="4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vlády Slovenskej republiky (ďalej len „vláda“), </w:t>
      </w:r>
    </w:p>
    <w:p w:rsidR="0076553F">
      <w:pPr>
        <w:numPr>
          <w:ilvl w:val="1"/>
          <w:numId w:val="44"/>
        </w:numPr>
        <w:tabs>
          <w:tab w:val="left" w:pos="720"/>
          <w:tab w:val="left" w:pos="90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ministerstiev a ostatných ústredných orgánov štátnej správy, </w:t>
      </w:r>
    </w:p>
    <w:p w:rsidR="0076553F">
      <w:pPr>
        <w:numPr>
          <w:ilvl w:val="1"/>
          <w:numId w:val="44"/>
        </w:numPr>
        <w:tabs>
          <w:tab w:val="left" w:pos="720"/>
          <w:tab w:val="left" w:pos="90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iných </w:t>
      </w:r>
      <w:r w:rsidR="00177FF0">
        <w:rPr>
          <w:rFonts w:ascii="Times New Roman" w:hAnsi="Times New Roman" w:cs="Times New Roman"/>
          <w:sz w:val="22"/>
          <w:szCs w:val="22"/>
        </w:rPr>
        <w:t xml:space="preserve">štátnych </w:t>
      </w:r>
      <w:r>
        <w:rPr>
          <w:rFonts w:ascii="Times New Roman" w:hAnsi="Times New Roman" w:cs="Times New Roman"/>
          <w:sz w:val="22"/>
          <w:szCs w:val="22"/>
        </w:rPr>
        <w:t xml:space="preserve">orgánov, </w:t>
      </w:r>
    </w:p>
    <w:p w:rsidR="0076553F">
      <w:pPr>
        <w:numPr>
          <w:ilvl w:val="1"/>
          <w:numId w:val="44"/>
        </w:numPr>
        <w:tabs>
          <w:tab w:val="left" w:pos="720"/>
          <w:tab w:val="left" w:pos="90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samosprávnych krajov, </w:t>
      </w:r>
    </w:p>
    <w:p w:rsidR="00130EB9">
      <w:pPr>
        <w:numPr>
          <w:ilvl w:val="1"/>
          <w:numId w:val="44"/>
        </w:numPr>
        <w:tabs>
          <w:tab w:val="left" w:pos="720"/>
          <w:tab w:val="left" w:pos="90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iných právnických osôb,</w:t>
      </w:r>
    </w:p>
    <w:p w:rsidR="0076553F">
      <w:pPr>
        <w:tabs>
          <w:tab w:val="left" w:pos="900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44"/>
        </w:numPr>
        <w:tabs>
          <w:tab w:val="left" w:pos="360"/>
          <w:tab w:val="clear" w:pos="720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práva a povinnosti </w:t>
      </w:r>
    </w:p>
    <w:p w:rsidR="0076553F">
      <w:pPr>
        <w:numPr>
          <w:ilvl w:val="6"/>
          <w:numId w:val="42"/>
        </w:numPr>
        <w:tabs>
          <w:tab w:val="left" w:pos="720"/>
          <w:tab w:val="clear" w:pos="252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prijímateľov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"/>
      </w:r>
      <w:r>
        <w:rPr>
          <w:rFonts w:ascii="Times New Roman" w:hAnsi="Times New Roman" w:cs="Times New Roman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76553F">
      <w:pPr>
        <w:numPr>
          <w:ilvl w:val="6"/>
          <w:numId w:val="42"/>
        </w:numPr>
        <w:tabs>
          <w:tab w:val="left" w:pos="720"/>
          <w:tab w:val="clear" w:pos="252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iných osôb.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2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Fondy Európskeho spoločenstva</w:t>
      </w: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2"/>
          <w:numId w:val="44"/>
        </w:numPr>
        <w:tabs>
          <w:tab w:val="left" w:pos="360"/>
          <w:tab w:val="clear" w:pos="2385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účely tohto zákona sa fondmi Európskeho spoločenstva rozumie Európsky fond regionálneho rozvoja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5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 Európsky sociálny fond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6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 Kohézny fond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7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 Európsky fond pre rybné hospodárstvo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8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 Európsky poľnohospodársky fond pre rozvoj vidieka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9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 Európsky poľnohospodársky záručný fond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10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numPr>
          <w:ilvl w:val="2"/>
          <w:numId w:val="44"/>
        </w:numPr>
        <w:tabs>
          <w:tab w:val="left" w:pos="360"/>
          <w:tab w:val="clear" w:pos="2385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 pomoci z Európskeho fondu regionálneho rozvoja, Európskeho sociálneho fondu a Kohézneho fondu a podpore z Európskeho fondu pre rybné hospodárstvo sa postupuje podľa druhej časti tohto zákona.</w:t>
      </w:r>
    </w:p>
    <w:p w:rsidR="0076553F">
      <w:pPr>
        <w:numPr>
          <w:ilvl w:val="2"/>
          <w:numId w:val="44"/>
        </w:numPr>
        <w:tabs>
          <w:tab w:val="left" w:pos="360"/>
          <w:tab w:val="clear" w:pos="2385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 podpore z Európskeho poľnohospodárskeho fondu pre rozvoj vidieka a z Európskeho poľnohospodárskeho záručného fondu sa postupuje podľa tretej časti tohto zákona.</w:t>
      </w: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3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Účel fondov Európskeho spoločenstva</w:t>
      </w: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Fondy Európskeho spoločenstva slúžia na území Slovenskej republi</w:t>
      </w:r>
      <w:r>
        <w:rPr>
          <w:rFonts w:ascii="Times New Roman" w:hAnsi="Times New Roman" w:cs="Times New Roman"/>
          <w:sz w:val="22"/>
          <w:szCs w:val="22"/>
        </w:rPr>
        <w:t xml:space="preserve">ky: </w:t>
      </w:r>
    </w:p>
    <w:p w:rsidR="0076553F">
      <w:pPr>
        <w:numPr>
          <w:ilvl w:val="0"/>
          <w:numId w:val="37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ako doplnkové zdroje k národným zdrojom na posilňovanie hospodárskej a sociálnej súdržnosti prostredníctvom hospodárskeho rastu a zvyšovania zamestnanosti založených na princípoch trvalo udržateľného rozvoja a budovania vedomostne orientovanej spoločn</w:t>
      </w:r>
      <w:r>
        <w:rPr>
          <w:rFonts w:ascii="Times New Roman" w:hAnsi="Times New Roman" w:cs="Times New Roman"/>
          <w:sz w:val="22"/>
          <w:szCs w:val="22"/>
        </w:rPr>
        <w:t>osti,</w:t>
      </w:r>
    </w:p>
    <w:p w:rsidR="0076553F">
      <w:pPr>
        <w:numPr>
          <w:ilvl w:val="0"/>
          <w:numId w:val="37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zabezpečenie cieľov spoločnej poľnohospodárskej politiky Európskej únie a spoločnej politiky rybného hospodárstva Európskej únie.</w:t>
      </w: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4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Vláda</w:t>
      </w:r>
    </w:p>
    <w:p w:rsidR="0076553F">
      <w:pP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Vláda najmä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76553F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riadi ochranu finančných záujmov Európskych spoločenstiev na území Slovenskej republiky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76553F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zabezpečuje koordináciu riadenia a kontroly pomoci a podpory tým, že </w:t>
      </w:r>
    </w:p>
    <w:p w:rsidR="0076553F">
      <w:pPr>
        <w:numPr>
          <w:ilvl w:val="0"/>
          <w:numId w:val="17"/>
        </w:numPr>
        <w:tabs>
          <w:tab w:val="clear" w:pos="360"/>
          <w:tab w:val="left" w:pos="72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určuje centrálny koordinačný orgán,</w:t>
      </w:r>
    </w:p>
    <w:p w:rsidR="0076553F">
      <w:pPr>
        <w:numPr>
          <w:ilvl w:val="0"/>
          <w:numId w:val="17"/>
        </w:numPr>
        <w:tabs>
          <w:tab w:val="clear" w:pos="360"/>
          <w:tab w:val="left" w:pos="72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určuje</w:t>
      </w:r>
      <w:r>
        <w:rPr>
          <w:rFonts w:ascii="Times New Roman" w:hAnsi="Times New Roman" w:cs="Times New Roman"/>
          <w:sz w:val="22"/>
        </w:rPr>
        <w:t xml:space="preserve"> riadiaci orgán, okrem riadiaceho orgánu ustanoveného osobitným predpisom</w:t>
      </w:r>
      <w:r>
        <w:rPr>
          <w:rStyle w:val="FootnoteReference"/>
          <w:rFonts w:ascii="Times New Roman" w:hAnsi="Times New Roman" w:cs="Times New Roman"/>
          <w:sz w:val="22"/>
          <w:rtl w:val="0"/>
        </w:rPr>
        <w:footnoteReference w:id="11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 </w:t>
      </w:r>
    </w:p>
    <w:p w:rsidR="0076553F">
      <w:pPr>
        <w:numPr>
          <w:ilvl w:val="0"/>
          <w:numId w:val="17"/>
        </w:numPr>
        <w:tabs>
          <w:tab w:val="left" w:pos="36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>môže určiť sprostredkovateľský orgán na plnenie úloh riadiaceho</w:t>
      </w:r>
      <w:r>
        <w:rPr>
          <w:rFonts w:ascii="Times New Roman" w:hAnsi="Times New Roman" w:cs="Times New Roman"/>
          <w:sz w:val="22"/>
        </w:rPr>
        <w:t xml:space="preserve"> orgánu,</w:t>
      </w:r>
    </w:p>
    <w:p w:rsidR="0076553F">
      <w:pPr>
        <w:numPr>
          <w:ilvl w:val="0"/>
          <w:numId w:val="17"/>
        </w:numPr>
        <w:tabs>
          <w:tab w:val="left" w:pos="36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určuje</w:t>
      </w:r>
      <w:r>
        <w:rPr>
          <w:rFonts w:ascii="Times New Roman" w:hAnsi="Times New Roman" w:cs="Times New Roman"/>
          <w:sz w:val="22"/>
        </w:rPr>
        <w:t xml:space="preserve"> certifikačný orgán, okrem certifikačného orgánu  ustanoveného podľa osobitného predpisu</w:t>
      </w:r>
      <w:r>
        <w:rPr>
          <w:rStyle w:val="FootnoteReference"/>
          <w:rFonts w:ascii="Times New Roman" w:hAnsi="Times New Roman" w:cs="Times New Roman"/>
          <w:sz w:val="22"/>
          <w:rtl w:val="0"/>
        </w:rPr>
        <w:footnoteReference w:id="12"/>
      </w:r>
      <w:r>
        <w:rPr>
          <w:rFonts w:ascii="Times New Roman" w:hAnsi="Times New Roman" w:cs="Times New Roman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</w:rPr>
        <w:t>,</w:t>
      </w:r>
    </w:p>
    <w:p w:rsidR="0076553F">
      <w:pPr>
        <w:numPr>
          <w:ilvl w:val="0"/>
          <w:numId w:val="17"/>
        </w:numPr>
        <w:tabs>
          <w:tab w:val="left" w:pos="36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určuje</w:t>
      </w:r>
      <w:r>
        <w:rPr>
          <w:rFonts w:ascii="Times New Roman" w:hAnsi="Times New Roman" w:cs="Times New Roman"/>
          <w:sz w:val="22"/>
        </w:rPr>
        <w:t xml:space="preserve"> orgán auditu, okrem určenia vykonávania auditu podľa osobitného predpisu</w:t>
      </w:r>
      <w:r>
        <w:rPr>
          <w:rStyle w:val="FootnoteReference"/>
          <w:rFonts w:ascii="Times New Roman" w:hAnsi="Times New Roman" w:cs="Times New Roman"/>
          <w:sz w:val="22"/>
          <w:rtl w:val="0"/>
        </w:rPr>
        <w:footnoteReference w:id="13"/>
      </w:r>
      <w:r>
        <w:rPr>
          <w:rFonts w:ascii="Times New Roman" w:hAnsi="Times New Roman" w:cs="Times New Roman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76553F">
      <w:pPr>
        <w:numPr>
          <w:ilvl w:val="0"/>
          <w:numId w:val="17"/>
        </w:numPr>
        <w:tabs>
          <w:tab w:val="left" w:pos="360"/>
        </w:tabs>
        <w:spacing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určuje</w:t>
      </w:r>
      <w:r>
        <w:rPr>
          <w:rFonts w:ascii="Times New Roman" w:hAnsi="Times New Roman" w:cs="Times New Roman"/>
          <w:sz w:val="22"/>
        </w:rPr>
        <w:t xml:space="preserve"> platobnú jednotku, okrem platobnej agentúry ustanovenej oso</w:t>
      </w:r>
      <w:r>
        <w:rPr>
          <w:rFonts w:ascii="Times New Roman" w:hAnsi="Times New Roman" w:cs="Times New Roman"/>
          <w:sz w:val="22"/>
        </w:rPr>
        <w:t>bitným predpisom</w:t>
      </w:r>
      <w:r>
        <w:rPr>
          <w:rStyle w:val="FootnoteReference"/>
          <w:rFonts w:ascii="Times New Roman" w:hAnsi="Times New Roman" w:cs="Times New Roman"/>
          <w:sz w:val="22"/>
          <w:rtl w:val="0"/>
        </w:rPr>
        <w:footnoteReference w:id="14"/>
      </w:r>
      <w:r>
        <w:rPr>
          <w:rFonts w:ascii="Times New Roman" w:hAnsi="Times New Roman" w:cs="Times New Roman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76553F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schvaľuje Národný strategický referenčný rámec pred jeho schválením Európskou komisiou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15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(ďalej len „referenčný rámec“) a operačný program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16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 ich zmeny,</w:t>
      </w:r>
    </w:p>
    <w:p w:rsidR="0076553F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schvaľuje Národný strategický plán rozvoja vidieka pred jeho schválením Európskou </w:t>
      </w:r>
      <w:r>
        <w:rPr>
          <w:rFonts w:ascii="Times New Roman" w:hAnsi="Times New Roman" w:cs="Times New Roman"/>
          <w:sz w:val="22"/>
          <w:szCs w:val="22"/>
        </w:rPr>
        <w:t>komisiou</w:t>
      </w:r>
      <w:r>
        <w:rPr>
          <w:rStyle w:val="FootnoteReference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17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 program rozvoja vidieka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18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 ich zmeny,</w:t>
      </w:r>
    </w:p>
    <w:p w:rsidR="0076553F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schvaľuje Národný strategický plán pre rybné hospodárstvo pred jeho schválením Európskou komisiou</w:t>
      </w:r>
      <w:r>
        <w:rPr>
          <w:rStyle w:val="FootnoteReference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19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 operačný program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0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 ich zmeny,  </w:t>
      </w:r>
    </w:p>
    <w:p w:rsidR="0076553F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schvaľuje veľké projekty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1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 ich zmeny,</w:t>
      </w:r>
    </w:p>
    <w:p w:rsidR="0076553F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schvaľuje systém riadenia a kontroly, systém finančného riadenia </w:t>
      </w:r>
      <w:r>
        <w:rPr>
          <w:rFonts w:ascii="Times New Roman" w:hAnsi="Times New Roman" w:cs="Helv"/>
          <w:color w:val="000000"/>
          <w:sz w:val="22"/>
          <w:szCs w:val="22"/>
        </w:rPr>
        <w:t>fondov Európskeho spoločenstva</w:t>
      </w:r>
      <w:r>
        <w:rPr>
          <w:rFonts w:ascii="Times New Roman" w:hAnsi="Times New Roman" w:cs="Times New Roman"/>
          <w:sz w:val="22"/>
          <w:szCs w:val="22"/>
        </w:rPr>
        <w:t xml:space="preserve"> a </w:t>
      </w:r>
      <w:r>
        <w:rPr>
          <w:rFonts w:ascii="Times New Roman" w:hAnsi="Times New Roman" w:cs="Helv"/>
          <w:color w:val="000000"/>
          <w:sz w:val="22"/>
          <w:szCs w:val="22"/>
        </w:rPr>
        <w:t xml:space="preserve">systém ochrany finančných záujmov Európskeho spoločenstva </w:t>
      </w:r>
      <w:r>
        <w:rPr>
          <w:rFonts w:ascii="Times New Roman" w:hAnsi="Times New Roman" w:cs="Times New Roman"/>
          <w:sz w:val="22"/>
          <w:szCs w:val="22"/>
        </w:rPr>
        <w:t>(ďalej len „ochrana finančných záujmov“) a ich zmeny v Slovenskej republike,</w:t>
      </w:r>
    </w:p>
    <w:p w:rsidR="0076553F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zabezpečuje iné úlohy v oblasti zabezpečenia systému riadenia a kontroly pomoci a ochrany finančných záujmov.</w:t>
      </w:r>
    </w:p>
    <w:p w:rsidR="0076553F">
      <w:pP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5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Úrad vlády Slovenskej republiky</w:t>
      </w:r>
    </w:p>
    <w:p w:rsidR="0076553F">
      <w:pP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Úrad vlády Slovenskej republiky (ďalej len „úrad vlády“) </w:t>
      </w:r>
    </w:p>
    <w:p w:rsidR="0076553F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zabezpečuje výkon nariadení Európskeho spoločenstva v oblasti ochrany finančných záujmov, najmä</w:t>
      </w:r>
    </w:p>
    <w:p w:rsidR="0076553F">
      <w:pPr>
        <w:numPr>
          <w:ilvl w:val="0"/>
          <w:numId w:val="11"/>
        </w:numPr>
        <w:tabs>
          <w:tab w:val="left" w:pos="426"/>
          <w:tab w:val="left" w:pos="1068"/>
          <w:tab w:val="left" w:pos="1260"/>
        </w:tabs>
        <w:spacing w:after="120"/>
        <w:ind w:left="10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zabezpečuje koordináciu plnenia úloh orgánov štátnej správy, Generálnej prokuratúry Slovenskej republiky, Najvyššieho kontrolného úradu Slovenskej republiky a Národnej banky Slovenska, </w:t>
      </w:r>
    </w:p>
    <w:p w:rsidR="0076553F">
      <w:pPr>
        <w:numPr>
          <w:ilvl w:val="0"/>
          <w:numId w:val="11"/>
        </w:numPr>
        <w:tabs>
          <w:tab w:val="left" w:pos="426"/>
          <w:tab w:val="left" w:pos="1068"/>
          <w:tab w:val="left" w:pos="1260"/>
        </w:tabs>
        <w:spacing w:after="120"/>
        <w:ind w:left="10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spolupracuje s orgánmi štátnej správy, Generálnou prokuratúrou Slovens</w:t>
      </w:r>
      <w:r>
        <w:rPr>
          <w:rFonts w:ascii="Times New Roman" w:hAnsi="Times New Roman" w:cs="Times New Roman"/>
          <w:sz w:val="22"/>
          <w:szCs w:val="22"/>
        </w:rPr>
        <w:t>kej republiky, Najvyšším kontrolným úradom Slovenskej republiky a Národnou bankou Slovenska,</w:t>
      </w:r>
    </w:p>
    <w:p w:rsidR="0076553F">
      <w:pPr>
        <w:numPr>
          <w:ilvl w:val="0"/>
          <w:numId w:val="11"/>
        </w:numPr>
        <w:tabs>
          <w:tab w:val="left" w:pos="426"/>
          <w:tab w:val="left" w:pos="1068"/>
          <w:tab w:val="left" w:pos="1260"/>
        </w:tabs>
        <w:spacing w:after="120"/>
        <w:ind w:left="10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oznamuje Európskej komisii  nezrovnalosti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2"/>
      </w:r>
      <w:r>
        <w:rPr>
          <w:rFonts w:ascii="Times New Roman" w:hAnsi="Times New Roman" w:cs="Times New Roman"/>
          <w:sz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podľa osobitných predpisov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3"/>
      </w:r>
      <w:r>
        <w:rPr>
          <w:rFonts w:ascii="Times New Roman" w:hAnsi="Times New Roman" w:cs="Times New Roman"/>
          <w:sz w:val="22"/>
          <w:vertAlign w:val="superscript"/>
        </w:rPr>
        <w:t>)</w:t>
      </w:r>
      <w:r>
        <w:rPr>
          <w:rFonts w:ascii="Times New Roman" w:hAnsi="Times New Roman" w:cs="Times New Roman"/>
          <w:sz w:val="22"/>
        </w:rPr>
        <w:t>,</w:t>
      </w:r>
    </w:p>
    <w:p w:rsidR="0076553F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spolupracuje s Európskym úradom boja proti podvodom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4"/>
      </w:r>
      <w:r>
        <w:rPr>
          <w:rFonts w:ascii="Times New Roman" w:hAnsi="Times New Roman" w:cs="Times New Roman"/>
          <w:sz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5"/>
      </w:r>
      <w:r>
        <w:rPr>
          <w:rFonts w:ascii="Times New Roman" w:hAnsi="Times New Roman" w:cs="Times New Roman"/>
          <w:sz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 zabezpečuje spoluprácu orgánov štátnej správy, Generálnej prokuratúry Slovenskej republiky, Najvyššieho kontrolného úradu Slovenskej republiky a Národnej banky Slovenska  s ním. </w:t>
      </w: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Druhá časť</w:t>
      </w:r>
    </w:p>
    <w:p w:rsidR="0076553F">
      <w:pPr>
        <w:pStyle w:val="BodyTex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Pomoc z Európskeho fondu regionálneho rozvoja, Európskeho sociálne</w:t>
      </w:r>
      <w:r>
        <w:rPr>
          <w:rFonts w:ascii="Times New Roman" w:hAnsi="Times New Roman" w:cs="Times New Roman"/>
        </w:rPr>
        <w:t>ho fondu, Kohézneho fondu a podpora z Európskeho fondu pre rybné hospodárstvo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6</w:t>
      </w:r>
    </w:p>
    <w:p w:rsidR="0076553F">
      <w:pPr>
        <w:pStyle w:val="Heading1"/>
        <w:tabs>
          <w:tab w:val="clear" w:pos="36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Centrálny koordinačný orgán</w:t>
      </w:r>
    </w:p>
    <w:p w:rsidR="0076553F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numPr>
          <w:ilvl w:val="0"/>
          <w:numId w:val="2"/>
        </w:numPr>
        <w:tabs>
          <w:tab w:val="left" w:pos="426"/>
          <w:tab w:val="left" w:pos="644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Centrálny koordinačný orgán je ministerstvo alebo ostatný ústredný orgán štátnej správy určený vládou pre operačné  programy v referenčnom rámci</w:t>
      </w:r>
      <w:r>
        <w:rPr>
          <w:rFonts w:ascii="Times New Roman" w:hAnsi="Times New Roman" w:cs="Times New Roman"/>
          <w:sz w:val="22"/>
          <w:szCs w:val="22"/>
        </w:rPr>
        <w:t>.</w:t>
        <w:tab/>
        <w:tab/>
      </w:r>
    </w:p>
    <w:p w:rsidR="0076553F">
      <w:pPr>
        <w:numPr>
          <w:ilvl w:val="0"/>
          <w:numId w:val="2"/>
        </w:numPr>
        <w:tabs>
          <w:tab w:val="left" w:pos="426"/>
          <w:tab w:val="left" w:pos="644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Centrálny koordinačný orgán v súvislosti s realizáciou referenčného rámca a  operačných programov v referenčnom rámci</w:t>
      </w:r>
    </w:p>
    <w:p w:rsidR="0076553F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zabezpečuje výkon nariadení Európskeho spoločenstva v oblasti systému riadenia a kontroly pomoci, </w:t>
      </w:r>
    </w:p>
    <w:p w:rsidR="0076553F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zabezpečuje tvorbu a prevádzku informačného monitorovacieho systému a dohliada nad jeho dodržiavaním,</w:t>
      </w:r>
    </w:p>
    <w:p w:rsidR="0076553F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c) zabezpečuje publicitu a informovanosť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6"/>
      </w:r>
      <w:r>
        <w:rPr>
          <w:rFonts w:ascii="Times New Roman" w:hAnsi="Times New Roman" w:cs="Times New Roman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o referenčnom rámci,</w:t>
      </w:r>
    </w:p>
    <w:p w:rsidR="0076553F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d) hodnotí výsledky pri dosahovaní cieľov v referenčnom rámci. </w:t>
      </w: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7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Riadiaci orgán</w:t>
      </w: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3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Riadiaci orgán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7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je ministerstvo alebo ostatný ústredný orgán štátnej správy určený vládou pre realizáciu operačného programu.</w:t>
      </w:r>
    </w:p>
    <w:p w:rsidR="0076553F">
      <w:pPr>
        <w:numPr>
          <w:ilvl w:val="0"/>
          <w:numId w:val="3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Riadiaci orgán zodpovedá za riadenie operačného programu a plní úlohy podľa osobitného predpisu.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8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6553F">
      <w:pPr>
        <w:numPr>
          <w:ilvl w:val="0"/>
          <w:numId w:val="3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Riadiaci orgán môže navrhnúť sprostredkovateľský orgán pod riadiacim orgánom a splnomocniť ho vykonávaním úloh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29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 Rozsah týchto úloh určí riadiaci orgán v splnomocnení. Ak vláda určí sprostredkovateľský orgán podľa § 4 písm. b) tretí bod, je riadiaci orgán povinný splnomocniť určený sprostredkovateľský orgán.</w:t>
      </w:r>
    </w:p>
    <w:p w:rsidR="0076553F">
      <w:pPr>
        <w:numPr>
          <w:ilvl w:val="0"/>
          <w:numId w:val="3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Zodpovednosť riadiaceho orgánu za plnenie úloh vykonávaných sprostredkovateľským orgánom nie je dotknutá. 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8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Sprostredkovateľský orgán pod riadiacim orgánom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numPr>
          <w:ilvl w:val="0"/>
          <w:numId w:val="4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Sprostredkovateľský orgán pod riadiacim orgánom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26)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77FF0">
        <w:rPr>
          <w:rFonts w:ascii="Times New Roman" w:hAnsi="Times New Roman" w:cs="Times New Roman"/>
          <w:sz w:val="22"/>
          <w:szCs w:val="22"/>
        </w:rPr>
        <w:t xml:space="preserve">(ďalej len „sprostredkovateľský orgán“) </w:t>
      </w:r>
      <w:r>
        <w:rPr>
          <w:rFonts w:ascii="Times New Roman" w:hAnsi="Times New Roman" w:cs="Times New Roman"/>
          <w:sz w:val="22"/>
          <w:szCs w:val="22"/>
        </w:rPr>
        <w:t>je minist</w:t>
      </w:r>
      <w:r>
        <w:rPr>
          <w:rFonts w:ascii="Times New Roman" w:hAnsi="Times New Roman" w:cs="Times New Roman"/>
          <w:sz w:val="22"/>
          <w:szCs w:val="22"/>
        </w:rPr>
        <w:t xml:space="preserve">erstvo alebo ostatný ústredný orgán štátnej správy, iný </w:t>
      </w:r>
      <w:r w:rsidR="00177FF0">
        <w:rPr>
          <w:rFonts w:ascii="Times New Roman" w:hAnsi="Times New Roman" w:cs="Times New Roman"/>
          <w:sz w:val="22"/>
          <w:szCs w:val="22"/>
        </w:rPr>
        <w:t>štátny orgán</w:t>
      </w:r>
      <w:r>
        <w:rPr>
          <w:rFonts w:ascii="Times New Roman" w:hAnsi="Times New Roman" w:cs="Times New Roman"/>
          <w:sz w:val="22"/>
          <w:szCs w:val="22"/>
        </w:rPr>
        <w:t xml:space="preserve">, samosprávny kraj alebo iná </w:t>
      </w:r>
      <w:r w:rsidR="00177FF0">
        <w:rPr>
          <w:rFonts w:ascii="Times New Roman" w:hAnsi="Times New Roman" w:cs="Times New Roman"/>
          <w:sz w:val="22"/>
          <w:szCs w:val="22"/>
        </w:rPr>
        <w:t xml:space="preserve">právnická </w:t>
      </w:r>
      <w:r>
        <w:rPr>
          <w:rFonts w:ascii="Times New Roman" w:hAnsi="Times New Roman" w:cs="Times New Roman"/>
          <w:sz w:val="22"/>
          <w:szCs w:val="22"/>
        </w:rPr>
        <w:t>osoba, ktorá má odborné, personálne a materiálne predpoklady na plnenie úloh určených  v splnomocnení.</w:t>
      </w:r>
    </w:p>
    <w:p w:rsidR="0076553F">
      <w:pPr>
        <w:numPr>
          <w:ilvl w:val="0"/>
          <w:numId w:val="4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Sprostredkovateľský orgán </w:t>
      </w:r>
      <w:r w:rsidR="00177FF0">
        <w:rPr>
          <w:rFonts w:ascii="Times New Roman" w:hAnsi="Times New Roman" w:cs="Times New Roman"/>
          <w:sz w:val="22"/>
          <w:szCs w:val="22"/>
        </w:rPr>
        <w:t>je</w:t>
      </w:r>
      <w:r>
        <w:rPr>
          <w:rFonts w:ascii="Times New Roman" w:hAnsi="Times New Roman" w:cs="Times New Roman"/>
          <w:sz w:val="22"/>
          <w:szCs w:val="22"/>
        </w:rPr>
        <w:t xml:space="preserve"> povinný plniť úl</w:t>
      </w:r>
      <w:r>
        <w:rPr>
          <w:rFonts w:ascii="Times New Roman" w:hAnsi="Times New Roman" w:cs="Times New Roman"/>
          <w:sz w:val="22"/>
          <w:szCs w:val="22"/>
        </w:rPr>
        <w:t>ohy v súlade so splnomocnením.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9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Certifikačný orgán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numPr>
          <w:ilvl w:val="0"/>
          <w:numId w:val="5"/>
        </w:numPr>
        <w:tabs>
          <w:tab w:val="left" w:pos="426"/>
          <w:tab w:val="left" w:pos="502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Certifikačný orgán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26)</w:t>
      </w:r>
      <w:r>
        <w:rPr>
          <w:rFonts w:ascii="Times New Roman" w:hAnsi="Times New Roman" w:cs="Times New Roman"/>
          <w:sz w:val="22"/>
          <w:szCs w:val="22"/>
        </w:rPr>
        <w:t xml:space="preserve"> je Ministerstvo financií Slovenskej republiky alebo iný ústredný orgán štátnej správy určený vládou. </w:t>
      </w:r>
    </w:p>
    <w:p w:rsidR="0076553F">
      <w:pPr>
        <w:numPr>
          <w:ilvl w:val="0"/>
          <w:numId w:val="5"/>
        </w:numPr>
        <w:tabs>
          <w:tab w:val="left" w:pos="360"/>
          <w:tab w:val="clear" w:pos="502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Certifikačný orgán okrem úloh v osobitnom predpise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30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ďalej</w:t>
      </w:r>
    </w:p>
    <w:p w:rsidR="0076553F">
      <w:pPr>
        <w:numPr>
          <w:ilvl w:val="1"/>
          <w:numId w:val="5"/>
        </w:numPr>
        <w:tabs>
          <w:tab w:val="left" w:pos="360"/>
          <w:tab w:val="clear" w:pos="108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koordinuje systém finančného riadenia fondov Európskeho spoločenstva,</w:t>
      </w:r>
    </w:p>
    <w:p w:rsidR="0076553F">
      <w:pPr>
        <w:numPr>
          <w:ilvl w:val="1"/>
          <w:numId w:val="5"/>
        </w:numPr>
        <w:tabs>
          <w:tab w:val="left" w:pos="360"/>
          <w:tab w:val="clear" w:pos="108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zabezpečuje výkon nariadení Európskeho spoločenstva v oblasti systému finančného riadenia,</w:t>
      </w:r>
    </w:p>
    <w:p w:rsidR="0076553F">
      <w:pPr>
        <w:numPr>
          <w:ilvl w:val="1"/>
          <w:numId w:val="5"/>
        </w:numPr>
        <w:tabs>
          <w:tab w:val="left" w:pos="360"/>
          <w:tab w:val="clear" w:pos="108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metodicky usmerňuje platobnú jednotku v oblasti účtovania využívania pomoci prijímateľom a vysporiadania finančných vzťahov prostredníctvom informačného systému účtovníctva fondov</w:t>
      </w:r>
      <w:r w:rsidR="003B6282">
        <w:rPr>
          <w:rFonts w:ascii="Times New Roman" w:hAnsi="Times New Roman" w:cs="Times New Roman"/>
          <w:sz w:val="22"/>
          <w:szCs w:val="22"/>
        </w:rPr>
        <w:t xml:space="preserve"> Európskeho spoločenstva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76553F">
      <w:pPr>
        <w:numPr>
          <w:ilvl w:val="1"/>
          <w:numId w:val="5"/>
        </w:numPr>
        <w:tabs>
          <w:tab w:val="left" w:pos="360"/>
          <w:tab w:val="clear" w:pos="108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 certifikáciu a certifikačné overovanie,</w:t>
      </w:r>
    </w:p>
    <w:p w:rsidR="0076553F">
      <w:pPr>
        <w:numPr>
          <w:ilvl w:val="1"/>
          <w:numId w:val="5"/>
        </w:numPr>
        <w:tabs>
          <w:tab w:val="left" w:pos="360"/>
          <w:tab w:val="clear" w:pos="108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 prostriedky Európskej únie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31"/>
      </w:r>
      <w:r>
        <w:rPr>
          <w:rFonts w:ascii="Times New Roman" w:hAnsi="Times New Roman" w:cs="Times New Roman"/>
          <w:sz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na osobitné účty zriadené v Štátnej pokladnici,</w:t>
      </w:r>
    </w:p>
    <w:p w:rsidR="0076553F">
      <w:pPr>
        <w:numPr>
          <w:ilvl w:val="1"/>
          <w:numId w:val="5"/>
        </w:numPr>
        <w:tabs>
          <w:tab w:val="left" w:pos="360"/>
          <w:tab w:val="clear" w:pos="108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zabezpečuje prevod prostriedkov Európskej únie z príslušného osobitného účtu na príjmový účet platobnej jednotky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32"/>
      </w:r>
      <w:r w:rsidR="00177FF0">
        <w:rPr>
          <w:rFonts w:ascii="Times New Roman" w:hAnsi="Times New Roman" w:cs="Times New Roman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 na účet prijímateľa v rámci Operačného programu Slovenská republika - Česká republika,</w:t>
      </w:r>
    </w:p>
    <w:p w:rsidR="0076553F">
      <w:pPr>
        <w:numPr>
          <w:ilvl w:val="1"/>
          <w:numId w:val="5"/>
        </w:numPr>
        <w:tabs>
          <w:tab w:val="left" w:pos="360"/>
          <w:tab w:val="clear" w:pos="108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zabezpečuje vrátenie prostriedkov Európskej únie v pro</w:t>
      </w:r>
      <w:r>
        <w:rPr>
          <w:rFonts w:ascii="Times New Roman" w:hAnsi="Times New Roman" w:cs="Times New Roman"/>
          <w:sz w:val="22"/>
          <w:szCs w:val="22"/>
        </w:rPr>
        <w:t>spech Európskej komisie.</w:t>
      </w:r>
    </w:p>
    <w:p w:rsidR="00177FF0" w:rsidRPr="00271B5E" w:rsidP="00177FF0">
      <w:pPr>
        <w:numPr>
          <w:ilvl w:val="0"/>
          <w:numId w:val="5"/>
        </w:numPr>
        <w:tabs>
          <w:tab w:val="left" w:pos="360"/>
          <w:tab w:val="clear" w:pos="502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Certifikačný orgán je oprávnený </w:t>
      </w:r>
      <w:r w:rsidRPr="00152183">
        <w:rPr>
          <w:rFonts w:ascii="Times New Roman" w:hAnsi="Times New Roman" w:cs="Times New Roman"/>
          <w:sz w:val="22"/>
          <w:szCs w:val="22"/>
        </w:rPr>
        <w:t>pozastaviť, zamietnuť alebo upraviť výšku platby pre operačný pr</w:t>
      </w:r>
      <w:r>
        <w:rPr>
          <w:rFonts w:ascii="Times New Roman" w:hAnsi="Times New Roman" w:cs="Times New Roman"/>
          <w:sz w:val="22"/>
          <w:szCs w:val="22"/>
        </w:rPr>
        <w:t xml:space="preserve">ogram, projekt, </w:t>
      </w:r>
      <w:r w:rsidR="00E60709">
        <w:rPr>
          <w:rFonts w:ascii="Times New Roman" w:hAnsi="Times New Roman" w:cs="Times New Roman"/>
          <w:sz w:val="22"/>
          <w:szCs w:val="22"/>
        </w:rPr>
        <w:t xml:space="preserve">alebo </w:t>
      </w:r>
      <w:r>
        <w:rPr>
          <w:rFonts w:ascii="Times New Roman" w:hAnsi="Times New Roman" w:cs="Times New Roman"/>
          <w:sz w:val="22"/>
          <w:szCs w:val="22"/>
        </w:rPr>
        <w:t xml:space="preserve">ich časti, ak </w:t>
      </w:r>
      <w:r w:rsidRPr="00152183">
        <w:rPr>
          <w:rFonts w:ascii="Times New Roman" w:hAnsi="Times New Roman" w:cs="Times New Roman"/>
          <w:sz w:val="22"/>
          <w:szCs w:val="22"/>
        </w:rPr>
        <w:t>zist</w:t>
      </w:r>
      <w:r>
        <w:rPr>
          <w:rFonts w:ascii="Times New Roman" w:hAnsi="Times New Roman" w:cs="Times New Roman"/>
          <w:sz w:val="22"/>
          <w:szCs w:val="22"/>
        </w:rPr>
        <w:t>í</w:t>
      </w:r>
      <w:r w:rsidRPr="00152183">
        <w:rPr>
          <w:rFonts w:ascii="Times New Roman" w:hAnsi="Times New Roman" w:cs="Times New Roman"/>
          <w:sz w:val="22"/>
          <w:szCs w:val="22"/>
        </w:rPr>
        <w:t xml:space="preserve"> nedostat</w:t>
      </w:r>
      <w:r>
        <w:rPr>
          <w:rFonts w:ascii="Times New Roman" w:hAnsi="Times New Roman" w:cs="Times New Roman"/>
          <w:sz w:val="22"/>
          <w:szCs w:val="22"/>
        </w:rPr>
        <w:t xml:space="preserve">ky </w:t>
      </w:r>
      <w:r w:rsidRPr="00152183">
        <w:rPr>
          <w:rFonts w:ascii="Times New Roman" w:hAnsi="Times New Roman" w:cs="Times New Roman"/>
          <w:sz w:val="22"/>
          <w:szCs w:val="22"/>
        </w:rPr>
        <w:t>v postupe riadiacich orgánov, sprostredkovateľských orgánov, platobných jednotiek a prijímateľov v súvislosti s realizáciou pomoci poskytovanej z fondov Európskych spoloče</w:t>
      </w:r>
      <w:r>
        <w:rPr>
          <w:rFonts w:ascii="Times New Roman" w:hAnsi="Times New Roman" w:cs="Times New Roman"/>
          <w:sz w:val="22"/>
          <w:szCs w:val="22"/>
        </w:rPr>
        <w:t xml:space="preserve">nstiev. </w:t>
      </w:r>
    </w:p>
    <w:p w:rsidR="0076553F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10</w:t>
      </w:r>
    </w:p>
    <w:p w:rsidR="0076553F">
      <w:pPr>
        <w:pStyle w:val="Heading2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Orgán auditu</w:t>
      </w:r>
    </w:p>
    <w:p w:rsidR="0076553F">
      <w:pPr>
        <w:rPr>
          <w:rFonts w:ascii="Times New Roman" w:hAnsi="Times New Roman" w:cs="Times New Roman"/>
        </w:rPr>
      </w:pP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Orgán auditu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26)</w:t>
      </w:r>
      <w:r>
        <w:rPr>
          <w:rFonts w:ascii="Times New Roman" w:hAnsi="Times New Roman" w:cs="Times New Roman"/>
          <w:sz w:val="22"/>
          <w:szCs w:val="22"/>
        </w:rPr>
        <w:t xml:space="preserve"> je Ministerstvo financií Slovenskej republiky alebo in</w:t>
      </w:r>
      <w:r w:rsidR="00487848">
        <w:rPr>
          <w:rFonts w:ascii="Times New Roman" w:hAnsi="Times New Roman" w:cs="Times New Roman"/>
          <w:sz w:val="22"/>
          <w:szCs w:val="22"/>
        </w:rPr>
        <w:t xml:space="preserve">ý </w:t>
      </w:r>
      <w:r>
        <w:rPr>
          <w:rFonts w:ascii="Times New Roman" w:hAnsi="Times New Roman" w:cs="Times New Roman"/>
          <w:sz w:val="22"/>
          <w:szCs w:val="22"/>
        </w:rPr>
        <w:t>ústredný orgán štátnej správy určený vládou.</w:t>
      </w: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Orgán auditu plní úlohy podľa osobitného predpisu.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33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76553F">
      <w:pPr>
        <w:tabs>
          <w:tab w:val="left" w:pos="36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11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Platobná jednotka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numPr>
          <w:ilvl w:val="0"/>
          <w:numId w:val="16"/>
        </w:numPr>
        <w:tabs>
          <w:tab w:val="left" w:pos="0"/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Platobná jednotka je ministerstvo a ostatný orgán štátnej správy  určený vládou.</w:t>
      </w:r>
    </w:p>
    <w:p w:rsidR="0076553F">
      <w:pPr>
        <w:numPr>
          <w:ilvl w:val="0"/>
          <w:numId w:val="16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Platobná jednotka realizuje poskytnutie príspevku prijímateľovi; príspevkom na účely tohto zákona sú prostried</w:t>
      </w:r>
      <w:r>
        <w:rPr>
          <w:rFonts w:ascii="Times New Roman" w:hAnsi="Times New Roman" w:cs="Times New Roman"/>
          <w:sz w:val="22"/>
          <w:szCs w:val="22"/>
        </w:rPr>
        <w:t>ky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Európskej únie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30)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a prostriedky štátneho rozpočtu určené na financovanie spoločných programov Slovenskej republiky a Európskej únie.</w:t>
      </w:r>
    </w:p>
    <w:p w:rsidR="0076553F">
      <w:pPr>
        <w:numPr>
          <w:ilvl w:val="0"/>
          <w:numId w:val="16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Platobná jednotka je povinná dodržiavať metodické usmernenia certifikačného orgánu.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12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Poskytovanie pomoci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numPr>
          <w:ilvl w:val="0"/>
          <w:numId w:val="7"/>
        </w:numPr>
        <w:tabs>
          <w:tab w:val="left" w:pos="0"/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Prostriedky fondov Európskeho spoločenstva, okrem prostriedkov Operačného programu Slovenská republika - Česká republika sa zaraďujú do príjmov štátneho rozpočtu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34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 sú riadiacim orgánom alebo sprostredkovateľským orgánom poskytované prijímateľovi z výdavkov štátneho rozpočtu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35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numPr>
          <w:ilvl w:val="0"/>
          <w:numId w:val="7"/>
        </w:numPr>
        <w:tabs>
          <w:tab w:val="left" w:pos="0"/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 je povinný použiť pomoc v súlade so zmluvou o poskytnutí príspevku uzatvorenou s riadiacim orgánom alebo sprostredkovateľským orgánom (ďalej len „zmluva“).</w:t>
      </w:r>
    </w:p>
    <w:p w:rsidR="0076553F">
      <w:pPr>
        <w:numPr>
          <w:ilvl w:val="0"/>
          <w:numId w:val="7"/>
        </w:numPr>
        <w:tabs>
          <w:tab w:val="left" w:pos="0"/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 je povinný vrátiť príspevok alebo jeho časť za podmienok uvedených v zmluve.</w:t>
      </w:r>
    </w:p>
    <w:p w:rsidR="0076553F">
      <w:pPr>
        <w:numPr>
          <w:ilvl w:val="0"/>
          <w:numId w:val="7"/>
        </w:numPr>
        <w:tabs>
          <w:tab w:val="left" w:pos="0"/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Ak bol počas </w:t>
      </w:r>
      <w:r w:rsidR="0065052E">
        <w:rPr>
          <w:rFonts w:ascii="Times New Roman" w:hAnsi="Times New Roman" w:cs="Times New Roman"/>
          <w:sz w:val="22"/>
          <w:szCs w:val="22"/>
        </w:rPr>
        <w:t xml:space="preserve">realizácie </w:t>
      </w:r>
      <w:r>
        <w:rPr>
          <w:rFonts w:ascii="Times New Roman" w:hAnsi="Times New Roman" w:cs="Times New Roman"/>
          <w:sz w:val="22"/>
          <w:szCs w:val="22"/>
        </w:rPr>
        <w:t>a v piatich rokoch od ukončenia projektu vytvorený príjem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36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 prijímateľ je povinný vrátiť príspevok vo výške príjmu z</w:t>
      </w:r>
      <w:r w:rsidR="0065052E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projektu</w:t>
      </w:r>
      <w:r w:rsidR="0065052E">
        <w:rPr>
          <w:rFonts w:ascii="Times New Roman" w:hAnsi="Times New Roman" w:cs="Times New Roman"/>
          <w:sz w:val="22"/>
          <w:szCs w:val="22"/>
        </w:rPr>
        <w:t xml:space="preserve"> v lehote a </w:t>
      </w:r>
      <w:r w:rsidR="00177FF0">
        <w:rPr>
          <w:rFonts w:ascii="Times New Roman" w:hAnsi="Times New Roman" w:cs="Times New Roman"/>
          <w:sz w:val="22"/>
          <w:szCs w:val="22"/>
        </w:rPr>
        <w:t>z</w:t>
      </w:r>
      <w:r w:rsidR="0065052E">
        <w:rPr>
          <w:rFonts w:ascii="Times New Roman" w:hAnsi="Times New Roman" w:cs="Times New Roman"/>
          <w:sz w:val="22"/>
          <w:szCs w:val="22"/>
        </w:rPr>
        <w:t xml:space="preserve">a </w:t>
      </w:r>
      <w:r w:rsidR="00177FF0">
        <w:rPr>
          <w:rFonts w:ascii="Times New Roman" w:hAnsi="Times New Roman" w:cs="Times New Roman"/>
          <w:sz w:val="22"/>
          <w:szCs w:val="22"/>
        </w:rPr>
        <w:t>podmienok uvedených v</w:t>
      </w:r>
      <w:r w:rsidR="0065052E">
        <w:rPr>
          <w:rFonts w:ascii="Times New Roman" w:hAnsi="Times New Roman" w:cs="Times New Roman"/>
          <w:sz w:val="22"/>
          <w:szCs w:val="22"/>
        </w:rPr>
        <w:t xml:space="preserve"> zml</w:t>
      </w:r>
      <w:r w:rsidR="0065052E">
        <w:rPr>
          <w:rFonts w:ascii="Times New Roman" w:hAnsi="Times New Roman" w:cs="Times New Roman"/>
          <w:sz w:val="22"/>
          <w:szCs w:val="22"/>
        </w:rPr>
        <w:t>uv</w:t>
      </w:r>
      <w:r w:rsidR="00177FF0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13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Certifikácia a certifikačné overovanie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8"/>
        </w:numPr>
        <w:tabs>
          <w:tab w:val="left" w:pos="0"/>
          <w:tab w:val="left" w:pos="360"/>
          <w:tab w:val="left" w:pos="54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Certifikáciou sa na účely tohto zákona rozumie potvrdenie správnosti, zákonnosti a oprávnenosti výdavkov a efektívnosti systémov riadenia a kontroly pri využívaní pomoci.</w:t>
      </w:r>
    </w:p>
    <w:p w:rsidR="0076553F">
      <w:pPr>
        <w:numPr>
          <w:ilvl w:val="0"/>
          <w:numId w:val="8"/>
        </w:numPr>
        <w:tabs>
          <w:tab w:val="left" w:pos="360"/>
          <w:tab w:val="left" w:pos="54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Certifikačné overovanie sa zameriava na správnosť postupu riadiacich orgánov, sprostredkovateľských orgánov a platobných jednotiek pri využívaní pomoci.</w:t>
      </w:r>
    </w:p>
    <w:p w:rsidR="0076553F">
      <w:pPr>
        <w:numPr>
          <w:ilvl w:val="0"/>
          <w:numId w:val="8"/>
        </w:numPr>
        <w:tabs>
          <w:tab w:val="left" w:pos="0"/>
          <w:tab w:val="left" w:pos="360"/>
          <w:tab w:val="left" w:pos="54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účely certifikačného overovania sú riadiaci orgán, sprostredkovateľský orgán a platobná jednotka povinní</w:t>
      </w:r>
    </w:p>
    <w:p w:rsidR="0076553F">
      <w:pPr>
        <w:numPr>
          <w:ilvl w:val="1"/>
          <w:numId w:val="8"/>
        </w:numPr>
        <w:tabs>
          <w:tab w:val="left" w:pos="0"/>
          <w:tab w:val="left" w:pos="360"/>
          <w:tab w:val="clear" w:pos="144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umožniť výkon certifikačného</w:t>
      </w:r>
      <w:r>
        <w:rPr>
          <w:rFonts w:ascii="Times New Roman" w:hAnsi="Times New Roman" w:cs="Times New Roman"/>
          <w:sz w:val="22"/>
          <w:szCs w:val="22"/>
        </w:rPr>
        <w:t xml:space="preserve"> overovania,</w:t>
      </w:r>
    </w:p>
    <w:p w:rsidR="0076553F">
      <w:pPr>
        <w:numPr>
          <w:ilvl w:val="1"/>
          <w:numId w:val="8"/>
        </w:numPr>
        <w:tabs>
          <w:tab w:val="left" w:pos="0"/>
          <w:tab w:val="left" w:pos="360"/>
          <w:tab w:val="clear" w:pos="144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umožniť účasť zástupcu certifikačného orgánu na výbere projektov ako pozorovateľa projektov v pozícii pozorovateľa; táto povinnosť sa nevzťahuje na platobnú jednotku,</w:t>
      </w:r>
    </w:p>
    <w:p w:rsidR="0076553F">
      <w:pPr>
        <w:numPr>
          <w:ilvl w:val="1"/>
          <w:numId w:val="8"/>
        </w:numPr>
        <w:tabs>
          <w:tab w:val="left" w:pos="0"/>
          <w:tab w:val="left" w:pos="360"/>
          <w:tab w:val="clear" w:pos="144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predkladať certifikačnému orgánu správy o výsledkoch kontrol, vnútorného auditu alebo auditu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37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14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Ochrana finančných záujmov</w:t>
      </w:r>
    </w:p>
    <w:p w:rsidR="0076553F">
      <w:pPr>
        <w:pStyle w:val="BodyText3"/>
        <w:numPr>
          <w:ilvl w:val="0"/>
          <w:numId w:val="9"/>
        </w:numPr>
        <w:tabs>
          <w:tab w:val="left" w:pos="0"/>
          <w:tab w:val="left" w:pos="360"/>
          <w:tab w:val="clear" w:pos="64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Ochrana finančných záujmov zahŕňa </w:t>
      </w:r>
      <w:r>
        <w:rPr>
          <w:rFonts w:ascii="Times New Roman" w:hAnsi="Times New Roman" w:cs="Times New Roman"/>
          <w:color w:val="000000"/>
          <w:sz w:val="22"/>
          <w:szCs w:val="22"/>
        </w:rPr>
        <w:t>prevenciu,</w:t>
      </w:r>
      <w:r>
        <w:rPr>
          <w:rFonts w:ascii="Times New Roman" w:hAnsi="Times New Roman" w:cs="Times New Roman"/>
          <w:color w:val="00008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odhaľovanie a vyšetrovanie nezrovnalostí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21)</w:t>
      </w:r>
      <w:r>
        <w:rPr>
          <w:rFonts w:ascii="Times New Roman" w:hAnsi="Times New Roman" w:cs="Times New Roman"/>
          <w:sz w:val="22"/>
          <w:szCs w:val="22"/>
        </w:rPr>
        <w:t>, prijímanie nápravných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opatrení vo forme finančných opráv a vysporiadania finančných vzť</w:t>
      </w:r>
      <w:r>
        <w:rPr>
          <w:rFonts w:ascii="Times New Roman" w:hAnsi="Times New Roman" w:cs="Times New Roman"/>
          <w:color w:val="000000"/>
          <w:sz w:val="22"/>
          <w:szCs w:val="22"/>
        </w:rPr>
        <w:t>ahov a iných nápravných opatrení</w:t>
      </w:r>
      <w:r>
        <w:rPr>
          <w:rStyle w:val="FootnoteReference"/>
          <w:rFonts w:ascii="Times New Roman" w:hAnsi="Times New Roman" w:cs="Times New Roman"/>
          <w:color w:val="000000"/>
          <w:sz w:val="22"/>
          <w:szCs w:val="22"/>
          <w:rtl w:val="0"/>
        </w:rPr>
        <w:footnoteReference w:id="38"/>
      </w:r>
      <w:r>
        <w:rPr>
          <w:rFonts w:ascii="Times New Roman" w:hAnsi="Times New Roman" w:cs="Times New Roman"/>
          <w:szCs w:val="22"/>
          <w:vertAlign w:val="superscript"/>
        </w:rPr>
        <w:t>).</w:t>
      </w:r>
      <w:r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6553F">
      <w:pPr>
        <w:pStyle w:val="BodyText3"/>
        <w:numPr>
          <w:ilvl w:val="0"/>
          <w:numId w:val="9"/>
        </w:numPr>
        <w:tabs>
          <w:tab w:val="left" w:pos="0"/>
          <w:tab w:val="left" w:pos="360"/>
          <w:tab w:val="clear" w:pos="64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Riadiaci orgán, sprostredkovateľský orgán, platobná jednotka, certifikačný orgán a prijímateľ sú povinní predchádzať vzniku nezrovnalostí a prijímať nápravné opatrenia. </w:t>
      </w:r>
    </w:p>
    <w:p w:rsidR="0076553F">
      <w:pPr>
        <w:pStyle w:val="BodyText3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(3) Ak riadiaci orgán, sprostredkovateľský orgán, platobná jednotka alebo orgán auditu zistí nezrovnalosť z vlastného podnetu alebo iného podnetu, je povinný vypracovať a predložiť správu o zistenej nezrovnalosti certifikačnému orgánu, platobnej jednotke a prijímateľovi. Správa musí obsahovať  podrobné </w:t>
      </w:r>
      <w:r>
        <w:rPr>
          <w:rFonts w:ascii="Times New Roman" w:hAnsi="Times New Roman" w:cs="Times New Roman"/>
          <w:sz w:val="22"/>
          <w:szCs w:val="22"/>
        </w:rPr>
        <w:t>údaje o zistenej nezrovnalosti, najmä:</w:t>
      </w:r>
    </w:p>
    <w:p w:rsidR="0076553F">
      <w:pPr>
        <w:pStyle w:val="BodyText3"/>
        <w:numPr>
          <w:ilvl w:val="0"/>
          <w:numId w:val="18"/>
        </w:numPr>
        <w:tabs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kód nezrovnalosti podľa informačného monitorovacieho systému, </w:t>
      </w:r>
    </w:p>
    <w:p w:rsidR="0076553F">
      <w:pPr>
        <w:pStyle w:val="BodyText3"/>
        <w:numPr>
          <w:ilvl w:val="0"/>
          <w:numId w:val="18"/>
        </w:numPr>
        <w:tabs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popis nezrovnalosti,</w:t>
      </w:r>
    </w:p>
    <w:p w:rsidR="0076553F">
      <w:pPr>
        <w:pStyle w:val="BodyText3"/>
        <w:numPr>
          <w:ilvl w:val="0"/>
          <w:numId w:val="18"/>
        </w:numPr>
        <w:tabs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typ nezrovnalosti podľa kódovníka Európskej komisie,</w:t>
      </w:r>
    </w:p>
    <w:p w:rsidR="0076553F">
      <w:pPr>
        <w:pStyle w:val="BodyText3"/>
        <w:numPr>
          <w:ilvl w:val="0"/>
          <w:numId w:val="18"/>
        </w:numPr>
        <w:tabs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označenie ustanovení právnych predpisov, ktoré boli porušené,</w:t>
      </w:r>
    </w:p>
    <w:p w:rsidR="0076553F">
      <w:pPr>
        <w:pStyle w:val="BodyText3"/>
        <w:numPr>
          <w:ilvl w:val="0"/>
          <w:numId w:val="18"/>
        </w:numPr>
        <w:tabs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obdobie  alebo dát</w:t>
      </w:r>
      <w:r>
        <w:rPr>
          <w:rFonts w:ascii="Times New Roman" w:hAnsi="Times New Roman" w:cs="Times New Roman"/>
          <w:sz w:val="22"/>
          <w:szCs w:val="22"/>
        </w:rPr>
        <w:t>um vzniku nezrovnalosti,</w:t>
      </w:r>
    </w:p>
    <w:p w:rsidR="0076553F">
      <w:pPr>
        <w:pStyle w:val="BodyText3"/>
        <w:numPr>
          <w:ilvl w:val="0"/>
          <w:numId w:val="18"/>
        </w:numPr>
        <w:tabs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dátum zistenia nezrovnalosti,</w:t>
      </w:r>
    </w:p>
    <w:p w:rsidR="0076553F">
      <w:pPr>
        <w:pStyle w:val="BodyText3"/>
        <w:numPr>
          <w:ilvl w:val="0"/>
          <w:numId w:val="18"/>
        </w:numPr>
        <w:tabs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označenie osoby, ktorá nezrovnalosť spôsobila,</w:t>
      </w:r>
    </w:p>
    <w:p w:rsidR="0076553F">
      <w:pPr>
        <w:pStyle w:val="BodyText3"/>
        <w:numPr>
          <w:ilvl w:val="0"/>
          <w:numId w:val="18"/>
        </w:numPr>
        <w:tabs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finančné vyčíslenie nezrovnalosti podľa zdrojov financovania,</w:t>
      </w:r>
    </w:p>
    <w:p w:rsidR="0076553F">
      <w:pPr>
        <w:pStyle w:val="BodyText3"/>
        <w:numPr>
          <w:ilvl w:val="0"/>
          <w:numId w:val="18"/>
        </w:numPr>
        <w:tabs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popis stavu riešenia nezrovnalosti.</w:t>
      </w:r>
    </w:p>
    <w:p w:rsidR="0076553F">
      <w:pPr>
        <w:pStyle w:val="BodyText3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(4) Za riešenie nezrovnalostí v rámci operačného programu je zodpovedný riadiaci orgán. Pri zistení nezrovnalosti, ktorá je súčasne porušením finančnej disciplíny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39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 riadiaci orgán zabezpečí vykonanie následnej finančnej kontroly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0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15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Finančná oprava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15"/>
        </w:numPr>
        <w:tabs>
          <w:tab w:val="left" w:pos="0"/>
          <w:tab w:val="left" w:pos="360"/>
          <w:tab w:val="clear" w:pos="54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Finančnú opravu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1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môže vykonať riadiaci orgán alebo sprostredkovateľský orgán podľa zmluvy. Finančnú opravu je možné vykonať pred ukončením operačného programu. </w:t>
      </w:r>
    </w:p>
    <w:p w:rsidR="0076553F">
      <w:pPr>
        <w:numPr>
          <w:ilvl w:val="0"/>
          <w:numId w:val="15"/>
        </w:numPr>
        <w:tabs>
          <w:tab w:val="left" w:pos="0"/>
          <w:tab w:val="left" w:pos="360"/>
          <w:tab w:val="clear" w:pos="54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Finančná oprava je na trovy toho, kto nezrovnalosť spôsobil. </w:t>
      </w:r>
    </w:p>
    <w:p w:rsidR="0076553F">
      <w:pPr>
        <w:numPr>
          <w:ilvl w:val="0"/>
          <w:numId w:val="15"/>
        </w:numPr>
        <w:tabs>
          <w:tab w:val="left" w:pos="0"/>
          <w:tab w:val="left" w:pos="360"/>
          <w:tab w:val="clear" w:pos="54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 určení výšky finančnej opravy sa prihliada na povahu a závažnosť zistenej nezrovn</w:t>
      </w:r>
      <w:r>
        <w:rPr>
          <w:rFonts w:ascii="Times New Roman" w:hAnsi="Times New Roman" w:cs="Times New Roman"/>
          <w:sz w:val="22"/>
          <w:szCs w:val="22"/>
        </w:rPr>
        <w:t>alosti.</w:t>
      </w:r>
    </w:p>
    <w:p w:rsidR="0076553F">
      <w:pPr>
        <w:numPr>
          <w:ilvl w:val="0"/>
          <w:numId w:val="15"/>
        </w:numPr>
        <w:tabs>
          <w:tab w:val="left" w:pos="0"/>
          <w:tab w:val="left" w:pos="360"/>
          <w:tab w:val="clear" w:pos="54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pri zistení tej istej nezrovnalosti pre operačný program, projekt alebo ich časti, ktorá je súčasne porušením finančnej disciplíny alebo porušením povinností ustanovených osobitným predpisom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40)</w:t>
      </w:r>
      <w:r>
        <w:rPr>
          <w:rFonts w:ascii="Times New Roman" w:hAnsi="Times New Roman" w:cs="Times New Roman"/>
          <w:sz w:val="22"/>
          <w:szCs w:val="22"/>
        </w:rPr>
        <w:t xml:space="preserve"> vykoná finančnú opravu Európska komisia alebo riadiaci orgán alebo sprostredkovateľský orgán, sankcia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2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sa neukladá. Ak už bola uložená sankcia, finančná oprava sa nevykoná.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16</w:t>
      </w:r>
    </w:p>
    <w:p w:rsidR="0076553F">
      <w:pPr>
        <w:pStyle w:val="Heading1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Vysporiadanie finančných vzťahov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numPr>
          <w:ilvl w:val="0"/>
          <w:numId w:val="10"/>
        </w:numPr>
        <w:tabs>
          <w:tab w:val="left" w:pos="0"/>
          <w:tab w:val="left" w:pos="360"/>
          <w:tab w:val="clear" w:pos="54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Vysporiadanie finančných vzťahov sa vykonáva vrátením príspevku, jeho časti alebo vzájomným započítaním pohľadávok z príspevku alebo jeho časti.</w:t>
      </w:r>
    </w:p>
    <w:p w:rsidR="0076553F">
      <w:pPr>
        <w:numPr>
          <w:ilvl w:val="0"/>
          <w:numId w:val="10"/>
        </w:numPr>
        <w:tabs>
          <w:tab w:val="left" w:pos="0"/>
          <w:tab w:val="left" w:pos="360"/>
          <w:tab w:val="clear" w:pos="54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riadiaci orgán alebo sprostredkovateľský orgán zistí nesplnenie povinnosti prijímateľa vrátiť príspevok alebo jeho časť, vyzve prijímateľa na vrátenie príspevku alebo jeho časti. V tomto prípade prijímateľ vráti prostriedky Európskej únie schválené certifikačným orgánom na osobitný účet Ministerstva financií Slovenskej republiky a prostriedky štátneho rozpočtu prijímateľ vráti podľa osobitného predpisu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41)</w:t>
      </w:r>
      <w:r>
        <w:rPr>
          <w:rFonts w:ascii="Times New Roman" w:hAnsi="Times New Roman" w:cs="Times New Roman"/>
          <w:sz w:val="22"/>
          <w:szCs w:val="22"/>
        </w:rPr>
        <w:t>. Ak prijímateľ nevráti príspevok alebo jeho časť na základe výzvy, riadiaci orgán alebo sprostredkovateľský orgán postupuje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3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numPr>
          <w:ilvl w:val="0"/>
          <w:numId w:val="10"/>
        </w:numPr>
        <w:tabs>
          <w:tab w:val="left" w:pos="0"/>
          <w:tab w:val="left" w:pos="360"/>
          <w:tab w:val="clear" w:pos="54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Vzájomne započítať pohľadávky z príspevku alebo jeho časti možno, ak</w:t>
      </w:r>
    </w:p>
    <w:p w:rsidR="0076553F">
      <w:pPr>
        <w:numPr>
          <w:ilvl w:val="0"/>
          <w:numId w:val="23"/>
        </w:numPr>
        <w:tabs>
          <w:tab w:val="clear" w:pos="360"/>
          <w:tab w:val="left" w:pos="72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má riadiaci orgán, sprostredkovateľský orgán alebo certifikačný orgán pohľadávku z príspevku alebo jeho časti voči prijímateľovi a zároveň prijímateľ má pohľadávku z príspevku alebo jeho časti voči riadiacemu orgánu, sprostredkovateľskému orgánu alebo certifikačnému orgánu, </w:t>
      </w:r>
    </w:p>
    <w:p w:rsidR="0076553F">
      <w:pPr>
        <w:numPr>
          <w:ilvl w:val="0"/>
          <w:numId w:val="23"/>
        </w:numPr>
        <w:tabs>
          <w:tab w:val="clear" w:pos="360"/>
          <w:tab w:val="left" w:pos="72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 vzájomným započítaním pohľadávok z príspevku alebo jeho časti súhlasí riadiaci orgán alebo sprostredkovateľský orgán po schválení certifikačným orgánom,</w:t>
      </w:r>
    </w:p>
    <w:p w:rsidR="0076553F">
      <w:pPr>
        <w:numPr>
          <w:ilvl w:val="0"/>
          <w:numId w:val="23"/>
        </w:numPr>
        <w:tabs>
          <w:tab w:val="clear" w:pos="360"/>
          <w:tab w:val="left" w:pos="72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príspevok poskytnutý prijímateľovi platobnou jednotkou bol schválený certifikačným orgánom,</w:t>
      </w:r>
    </w:p>
    <w:p w:rsidR="0076553F">
      <w:pPr>
        <w:numPr>
          <w:ilvl w:val="0"/>
          <w:numId w:val="23"/>
        </w:numPr>
        <w:tabs>
          <w:tab w:val="clear" w:pos="360"/>
          <w:tab w:val="left" w:pos="72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prijímateľ predložil žiadosť o platbu a oznámenie o vysporiadaní finančných vzťahov alebo na vzájomné započítanie pohľadávok z príspevku alebo jeho časti dal podnet riadiaci orgán alebo sprostredkovateľský orgán; suma schválená v žiadosti o platbu riadiacim orgánom alebo sprostredkovateľským orgánom musí byť vyššia ako suma schválená riadiacim orgánom alebo sprostredkovateľským orgánom v oznámení o vysporiadaní finančných vzťahov. </w:t>
      </w:r>
    </w:p>
    <w:p w:rsidR="0076553F">
      <w:pPr>
        <w:numPr>
          <w:ilvl w:val="0"/>
          <w:numId w:val="10"/>
        </w:numPr>
        <w:tabs>
          <w:tab w:val="left" w:pos="0"/>
          <w:tab w:val="left" w:pos="360"/>
          <w:tab w:val="clear" w:pos="54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Vzájomne započítať pohľadávky z príspevku alebo jeho časti možno, ak je súčasne s podmienkami podľa odseku 3 splnená aspoň jedna z týchto podmienok:   </w:t>
      </w:r>
    </w:p>
    <w:p w:rsidR="0076553F">
      <w:pPr>
        <w:numPr>
          <w:ilvl w:val="0"/>
          <w:numId w:val="24"/>
        </w:numPr>
        <w:tabs>
          <w:tab w:val="clear" w:pos="360"/>
          <w:tab w:val="left" w:pos="72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 je povinný vysporiadať príjem z projektu,</w:t>
      </w:r>
    </w:p>
    <w:p w:rsidR="0076553F">
      <w:pPr>
        <w:numPr>
          <w:ilvl w:val="0"/>
          <w:numId w:val="24"/>
        </w:numPr>
        <w:tabs>
          <w:tab w:val="clear" w:pos="360"/>
          <w:tab w:val="left" w:pos="72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 je povinný vysporiadať príspevok v súlade so zmluvou o poskytnutí príspevku,</w:t>
      </w:r>
    </w:p>
    <w:p w:rsidR="0076553F">
      <w:pPr>
        <w:numPr>
          <w:ilvl w:val="0"/>
          <w:numId w:val="24"/>
        </w:numPr>
        <w:tabs>
          <w:tab w:val="clear" w:pos="360"/>
          <w:tab w:val="left" w:pos="72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 je povinný vysporiadať nezrovnalosť s výnimkou nezrovnalosti, ktorá je súčasne porušením finančnej disciplíny a o ktorej sa začalo konanie o uložení odvodu, pokuty alebo  penále príslušnou správou finančnej kontroly alebo ministerstvom financií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4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6553F">
      <w:pPr>
        <w:numPr>
          <w:ilvl w:val="0"/>
          <w:numId w:val="10"/>
        </w:numPr>
        <w:tabs>
          <w:tab w:val="left" w:pos="0"/>
          <w:tab w:val="left" w:pos="360"/>
          <w:tab w:val="clear" w:pos="54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="00177FF0">
        <w:rPr>
          <w:rFonts w:ascii="Times New Roman" w:hAnsi="Times New Roman" w:cs="Times New Roman"/>
          <w:sz w:val="22"/>
          <w:szCs w:val="22"/>
        </w:rPr>
        <w:t xml:space="preserve">Riadiaci orgán alebo sprostredkovateľský orgán </w:t>
      </w:r>
      <w:r>
        <w:rPr>
          <w:rFonts w:ascii="Times New Roman" w:hAnsi="Times New Roman" w:cs="Times New Roman"/>
          <w:sz w:val="22"/>
          <w:szCs w:val="22"/>
        </w:rPr>
        <w:t>bezodkladne oznámi prijímateľovi vykonanie vzájomného započítania pohľadávok z príspevku alebo jeho časti.</w:t>
      </w:r>
    </w:p>
    <w:p w:rsidR="0076553F">
      <w:pPr>
        <w:numPr>
          <w:ilvl w:val="0"/>
          <w:numId w:val="10"/>
        </w:numPr>
        <w:tabs>
          <w:tab w:val="left" w:pos="0"/>
          <w:tab w:val="left" w:pos="360"/>
          <w:tab w:val="clear" w:pos="54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Vzájomným započítaním pohľadávok z podpory alebo jej časti zanikajú tieto pohľadávky vo výške, v ktorej sa kryjú.</w:t>
      </w:r>
    </w:p>
    <w:p w:rsidR="0076553F">
      <w:pPr>
        <w:numPr>
          <w:ilvl w:val="0"/>
          <w:numId w:val="10"/>
        </w:numPr>
        <w:tabs>
          <w:tab w:val="left" w:pos="0"/>
          <w:tab w:val="left" w:pos="360"/>
          <w:tab w:val="clear" w:pos="54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tento zákon neustanovuje inak, vzťahujú sa na vzájomné započítanie pohľadávok z</w:t>
      </w:r>
      <w:r w:rsidR="00072A8A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podpory</w:t>
      </w:r>
      <w:r w:rsidR="00072A8A">
        <w:rPr>
          <w:rFonts w:ascii="Times New Roman" w:hAnsi="Times New Roman" w:cs="Times New Roman"/>
          <w:sz w:val="22"/>
          <w:szCs w:val="22"/>
        </w:rPr>
        <w:t xml:space="preserve"> osobitné predpisy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5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numPr>
          <w:ilvl w:val="0"/>
          <w:numId w:val="10"/>
        </w:numPr>
        <w:tabs>
          <w:tab w:val="left" w:pos="0"/>
          <w:tab w:val="left" w:pos="360"/>
          <w:tab w:val="clear" w:pos="54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Vysporiadanie neoprávnene vyplatených prostriedkov Európskej únie do všeobecného rozpočtu Európsk</w:t>
      </w:r>
      <w:r w:rsidR="00072A8A">
        <w:rPr>
          <w:rFonts w:ascii="Times New Roman" w:hAnsi="Times New Roman" w:cs="Times New Roman"/>
          <w:sz w:val="22"/>
          <w:szCs w:val="22"/>
        </w:rPr>
        <w:t>eho</w:t>
      </w:r>
      <w:r>
        <w:rPr>
          <w:rFonts w:ascii="Times New Roman" w:hAnsi="Times New Roman" w:cs="Times New Roman"/>
          <w:sz w:val="22"/>
          <w:szCs w:val="22"/>
        </w:rPr>
        <w:t xml:space="preserve"> spoločenstv</w:t>
      </w:r>
      <w:r w:rsidR="00072A8A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vykonáva certifikačný orgán pred ukončením operačného programu prostredníctvom započítania týchto prostriedkov do najbližšej žiadosti o platbu na Komisiu alebo platobným príkazom na účet Komisie.</w:t>
      </w:r>
    </w:p>
    <w:p w:rsidR="0076553F">
      <w:pPr>
        <w:tabs>
          <w:tab w:val="left" w:pos="540"/>
          <w:tab w:val="left" w:pos="72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17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Účtovníctvo certifikačného orgánu a platobnej jednotky</w:t>
      </w:r>
    </w:p>
    <w:p w:rsidR="0076553F">
      <w:pPr>
        <w:tabs>
          <w:tab w:val="left" w:pos="360"/>
        </w:tabs>
        <w:autoSpaceDE/>
        <w:autoSpaceDN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6553F">
      <w:pPr>
        <w:numPr>
          <w:ilvl w:val="0"/>
          <w:numId w:val="22"/>
        </w:numPr>
        <w:tabs>
          <w:tab w:val="left" w:pos="0"/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Certifikačný orgán a platobná jednotka účtujú skutočnosti, ktoré sú predmetom účtovníctva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6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 týkajú sa poskytovania príspevkov prijímateľom a vysporiadania finančných vzťahov, prostredníctvom informačného systému účtovníctva fondov</w:t>
      </w:r>
      <w:r w:rsidR="00072A8A">
        <w:rPr>
          <w:rFonts w:ascii="Times New Roman" w:hAnsi="Times New Roman" w:cs="Times New Roman"/>
          <w:sz w:val="22"/>
          <w:szCs w:val="22"/>
        </w:rPr>
        <w:t xml:space="preserve"> Európskeho spoločenstva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6553F">
      <w:pPr>
        <w:numPr>
          <w:ilvl w:val="0"/>
          <w:numId w:val="22"/>
        </w:numPr>
        <w:tabs>
          <w:tab w:val="left" w:pos="0"/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Certifikačný orgán metodicky usmerňuje účtovanie podľa odseku 1 a certifikačný orgán a platobná jednotka sú povinní tieto metodické usmernenia dodržiavať.</w:t>
      </w:r>
    </w:p>
    <w:p w:rsidR="0076553F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22"/>
        </w:numPr>
        <w:tabs>
          <w:tab w:val="left" w:pos="0"/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Účtovná dokumentácia týkajúca sa operačného programu sa uchováva podľa osobitných predpisov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7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22"/>
        </w:numPr>
        <w:tabs>
          <w:tab w:val="left" w:pos="0"/>
          <w:tab w:val="left" w:pos="360"/>
          <w:tab w:val="left" w:pos="54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Výdavky schválené certifikačným orgánom v slovenských korunách na euro sa  prepočítavajú s použitím mesačného účtovného výmenného kurzu Komisie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8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platného ku dňu schválenia výdavkov certifikačným orgánom.    </w:t>
      </w:r>
    </w:p>
    <w:p w:rsidR="0076553F">
      <w:pPr>
        <w:tabs>
          <w:tab w:val="left" w:pos="540"/>
          <w:tab w:val="left" w:pos="108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18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Účtovníctvo prijímateľa</w:t>
      </w:r>
    </w:p>
    <w:p w:rsidR="0076553F">
      <w:pPr>
        <w:numPr>
          <w:ilvl w:val="0"/>
          <w:numId w:val="13"/>
        </w:numPr>
        <w:tabs>
          <w:tab w:val="left" w:pos="360"/>
          <w:tab w:val="clear" w:pos="72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Prijímateľ, ktorý je účtovnou jednotkou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49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 účtuje o skutočnostiach, ktoré sú predmetom účtovníctva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45)</w:t>
      </w:r>
      <w:r>
        <w:rPr>
          <w:rFonts w:ascii="Times New Roman" w:hAnsi="Times New Roman" w:cs="Times New Roman"/>
          <w:sz w:val="22"/>
          <w:szCs w:val="22"/>
        </w:rPr>
        <w:t xml:space="preserve"> a súvisia s realizáciou projektu</w:t>
      </w:r>
    </w:p>
    <w:p w:rsidR="0076553F">
      <w:pPr>
        <w:numPr>
          <w:ilvl w:val="0"/>
          <w:numId w:val="14"/>
        </w:numPr>
        <w:tabs>
          <w:tab w:val="left" w:pos="360"/>
          <w:tab w:val="left" w:pos="1440"/>
        </w:tabs>
        <w:spacing w:before="120" w:after="120"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analytických účtoch a v analytickej evidencii, ak účtuje v sústave podvojného účtovníctva,</w:t>
      </w:r>
    </w:p>
    <w:p w:rsidR="0076553F">
      <w:pPr>
        <w:numPr>
          <w:ilvl w:val="0"/>
          <w:numId w:val="14"/>
        </w:numPr>
        <w:tabs>
          <w:tab w:val="left" w:pos="360"/>
          <w:tab w:val="left" w:pos="1440"/>
        </w:tabs>
        <w:spacing w:before="120" w:after="120"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pomocných knihách a ostatných účtovných knihách, ak účtuje v sústave jednoduchého účtovníctva.</w:t>
      </w:r>
    </w:p>
    <w:p w:rsidR="0076553F">
      <w:pPr>
        <w:numPr>
          <w:ilvl w:val="0"/>
          <w:numId w:val="13"/>
        </w:numPr>
        <w:tabs>
          <w:tab w:val="left" w:pos="360"/>
          <w:tab w:val="clear" w:pos="72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 účtuje v členení podľa jednotlivých projektov. O spôsobe vedenia analytických účtov a analytickej evidencie v  sústave podvojného účtovníctva alebo o spôsobe vedenia záznamov v účtovných knihách v sústave jednoduchého účtovníctva vedie prijímateľ písomné zázna</w:t>
      </w:r>
      <w:r>
        <w:rPr>
          <w:rFonts w:ascii="Times New Roman" w:hAnsi="Times New Roman" w:cs="Times New Roman"/>
          <w:sz w:val="22"/>
          <w:szCs w:val="22"/>
        </w:rPr>
        <w:t xml:space="preserve">my. </w:t>
      </w:r>
    </w:p>
    <w:p w:rsidR="0076553F">
      <w:pPr>
        <w:numPr>
          <w:ilvl w:val="0"/>
          <w:numId w:val="13"/>
        </w:numPr>
        <w:tabs>
          <w:tab w:val="left" w:pos="360"/>
          <w:tab w:val="clear" w:pos="72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 je povinný uchovávať účtovnú dokumentáciu týkajúcu sa projektu podľa osobitných predpisov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46)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tabs>
          <w:tab w:val="left" w:pos="360"/>
        </w:tabs>
        <w:spacing w:after="120"/>
        <w:ind w:left="705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19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Informačný monitorovací systém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6"/>
        </w:numPr>
        <w:tabs>
          <w:tab w:val="left" w:pos="0"/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Centrálny koordinačný orgán zabezpečuje tvorbu a prevádzku informačného monitorovacieho systému. Informačný monitorovací systém zahŕňa štandardizované procesy programového a projektového riadenia.</w:t>
      </w:r>
    </w:p>
    <w:p w:rsidR="0076553F">
      <w:pPr>
        <w:numPr>
          <w:ilvl w:val="0"/>
          <w:numId w:val="6"/>
        </w:numPr>
        <w:tabs>
          <w:tab w:val="left" w:pos="0"/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Informačný monitorovací systém obsahuje údaje, ktoré sú potrebné pre transparentné a efektívne riadenie a kontrolu pomoci a pre zabezpečenie  informácií podľa osobitný</w:t>
      </w:r>
      <w:r>
        <w:rPr>
          <w:rFonts w:ascii="Times New Roman" w:hAnsi="Times New Roman" w:cs="Times New Roman"/>
          <w:sz w:val="22"/>
          <w:szCs w:val="22"/>
        </w:rPr>
        <w:t>ch predpisov.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50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76553F">
      <w:pPr>
        <w:numPr>
          <w:ilvl w:val="0"/>
          <w:numId w:val="6"/>
        </w:numPr>
        <w:tabs>
          <w:tab w:val="left" w:pos="0"/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Centrálny koordinačný orgán, riadiaci orgán, sprostredkovateľský orgán, certifikačný orgán, orgán auditu, platobná jednotka a orgány kontroly a vnútorného auditu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51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sú povinní v informačnom monitorovacom systéme evidovať a aktualizovať údaje súvisiace s využívaním pomoci. Tieto orgány zodpovedajú za pravdivosť, úplnosť a správnosť údajov.</w:t>
      </w:r>
    </w:p>
    <w:p w:rsidR="0076553F">
      <w:pPr>
        <w:numPr>
          <w:ilvl w:val="0"/>
          <w:numId w:val="6"/>
        </w:numPr>
        <w:tabs>
          <w:tab w:val="left" w:pos="0"/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Informačný monitorovací systém zabezpečuje elektronickú výmenu údajov s informačným systémom Európskej komisie, informačnými monitorovacími systémami členských štátov Európskej únie a informačným systémom účtovníctva fondov.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20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Informačný systém účtovníctva fondov</w:t>
      </w:r>
      <w:r w:rsidR="00072A8A">
        <w:rPr>
          <w:rFonts w:ascii="Times New Roman" w:hAnsi="Times New Roman" w:cs="Times New Roman"/>
          <w:b/>
          <w:bCs/>
          <w:sz w:val="22"/>
          <w:szCs w:val="22"/>
        </w:rPr>
        <w:t xml:space="preserve"> Európskeho spoločenstva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12"/>
        </w:numPr>
        <w:tabs>
          <w:tab w:val="left" w:pos="0"/>
          <w:tab w:val="left" w:pos="360"/>
          <w:tab w:val="clear" w:pos="72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Certifikačný orgán zabezpečuje vývoj a prevádzku informačného systému účtovníctva fondov</w:t>
      </w:r>
      <w:r w:rsidR="00072A8A">
        <w:rPr>
          <w:rFonts w:ascii="Times New Roman" w:hAnsi="Times New Roman" w:cs="Times New Roman"/>
          <w:sz w:val="22"/>
          <w:szCs w:val="22"/>
        </w:rPr>
        <w:t xml:space="preserve"> Európskeho spoločenstva</w:t>
      </w:r>
      <w:r>
        <w:rPr>
          <w:rFonts w:ascii="Times New Roman" w:hAnsi="Times New Roman" w:cs="Times New Roman"/>
          <w:sz w:val="22"/>
          <w:szCs w:val="22"/>
        </w:rPr>
        <w:t xml:space="preserve">, prostredníctvom ktorého sa vedie účtovníctvo certifikačného orgánu a platobnej jednotky. Tento informačný systém obsahuje aj údaje súvisiace s finančným riadením operačného programu.  </w:t>
      </w:r>
    </w:p>
    <w:p w:rsidR="0076553F">
      <w:pPr>
        <w:numPr>
          <w:ilvl w:val="0"/>
          <w:numId w:val="12"/>
        </w:numPr>
        <w:tabs>
          <w:tab w:val="left" w:pos="0"/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Certifikačný orgán a platobná jednotka sú povinné evidovať v informačnom systéme účtovníctva fondov údaje v požadovanej podobe. Tieto orgány zodpovedajú za pravdivosť, úplnosť a správnosť údajov a sú povinné ich aktualizovať.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Tretia časť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Podpora z Európskeho poľnohospodárskeho fondu pre rozvoj vidieka a z Európskeho poľnohospodárskeho záručného fondu</w:t>
      </w:r>
    </w:p>
    <w:p w:rsidR="008E42C7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21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Orgán finančného riadenia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:rsidR="0076553F">
      <w:pPr>
        <w:numPr>
          <w:ilvl w:val="0"/>
          <w:numId w:val="25"/>
        </w:numPr>
        <w:tabs>
          <w:tab w:val="left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Orgánom finančného riadenia na účely tohto zákona je Ministerstvo pôdohospodárstva Slovenskej republiky (ďalej len „ministerstvo pôdohospodárstva“).</w:t>
      </w:r>
    </w:p>
    <w:p w:rsidR="0076553F">
      <w:pPr>
        <w:numPr>
          <w:ilvl w:val="0"/>
          <w:numId w:val="25"/>
        </w:numPr>
        <w:tabs>
          <w:tab w:val="left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Orgán finančného riadenia:</w:t>
      </w:r>
    </w:p>
    <w:p w:rsidR="0076553F">
      <w:pPr>
        <w:numPr>
          <w:ilvl w:val="0"/>
          <w:numId w:val="26"/>
        </w:numPr>
        <w:tabs>
          <w:tab w:val="left" w:pos="360"/>
          <w:tab w:val="clear" w:pos="1068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koordinuje systém finančného riadenia,</w:t>
      </w:r>
    </w:p>
    <w:p w:rsidR="0076553F">
      <w:pPr>
        <w:numPr>
          <w:ilvl w:val="0"/>
          <w:numId w:val="26"/>
        </w:numPr>
        <w:tabs>
          <w:tab w:val="left" w:pos="360"/>
          <w:tab w:val="clear" w:pos="1068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zabezpečuje výkon nariadení Európskeho spoločenstva</w:t>
      </w:r>
      <w:r w:rsidR="00966937">
        <w:rPr>
          <w:rFonts w:ascii="Times New Roman" w:hAnsi="Times New Roman" w:cs="Times New Roman"/>
          <w:sz w:val="22"/>
          <w:szCs w:val="22"/>
        </w:rPr>
        <w:t xml:space="preserve">  v oblasti finančného riadenia</w:t>
      </w:r>
      <w:r w:rsidR="00130EB9">
        <w:rPr>
          <w:rFonts w:ascii="Times New Roman" w:hAnsi="Times New Roman" w:cs="Times New Roman"/>
          <w:sz w:val="22"/>
          <w:szCs w:val="22"/>
        </w:rPr>
        <w:t>,</w:t>
      </w:r>
    </w:p>
    <w:p w:rsidR="0076553F">
      <w:pPr>
        <w:numPr>
          <w:ilvl w:val="0"/>
          <w:numId w:val="26"/>
        </w:numPr>
        <w:tabs>
          <w:tab w:val="left" w:pos="360"/>
          <w:tab w:val="clear" w:pos="1068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zabezpečuje prevádzku informačného systému ministerstva pôdohospodárstva v oblasti účtovníctva a finančného riadenia,</w:t>
      </w:r>
    </w:p>
    <w:p w:rsidR="0076553F">
      <w:pPr>
        <w:numPr>
          <w:ilvl w:val="0"/>
          <w:numId w:val="26"/>
        </w:numPr>
        <w:tabs>
          <w:tab w:val="left" w:pos="360"/>
          <w:tab w:val="clear" w:pos="1068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 a vedie prostriedky Európskej únie na osobitných účtoch zriadených v Štátnej pokladnici,</w:t>
      </w:r>
    </w:p>
    <w:p w:rsidR="0076553F">
      <w:pPr>
        <w:numPr>
          <w:ilvl w:val="0"/>
          <w:numId w:val="26"/>
        </w:numPr>
        <w:tabs>
          <w:tab w:val="left" w:pos="360"/>
          <w:tab w:val="clear" w:pos="1068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zabezpečuje prevod prostriedkov Európskej únie na príjmové účty platobnej agentúry,</w:t>
      </w:r>
    </w:p>
    <w:p w:rsidR="0076553F">
      <w:pPr>
        <w:numPr>
          <w:ilvl w:val="0"/>
          <w:numId w:val="26"/>
        </w:numPr>
        <w:tabs>
          <w:tab w:val="left" w:pos="360"/>
          <w:tab w:val="clear" w:pos="1068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pozastaví poskytovanie podpory, ak zistí nedostatky v postupe Pôdohospodárskej platobnej agentúry (ďalej len „platobná agentúra“)  a prijímateľa pri poskytovaní podpory.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22</w:t>
      </w:r>
    </w:p>
    <w:p w:rsidR="0076553F">
      <w:pPr>
        <w:pStyle w:val="Heading1"/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Poskytovanie podpory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6553F">
      <w:pPr>
        <w:numPr>
          <w:ilvl w:val="0"/>
          <w:numId w:val="27"/>
        </w:numPr>
        <w:tabs>
          <w:tab w:val="left" w:pos="720"/>
        </w:tabs>
        <w:spacing w:after="120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má prijímateľ s platobnou agentúrou uzavretú zmluvu, prijímateľ je povinný použiť prostriedky Európskej únie v súlade so zmluvou; to neplatí,  ak platobná agentúra vyplatí prostriedky Európskej únie prijímateľovi vo forme refundácie.</w:t>
      </w:r>
    </w:p>
    <w:p w:rsidR="0076553F">
      <w:pPr>
        <w:numPr>
          <w:ilvl w:val="0"/>
          <w:numId w:val="27"/>
        </w:numPr>
        <w:tabs>
          <w:tab w:val="left" w:pos="720"/>
        </w:tabs>
        <w:spacing w:after="120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Prijímateľ je povinný vrátiť </w:t>
      </w:r>
      <w:r w:rsidR="00130EB9">
        <w:rPr>
          <w:rFonts w:ascii="Times New Roman" w:hAnsi="Times New Roman" w:cs="Times New Roman"/>
          <w:bCs/>
          <w:sz w:val="22"/>
          <w:szCs w:val="22"/>
        </w:rPr>
        <w:t xml:space="preserve">podporu </w:t>
      </w:r>
      <w:r>
        <w:rPr>
          <w:rFonts w:ascii="Times New Roman" w:hAnsi="Times New Roman" w:cs="Times New Roman"/>
          <w:bCs/>
          <w:sz w:val="22"/>
          <w:szCs w:val="22"/>
        </w:rPr>
        <w:t>alebo je</w:t>
      </w:r>
      <w:r w:rsidR="00130EB9">
        <w:rPr>
          <w:rFonts w:ascii="Times New Roman" w:hAnsi="Times New Roman" w:cs="Times New Roman"/>
          <w:bCs/>
          <w:sz w:val="22"/>
          <w:szCs w:val="22"/>
        </w:rPr>
        <w:t xml:space="preserve">j </w:t>
      </w:r>
      <w:r>
        <w:rPr>
          <w:rFonts w:ascii="Times New Roman" w:hAnsi="Times New Roman" w:cs="Times New Roman"/>
          <w:bCs/>
          <w:sz w:val="22"/>
          <w:szCs w:val="22"/>
        </w:rPr>
        <w:t>časť za podmienok uvedených v zmluve alebo na základe  rozhodnutia podľa osobitného predpisu</w:t>
      </w:r>
      <w:r>
        <w:rPr>
          <w:rStyle w:val="FootnoteReference"/>
          <w:rFonts w:ascii="Times New Roman" w:hAnsi="Times New Roman" w:cs="Times New Roman"/>
          <w:bCs/>
          <w:sz w:val="22"/>
          <w:szCs w:val="22"/>
          <w:rtl w:val="0"/>
        </w:rPr>
        <w:footnoteReference w:id="52"/>
      </w:r>
      <w:r w:rsidR="00130EB9">
        <w:rPr>
          <w:rFonts w:ascii="Times New Roman" w:hAnsi="Times New Roman" w:cs="Times New Roman"/>
          <w:bCs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76553F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6553F" w:rsidP="00130EB9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23</w:t>
      </w:r>
    </w:p>
    <w:p w:rsidR="0076553F" w:rsidP="00130EB9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Certifikácia účtov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28"/>
        </w:numPr>
        <w:tabs>
          <w:tab w:val="left" w:pos="720"/>
          <w:tab w:val="left" w:pos="1068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Certifikáciou účtov sa rozumie činnosť certifikačného orgánu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53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zameraná na preskúmanie postupov a potvrdenie o správnosti, úplnosti a oprávnenosti účtovnej závierky platobnej agentúry pred realizáciou podpory.</w:t>
      </w:r>
    </w:p>
    <w:p w:rsidR="0076553F">
      <w:pPr>
        <w:numPr>
          <w:ilvl w:val="0"/>
          <w:numId w:val="28"/>
        </w:numPr>
        <w:tabs>
          <w:tab w:val="left" w:pos="720"/>
          <w:tab w:val="left" w:pos="1068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Riadiaci orgán a platobná agentúra sú povinní </w:t>
      </w:r>
    </w:p>
    <w:p w:rsidR="0076553F">
      <w:pPr>
        <w:numPr>
          <w:ilvl w:val="0"/>
          <w:numId w:val="29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umožniť výkon certifikácie; táto povinnosť sa vzťahuje aj na prijímateľa,</w:t>
      </w:r>
    </w:p>
    <w:p w:rsidR="0076553F">
      <w:pPr>
        <w:numPr>
          <w:ilvl w:val="0"/>
          <w:numId w:val="29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predkladať certifikačnému orgánu správy o výsledkoch kontrol a operácií alebo iné údaje potrebné pre vypracovanie správy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54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76553F">
      <w:pPr>
        <w:numPr>
          <w:ilvl w:val="0"/>
          <w:numId w:val="29"/>
        </w:numPr>
        <w:tabs>
          <w:tab w:val="left" w:pos="360"/>
          <w:tab w:val="clear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dodržiavať metodické usmernenia ministerstva pôdohospodárstva.</w:t>
      </w:r>
    </w:p>
    <w:p w:rsidR="0076553F">
      <w:pPr>
        <w:numPr>
          <w:ilvl w:val="0"/>
          <w:numId w:val="28"/>
        </w:numPr>
        <w:tabs>
          <w:tab w:val="left" w:pos="720"/>
          <w:tab w:val="left" w:pos="1068"/>
        </w:tabs>
        <w:spacing w:after="120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="00130EB9">
        <w:rPr>
          <w:rFonts w:ascii="Times New Roman" w:hAnsi="Times New Roman" w:cs="Times New Roman"/>
          <w:color w:val="000000"/>
          <w:sz w:val="22"/>
          <w:szCs w:val="22"/>
        </w:rPr>
        <w:t>Orgán finančného riadenia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je oprávnen</w:t>
      </w:r>
      <w:r w:rsidR="00130EB9">
        <w:rPr>
          <w:rFonts w:ascii="Times New Roman" w:hAnsi="Times New Roman" w:cs="Times New Roman"/>
          <w:color w:val="000000"/>
          <w:sz w:val="22"/>
          <w:szCs w:val="22"/>
        </w:rPr>
        <w:t>ý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na účely finančného riadenia oboznamovať sa so skutočnosťami zistenými certifikačným orgánom. </w:t>
      </w:r>
      <w:r w:rsidR="00130EB9">
        <w:rPr>
          <w:rFonts w:ascii="Times New Roman" w:hAnsi="Times New Roman" w:cs="Times New Roman"/>
          <w:color w:val="000000"/>
          <w:sz w:val="22"/>
          <w:szCs w:val="22"/>
        </w:rPr>
        <w:t xml:space="preserve">Orgán finančného riadenia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je povinný takéto zistenia ministerstvu sprístupniť. </w:t>
      </w:r>
    </w:p>
    <w:p w:rsidR="0076553F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24</w:t>
      </w:r>
    </w:p>
    <w:p w:rsidR="0076553F">
      <w:pPr>
        <w:pStyle w:val="Heading1"/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Ochrana finančných záujmov 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6553F">
      <w:pPr>
        <w:pStyle w:val="BodyText3"/>
        <w:numPr>
          <w:ilvl w:val="1"/>
          <w:numId w:val="29"/>
        </w:numPr>
        <w:tabs>
          <w:tab w:val="left" w:pos="0"/>
          <w:tab w:val="left" w:pos="360"/>
          <w:tab w:val="clear" w:pos="1440"/>
        </w:tabs>
        <w:ind w:left="23" w:hanging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Ochrana finančných záujmov zahŕňa </w:t>
      </w:r>
      <w:r>
        <w:rPr>
          <w:rFonts w:ascii="Times New Roman" w:hAnsi="Times New Roman" w:cs="Times New Roman"/>
          <w:color w:val="000000"/>
          <w:sz w:val="22"/>
          <w:szCs w:val="22"/>
        </w:rPr>
        <w:t>prevenciu,</w:t>
      </w:r>
      <w:r>
        <w:rPr>
          <w:rFonts w:ascii="Times New Roman" w:hAnsi="Times New Roman" w:cs="Times New Roman"/>
          <w:color w:val="00008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odhaľovanie a vyšetrovanie nezrovnalostí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21)</w:t>
      </w:r>
      <w:r>
        <w:rPr>
          <w:rFonts w:ascii="Times New Roman" w:hAnsi="Times New Roman" w:cs="Times New Roman"/>
          <w:sz w:val="22"/>
          <w:szCs w:val="22"/>
        </w:rPr>
        <w:t>, prijímanie nápravných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opatrení vo forme finančných opráv a vysporiadania finančných vzťahov a iných nápravných opatrení</w:t>
      </w:r>
      <w:r>
        <w:rPr>
          <w:rStyle w:val="FootnoteReference"/>
          <w:rFonts w:ascii="Times New Roman" w:hAnsi="Times New Roman" w:cs="Times New Roman"/>
          <w:color w:val="000000"/>
          <w:sz w:val="22"/>
          <w:szCs w:val="22"/>
          <w:rtl w:val="0"/>
        </w:rPr>
        <w:footnoteReference w:id="55"/>
      </w:r>
      <w:r>
        <w:rPr>
          <w:rFonts w:ascii="Times New Roman" w:hAnsi="Times New Roman" w:cs="Times New Roman"/>
          <w:szCs w:val="22"/>
          <w:vertAlign w:val="superscript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6553F">
      <w:pPr>
        <w:pStyle w:val="BodyText3"/>
        <w:numPr>
          <w:ilvl w:val="1"/>
          <w:numId w:val="29"/>
        </w:numPr>
        <w:tabs>
          <w:tab w:val="left" w:pos="0"/>
          <w:tab w:val="left" w:pos="360"/>
          <w:tab w:val="clear" w:pos="1440"/>
        </w:tabs>
        <w:ind w:left="23" w:hanging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Riadiaci orgán, sprostredkovateľský orgán, platobná agentúra, certifikačný orgán a prijímateľ sú povinní predchádzať vzniku nezrovnalostí a prijímať nápravné opatrenia. </w:t>
      </w:r>
    </w:p>
    <w:p w:rsidR="0076553F">
      <w:pPr>
        <w:pStyle w:val="BodyText3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(3) Ak riadiaci orgán z vlastného podnetu alebo iného podnetu zistí nezrovnalosť, je povinný vypracovať a predložiť správu o zistenej nezrovnalosti platobnej agentúre; túto správu predkladá platobná agentúra úradu vlády. Platobná agentúra zašle správu o zistenej nezrovnalosti prijímateľovi na jeho požiadanie. Ak nezrovnalosť zisti platobná agentúra,</w:t>
      </w:r>
      <w:r w:rsidR="0065052E">
        <w:rPr>
          <w:rFonts w:ascii="Times New Roman" w:hAnsi="Times New Roman" w:cs="Times New Roman"/>
          <w:sz w:val="22"/>
          <w:szCs w:val="22"/>
        </w:rPr>
        <w:t xml:space="preserve"> je povinná vypracovať správu o zistenej nezrovnalosti a predložiť informáciu o</w:t>
      </w:r>
      <w:r w:rsidR="0093037E">
        <w:rPr>
          <w:rFonts w:ascii="Times New Roman" w:hAnsi="Times New Roman" w:cs="Times New Roman"/>
          <w:sz w:val="22"/>
          <w:szCs w:val="22"/>
        </w:rPr>
        <w:t> </w:t>
      </w:r>
      <w:r w:rsidR="0065052E">
        <w:rPr>
          <w:rFonts w:ascii="Times New Roman" w:hAnsi="Times New Roman" w:cs="Times New Roman"/>
          <w:sz w:val="22"/>
          <w:szCs w:val="22"/>
        </w:rPr>
        <w:t>zisten</w:t>
      </w:r>
      <w:r w:rsidR="0093037E">
        <w:rPr>
          <w:rFonts w:ascii="Times New Roman" w:hAnsi="Times New Roman" w:cs="Times New Roman"/>
          <w:sz w:val="22"/>
          <w:szCs w:val="22"/>
        </w:rPr>
        <w:t xml:space="preserve">ej </w:t>
      </w:r>
      <w:r w:rsidR="0065052E">
        <w:rPr>
          <w:rFonts w:ascii="Times New Roman" w:hAnsi="Times New Roman" w:cs="Times New Roman"/>
          <w:sz w:val="22"/>
          <w:szCs w:val="22"/>
        </w:rPr>
        <w:t>nezrovnalosti</w:t>
      </w:r>
      <w:r w:rsidR="0093037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úradu vlády. </w:t>
      </w:r>
    </w:p>
    <w:p w:rsidR="0076553F">
      <w:pPr>
        <w:pStyle w:val="BodyText3"/>
        <w:numPr>
          <w:ilvl w:val="0"/>
          <w:numId w:val="28"/>
        </w:numPr>
        <w:tabs>
          <w:tab w:val="left" w:pos="0"/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riešenie nezrovnalostí je zodpovedná platobná agentúra.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25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Finančná oprava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31"/>
        </w:numPr>
        <w:tabs>
          <w:tab w:val="left" w:pos="360"/>
          <w:tab w:val="left" w:pos="540"/>
          <w:tab w:val="left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Finančnú opravu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56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môže vykonať riadiaci orgán alebo platobná agentúra na základe rozhodnutia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 poskytovaní podpory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57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alebo na základe zmluvy. Finančnú opravu je možné vykonať pred ukončením programu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58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6553F">
      <w:pPr>
        <w:numPr>
          <w:ilvl w:val="0"/>
          <w:numId w:val="31"/>
        </w:numPr>
        <w:tabs>
          <w:tab w:val="left" w:pos="360"/>
          <w:tab w:val="left" w:pos="54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Finančná oprava je na trovy toho, kto nezrovnalosť spôsobil. </w:t>
      </w:r>
    </w:p>
    <w:p w:rsidR="0076553F">
      <w:pPr>
        <w:numPr>
          <w:ilvl w:val="0"/>
          <w:numId w:val="31"/>
        </w:numPr>
        <w:tabs>
          <w:tab w:val="left" w:pos="360"/>
          <w:tab w:val="left" w:pos="54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 určení výšky finančnej opravy sa prihliada na povahu a závažnosť zistenej nezrovnalosti.</w:t>
      </w:r>
    </w:p>
    <w:p w:rsidR="0076553F">
      <w:pPr>
        <w:numPr>
          <w:ilvl w:val="0"/>
          <w:numId w:val="31"/>
        </w:numPr>
        <w:tabs>
          <w:tab w:val="left" w:pos="360"/>
          <w:tab w:val="left" w:pos="54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pri zistení tej istej nezrovnalosti pri podporách poskytovaných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59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, ktorá je súčasne porušením finančnej disciplíny alebo porušením povinností ustanovených v zmluve alebo v rozhodnutí o poskytovaní podpory, vykoná finančnú opravu Európska komisia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60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alebo riadiaci orgán alebo platobná agentúra, sankcia podľa osobitného predpisu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43)</w:t>
      </w:r>
      <w:r>
        <w:rPr>
          <w:rFonts w:ascii="Times New Roman" w:hAnsi="Times New Roman" w:cs="Times New Roman"/>
          <w:sz w:val="22"/>
          <w:szCs w:val="22"/>
        </w:rPr>
        <w:t xml:space="preserve"> sa neukladá. Ak už bola uložená sankcia, finančná oprava sa nevykoná.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26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Vysporiadanie finančných vzťahov</w:t>
      </w:r>
    </w:p>
    <w:p w:rsidR="00130EB9" w:rsidRPr="00130EB9" w:rsidP="00130EB9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30EB9" w:rsidRPr="00130EB9" w:rsidP="00130EB9">
      <w:pPr>
        <w:numPr>
          <w:ilvl w:val="0"/>
          <w:numId w:val="46"/>
        </w:numPr>
        <w:tabs>
          <w:tab w:val="left" w:pos="0"/>
          <w:tab w:val="left" w:pos="360"/>
          <w:tab w:val="clear" w:pos="72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>Vysporiadanie finančných vzťahov sa vykonáva vrátením podpory, jej časti alebo vzájomným započítaním pohľadávok z podpory alebo jej časti.</w:t>
      </w:r>
    </w:p>
    <w:p w:rsidR="00130EB9" w:rsidRPr="00130EB9" w:rsidP="00130EB9">
      <w:pPr>
        <w:numPr>
          <w:ilvl w:val="0"/>
          <w:numId w:val="46"/>
        </w:numPr>
        <w:tabs>
          <w:tab w:val="left" w:pos="0"/>
          <w:tab w:val="left" w:pos="360"/>
          <w:tab w:val="clear" w:pos="72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 xml:space="preserve">Ak platobná agentúra zistí nesplnenie povinnosti prijímateľa vrátiť podporu alebo jej časť, vyzve prijímateľa na vrátenie podpory alebo jej časti. V tomto prípade prijímateľ vráti prostriedky Európskej únie a prostriedky štátneho rozpočtu na osobitný účet platobnej agentúry. Ak prijímateľ nevráti podporu alebo jej časť na základe výzvy, </w:t>
      </w:r>
      <w:r>
        <w:rPr>
          <w:rFonts w:ascii="Times New Roman" w:hAnsi="Times New Roman" w:cs="Times New Roman"/>
          <w:sz w:val="22"/>
          <w:szCs w:val="22"/>
        </w:rPr>
        <w:t>platobná agentúra</w:t>
      </w:r>
      <w:r w:rsidRPr="00130EB9">
        <w:rPr>
          <w:rFonts w:ascii="Times New Roman" w:hAnsi="Times New Roman" w:cs="Times New Roman"/>
          <w:sz w:val="22"/>
          <w:szCs w:val="22"/>
        </w:rPr>
        <w:t xml:space="preserve"> postupuje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61"/>
      </w:r>
      <w:r w:rsidRPr="00130EB9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130EB9">
        <w:rPr>
          <w:rFonts w:ascii="Times New Roman" w:hAnsi="Times New Roman" w:cs="Times New Roman"/>
          <w:sz w:val="22"/>
          <w:szCs w:val="22"/>
        </w:rPr>
        <w:t>.</w:t>
      </w:r>
    </w:p>
    <w:p w:rsidR="00130EB9" w:rsidRPr="00130EB9" w:rsidP="00130EB9">
      <w:pPr>
        <w:numPr>
          <w:ilvl w:val="0"/>
          <w:numId w:val="46"/>
        </w:numPr>
        <w:tabs>
          <w:tab w:val="left" w:pos="0"/>
          <w:tab w:val="left" w:pos="360"/>
          <w:tab w:val="clear" w:pos="720"/>
        </w:tabs>
        <w:spacing w:before="120" w:after="120"/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>Vzájomne započítať pohľadávky z podpory alebo jej časti možno, ak</w:t>
      </w:r>
    </w:p>
    <w:p w:rsidR="00130EB9" w:rsidRPr="00130EB9" w:rsidP="00130EB9">
      <w:pPr>
        <w:numPr>
          <w:ilvl w:val="1"/>
          <w:numId w:val="46"/>
        </w:numPr>
        <w:tabs>
          <w:tab w:val="left" w:pos="720"/>
          <w:tab w:val="clear" w:pos="144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 xml:space="preserve">má platobná agentúra pohľadávku z podpory alebo jej časti voči prijímateľovi a zároveň prijímateľ má pohľadávku z podpory alebo jej časti voči platobnej agentúre, </w:t>
      </w:r>
    </w:p>
    <w:p w:rsidR="00130EB9" w:rsidRPr="00130EB9" w:rsidP="00130EB9">
      <w:pPr>
        <w:numPr>
          <w:ilvl w:val="1"/>
          <w:numId w:val="46"/>
        </w:numPr>
        <w:tabs>
          <w:tab w:val="left" w:pos="720"/>
          <w:tab w:val="clear" w:pos="144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>vzájomné započítanie pohľadávok z podpory alebo jej časti schváli orgán finančného riadenia,</w:t>
      </w:r>
    </w:p>
    <w:p w:rsidR="00130EB9" w:rsidRPr="00130EB9" w:rsidP="00130EB9">
      <w:pPr>
        <w:numPr>
          <w:ilvl w:val="1"/>
          <w:numId w:val="46"/>
        </w:numPr>
        <w:tabs>
          <w:tab w:val="left" w:pos="360"/>
          <w:tab w:val="left" w:pos="720"/>
          <w:tab w:val="clear" w:pos="144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>prijímateľ predložil žiadosť o platbu a oznámenie o vysporiadaní finančných vzťahov alebo na vzájomné započítanie pohľadávok z podpory alebo jej časti dala podnet platobná agentúra.</w:t>
      </w:r>
    </w:p>
    <w:p w:rsidR="00130EB9" w:rsidRPr="00130EB9" w:rsidP="00130EB9">
      <w:pPr>
        <w:numPr>
          <w:ilvl w:val="0"/>
          <w:numId w:val="46"/>
        </w:numPr>
        <w:tabs>
          <w:tab w:val="left" w:pos="0"/>
          <w:tab w:val="clear" w:pos="72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 xml:space="preserve">Vzájomne započítať pohľadávky z podpory alebo jeho časti možno, ak je súčasne s podmienkami podľa odseku 3 splnená aspoň jedna z týchto podmienok: </w:t>
      </w:r>
    </w:p>
    <w:p w:rsidR="00130EB9" w:rsidRPr="00130EB9" w:rsidP="00130EB9">
      <w:pPr>
        <w:numPr>
          <w:ilvl w:val="0"/>
          <w:numId w:val="48"/>
        </w:numPr>
        <w:tabs>
          <w:tab w:val="clear" w:pos="360"/>
          <w:tab w:val="left" w:pos="72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>prijímateľ je povinný vysporiadať podporu v súlade so zmluvou o poskytnutí podpory alebo rozhodnutím o poskytnutí podpory,</w:t>
      </w:r>
    </w:p>
    <w:p w:rsidR="00130EB9" w:rsidRPr="00130EB9" w:rsidP="00130EB9">
      <w:pPr>
        <w:numPr>
          <w:ilvl w:val="0"/>
          <w:numId w:val="48"/>
        </w:numPr>
        <w:tabs>
          <w:tab w:val="clear" w:pos="360"/>
          <w:tab w:val="left" w:pos="720"/>
        </w:tabs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>prijímateľ je povinný vysporiadať nezrovnalosť s výnimkou nezrovnalosti, ktorá je súčasne porušením finančnej disciplíny a o ktorej sa začalo konanie o uložení odvodu, pokuty alebo penále.</w:t>
      </w:r>
    </w:p>
    <w:p w:rsidR="00130EB9" w:rsidRPr="00130EB9" w:rsidP="00130EB9">
      <w:pPr>
        <w:numPr>
          <w:ilvl w:val="0"/>
          <w:numId w:val="46"/>
        </w:numPr>
        <w:tabs>
          <w:tab w:val="left" w:pos="0"/>
          <w:tab w:val="left" w:pos="360"/>
          <w:tab w:val="clear" w:pos="72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Platobná agentúra</w:t>
      </w:r>
      <w:r w:rsidRPr="00130EB9">
        <w:rPr>
          <w:rFonts w:ascii="Times New Roman" w:hAnsi="Times New Roman" w:cs="Times New Roman"/>
          <w:sz w:val="22"/>
          <w:szCs w:val="22"/>
        </w:rPr>
        <w:t xml:space="preserve"> bezodkladne oznámi prijímateľovi vykonanie vzájomného započítania pohľadávok z podpory alebo jej časti.</w:t>
      </w:r>
    </w:p>
    <w:p w:rsidR="00130EB9" w:rsidRPr="00130EB9" w:rsidP="00130EB9">
      <w:pPr>
        <w:numPr>
          <w:ilvl w:val="0"/>
          <w:numId w:val="46"/>
        </w:numPr>
        <w:tabs>
          <w:tab w:val="left" w:pos="0"/>
          <w:tab w:val="left" w:pos="360"/>
          <w:tab w:val="clear" w:pos="72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>Vzájomným započítaním pohľadávok z podpory alebo jej časti zanikajú tieto pohľadávky vo výške, v ktorej sa kryjú.</w:t>
      </w:r>
    </w:p>
    <w:p w:rsidR="00130EB9" w:rsidRPr="00130EB9" w:rsidP="00130EB9">
      <w:pPr>
        <w:numPr>
          <w:ilvl w:val="0"/>
          <w:numId w:val="46"/>
        </w:numPr>
        <w:tabs>
          <w:tab w:val="left" w:pos="0"/>
          <w:tab w:val="left" w:pos="360"/>
          <w:tab w:val="clear" w:pos="720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0EB9">
        <w:rPr>
          <w:rFonts w:ascii="Times New Roman" w:hAnsi="Times New Roman" w:cs="Times New Roman"/>
          <w:sz w:val="22"/>
          <w:szCs w:val="22"/>
        </w:rPr>
        <w:t>Ak tento zákon neustanovuje inak, vzťahujú sa na vzájomné započítanie pohľadávok z podpory alebo jej časti osobitné predpisy</w:t>
      </w:r>
      <w:r w:rsidR="00513CD2">
        <w:rPr>
          <w:rStyle w:val="FootnoteReference"/>
          <w:rFonts w:ascii="Times New Roman" w:hAnsi="Times New Roman" w:cs="Times New Roman"/>
          <w:sz w:val="22"/>
          <w:szCs w:val="22"/>
        </w:rPr>
        <w:t>44)</w:t>
      </w:r>
      <w:r w:rsidRPr="00130EB9">
        <w:rPr>
          <w:rFonts w:ascii="Times New Roman" w:hAnsi="Times New Roman" w:cs="Times New Roman"/>
          <w:sz w:val="22"/>
          <w:szCs w:val="22"/>
        </w:rPr>
        <w:t>.</w:t>
      </w:r>
    </w:p>
    <w:p w:rsidR="00130EB9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27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Účtovníctvo orgánu finančného riadenia a platobnej agentúry</w:t>
      </w:r>
    </w:p>
    <w:p w:rsidR="0076553F">
      <w:pPr>
        <w:tabs>
          <w:tab w:val="left" w:pos="360"/>
        </w:tabs>
        <w:autoSpaceDE/>
        <w:autoSpaceDN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6553F">
      <w:pPr>
        <w:numPr>
          <w:ilvl w:val="0"/>
          <w:numId w:val="34"/>
        </w:numPr>
        <w:tabs>
          <w:tab w:val="left" w:pos="360"/>
          <w:tab w:val="left" w:pos="720"/>
          <w:tab w:val="left" w:pos="270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Ministerstvo pôdohospodárstva a platobná agentúra účtuje skutočnosti, ktoré sú predmetom účtovníctva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46)</w:t>
      </w:r>
      <w:r>
        <w:rPr>
          <w:rFonts w:ascii="Times New Roman" w:hAnsi="Times New Roman" w:cs="Times New Roman"/>
          <w:sz w:val="22"/>
          <w:szCs w:val="22"/>
        </w:rPr>
        <w:t xml:space="preserve"> a týkajú sa poskytovania podpory prijímateľom prostredníctvom informačných systémov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62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numPr>
          <w:ilvl w:val="0"/>
          <w:numId w:val="34"/>
        </w:numPr>
        <w:tabs>
          <w:tab w:val="left" w:pos="720"/>
          <w:tab w:val="left" w:pos="270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Účtovná dokumentácia týkajúca sa poskytovaných podpôr sa uchováva podľa osobitných predpisov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63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numPr>
          <w:ilvl w:val="0"/>
          <w:numId w:val="34"/>
        </w:numPr>
        <w:tabs>
          <w:tab w:val="left" w:pos="720"/>
          <w:tab w:val="left" w:pos="270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Výdavky vedené platobnou agentúrou v slovenských korunách sa na účely zostavovania vyhlásení o výdavkoch, ktoré slúžia ako žiadosť o platbu, prepočítavajú na euro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64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28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Účtovníctvo prijímateľa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numPr>
          <w:ilvl w:val="0"/>
          <w:numId w:val="36"/>
        </w:numPr>
        <w:tabs>
          <w:tab w:val="left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 účtuje o skutočnostiach, ktoré sú predmetom účtovníctva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46)</w:t>
      </w:r>
      <w:r>
        <w:rPr>
          <w:rFonts w:ascii="Times New Roman" w:hAnsi="Times New Roman" w:cs="Times New Roman"/>
          <w:sz w:val="22"/>
          <w:szCs w:val="22"/>
        </w:rPr>
        <w:t xml:space="preserve"> a súvisia s poskytovaním podpory </w:t>
      </w:r>
    </w:p>
    <w:p w:rsidR="0076553F">
      <w:pPr>
        <w:numPr>
          <w:ilvl w:val="0"/>
          <w:numId w:val="35"/>
        </w:numPr>
        <w:tabs>
          <w:tab w:val="left" w:pos="720"/>
          <w:tab w:val="left" w:pos="3240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analytických účtoch a v analytickej evidencii, ak účtuje v sústave podvojného účtovníctva,</w:t>
      </w:r>
    </w:p>
    <w:p w:rsidR="0076553F">
      <w:pPr>
        <w:numPr>
          <w:ilvl w:val="0"/>
          <w:numId w:val="35"/>
        </w:numPr>
        <w:tabs>
          <w:tab w:val="left" w:pos="720"/>
          <w:tab w:val="left" w:pos="3240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pomocných knihách a ostatných účtovných knihách, ak účtuje v sústave jednoduchého účtovníctva.</w:t>
      </w:r>
    </w:p>
    <w:p w:rsidR="0076553F">
      <w:pPr>
        <w:numPr>
          <w:ilvl w:val="0"/>
          <w:numId w:val="36"/>
        </w:numPr>
        <w:tabs>
          <w:tab w:val="left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Prijímateľ účtuje podľa jednotlivých druhov podpôr. O spôsobe vedenia analytických účtov a analytickej evidencie v  sústave podvojného účtovníctva alebo o spôsobe vedenia záznamov v účtovných knihách v sústave jednoduchého účtovníctva vedie prijímateľ písomné záznamy. </w:t>
      </w:r>
    </w:p>
    <w:p w:rsidR="0076553F">
      <w:pPr>
        <w:numPr>
          <w:ilvl w:val="0"/>
          <w:numId w:val="36"/>
        </w:numPr>
        <w:tabs>
          <w:tab w:val="left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Prijímateľ je povinný na účely certifikácie účtov na požiadanie umožniť certifikačnému orgánu oboznámiť sa s obsahom požadovaných účtovných záznamov; túto povinnosť má prijímateľ počas trvania povinnosti viesť alebo uchovávať účtovné záznamy.</w:t>
      </w:r>
    </w:p>
    <w:p w:rsidR="0076553F">
      <w:pPr>
        <w:numPr>
          <w:ilvl w:val="0"/>
          <w:numId w:val="36"/>
        </w:numPr>
        <w:tabs>
          <w:tab w:val="left" w:pos="720"/>
        </w:tabs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Prijímateľ je povinný uchovávať účtovnú dokumentáciu týkajúcu sa poskytovania podpory podľa osobitných predpisov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60)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Štvrtá časť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Spoločné ustanovenia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29</w:t>
      </w:r>
    </w:p>
    <w:p w:rsidR="0076553F">
      <w:pPr>
        <w:pStyle w:val="Heading1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Konflikt záujmov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  <w:highlight w:val="cyan"/>
        </w:rPr>
      </w:pPr>
      <w:r>
        <w:rPr>
          <w:rFonts w:ascii="Times New Roman" w:hAnsi="Times New Roman" w:cs="Times New Roman"/>
          <w:sz w:val="22"/>
          <w:szCs w:val="22"/>
        </w:rPr>
        <w:t>(1)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Konfliktom záujmov sa na účely tohto zákona rozumie situácia, kedy z dôvodov osobných alebo iných obdobných vzťahov zdieľaných medzi žiadateľom o poskytnutie pomoci a osobami vystupujúcimi na strane poskytovateľov týchto prostriedkov alebo medzi prijímateľom a jeho dodávateľom môže byť narušený alebo ohrozený záujem na nestrannom a transparentnom výkone funkcií, ktoré súvisia s prípravou a implementáciou výziev na predkladanie projektov, ďalej s hodnotením, schvaľovaním a výberom z predkladaných projektov, ako aj ich monitorovaním a priebežným hodnotením v procese implementácie projektov.</w:t>
      </w:r>
      <w:r>
        <w:rPr>
          <w:rFonts w:ascii="Times New Roman" w:hAnsi="Times New Roman" w:cs="Times New Roman"/>
          <w:sz w:val="22"/>
          <w:szCs w:val="22"/>
          <w:highlight w:val="cyan"/>
        </w:rPr>
        <w:t xml:space="preserve"> </w:t>
      </w: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(2) Osoba, ktorá sa akýmkoľvek spôsobom podieľa na riadení, implementácii a kontrole pomoci nesmie byť v konflikte záujmov. </w:t>
      </w:r>
    </w:p>
    <w:p w:rsidR="0076553F">
      <w:pPr>
        <w:autoSpaceDE/>
        <w:autoSpaceDN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(3) Ak sa žiadateľ o poskytnutie pomoci alebo iná osoba dozvie o okolnostiach, ktoré sú konfliktom záujmov, oznámi tieto okolnosti  bezodkladne písomne úradu vlády, ktorý tieto okolnosti v spolupráci s orgánmi štátnej správy, Generálnou prokuratúrou Slovenskej republiky, Najvyšším kontrolným úradom Slovenskej republiky a Národnou bankou Slovenska posúdi a navrhne spôsob riešenia riadiacemu orgánu, v ktorého pôsobnosti je poskytovanie pomoci a poskytovanie podpory. 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30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Kontrola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Pri výkone kontroly sa postupuje podľa osobitného predpisu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65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Týmto zákonom nie je dotknutý výkon  kontroly podľa osobitných predpisov</w:t>
      </w:r>
      <w:r>
        <w:rPr>
          <w:rStyle w:val="FootnoteReference"/>
          <w:rFonts w:ascii="Times New Roman" w:hAnsi="Times New Roman" w:cs="Times New Roman"/>
          <w:sz w:val="22"/>
          <w:szCs w:val="22"/>
          <w:rtl w:val="0"/>
        </w:rPr>
        <w:footnoteReference w:id="66"/>
      </w:r>
      <w:r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 výkonu auditu orgánom auditu.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31</w:t>
      </w:r>
    </w:p>
    <w:p w:rsidR="0076553F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Účinnosť</w:t>
      </w:r>
    </w:p>
    <w:p w:rsidR="0076553F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553F">
      <w:pPr>
        <w:tabs>
          <w:tab w:val="left" w:pos="360"/>
        </w:tabs>
        <w:spacing w:after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Tento zákon nadobúda účinnosť 1. januára 2008.</w:t>
      </w: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76553F">
      <w:pPr>
        <w:spacing w:after="120"/>
        <w:jc w:val="both"/>
        <w:rPr>
          <w:rFonts w:ascii="Times New Roman" w:hAnsi="Times New Roman" w:cs="Times New Roman"/>
          <w:i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E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F5AE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E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174C1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EF5AE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6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936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58 až 62 nariadenia (ES) č. 1083/2006 z 11. júla 2006, ktorým sa ustanovujú všeobecné ustanovenia o Európskom fonde regionálneho rozvoja, Európskom sociálnom fonde a Kohéznom fonde a ktorým sa zrušuje nariadenie (ES) č. 1260/1999 (Ú. v. EÚ L 210, 31. 7. 2006) v znení nariadenia Rady (ES) č. 1989/2006 z 21. decembra 2006 (Ú. v. EÚ L 411, 30. 12. 2006), čl. 57 až 61 nariadenia Rady (ES) č. 1198/2006 z 27. júla 2006 o Európskom fonde pre rybné hospodárstvo (Ú. v. EÚ L 223, 15. 8. 2006), čl. 9  a 32 až 35 nariadenia rady (ES) č. 1290/2005 z 21. júna 2005 o financovaní spoločnej poľnohospodárskej politiky </w:t>
      </w:r>
      <w:r w:rsidR="00EF5AEB">
        <w:rPr>
          <w:rFonts w:ascii="Times New Roman" w:hAnsi="Times New Roman" w:cs="Times New Roman"/>
          <w:color w:val="000000"/>
        </w:rPr>
        <w:t>(Ú. v. EÚ L 209, 11. 8. 2005) v platnom znení</w:t>
      </w:r>
      <w:r w:rsidR="00EF5AEB">
        <w:rPr>
          <w:rFonts w:ascii="Times New Roman" w:hAnsi="Times New Roman" w:cs="Times New Roman"/>
        </w:rPr>
        <w:t xml:space="preserve">.  </w:t>
      </w:r>
    </w:p>
  </w:footnote>
  <w:footnote w:id="3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1 ods. 1 písm. a) zákona č. ..../2007 Z. z. o pôsobnosti orgánov štátnej správy pri poskytovaní podpory v pôdohospodárstve a rozvoji vidieka.</w:t>
      </w:r>
    </w:p>
  </w:footnote>
  <w:footnote w:id="4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9174C1">
        <w:rPr>
          <w:rFonts w:ascii="Times New Roman" w:hAnsi="Times New Roman" w:cs="Times New Roman"/>
        </w:rPr>
        <w:t>Napríklad č</w:t>
      </w:r>
      <w:r w:rsidR="00EF5AEB">
        <w:rPr>
          <w:rFonts w:ascii="Times New Roman" w:hAnsi="Times New Roman" w:cs="Times New Roman"/>
          <w:szCs w:val="22"/>
        </w:rPr>
        <w:t>l. 2 ods. 4 nariadenia (ES) č. 1083/2006</w:t>
      </w:r>
      <w:r w:rsidR="009174C1">
        <w:rPr>
          <w:rFonts w:ascii="Times New Roman" w:hAnsi="Times New Roman" w:cs="Times New Roman"/>
          <w:szCs w:val="22"/>
        </w:rPr>
        <w:t>.</w:t>
      </w:r>
    </w:p>
  </w:footnote>
  <w:footnote w:id="5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 xml:space="preserve">Nariadenie Európskeho parlamentu a Rady (ES) č. 1080/2006 z 5. júla 2006 o Európskom fonde regionálneho rozvoja, a ktorým sa zrušuje nariadenie (ES) č. 1783/1999 </w:t>
      </w:r>
      <w:r w:rsidR="00EF5AEB">
        <w:rPr>
          <w:rFonts w:ascii="Times New Roman" w:hAnsi="Times New Roman" w:cs="Times New Roman"/>
          <w:color w:val="000000"/>
        </w:rPr>
        <w:t>(Ú. v. EÚ L 210, 31. 7. 2006)</w:t>
      </w:r>
      <w:r w:rsidR="00EF5AEB">
        <w:rPr>
          <w:rFonts w:ascii="Times New Roman" w:hAnsi="Times New Roman" w:cs="Times New Roman"/>
          <w:szCs w:val="22"/>
        </w:rPr>
        <w:t xml:space="preserve">.   </w:t>
      </w:r>
    </w:p>
  </w:footnote>
  <w:footnote w:id="6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 xml:space="preserve">Nariadenie Európskeho parlamentu a Rady (ES) č. 1081/2006 z 5. júla 2006 o Európskom sociálnom fonde, ktorým sa zrušuje nariadenie (ES) č. 1784/1999 </w:t>
      </w:r>
      <w:r w:rsidR="00EF5AEB">
        <w:rPr>
          <w:rFonts w:ascii="Times New Roman" w:hAnsi="Times New Roman" w:cs="Times New Roman"/>
          <w:color w:val="000000"/>
        </w:rPr>
        <w:t>(Ú. v. EÚ L 210, 31. 7. 2006)</w:t>
      </w:r>
      <w:r w:rsidR="00EF5AEB">
        <w:rPr>
          <w:rFonts w:ascii="Times New Roman" w:hAnsi="Times New Roman" w:cs="Times New Roman"/>
          <w:szCs w:val="22"/>
        </w:rPr>
        <w:t xml:space="preserve">.  </w:t>
      </w:r>
    </w:p>
  </w:footnote>
  <w:footnote w:id="7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 xml:space="preserve">Nariadenie Európskeho parlamentu a Rady (ES) č. 1084/2006 z 5. júla 2006, ktorým sa zriaďuje Kohézny fond a ktorým sa zrušuje nariadenie (ES) č. 1164/1994 </w:t>
      </w:r>
      <w:r w:rsidR="00EF5AEB">
        <w:rPr>
          <w:rFonts w:ascii="Times New Roman" w:hAnsi="Times New Roman" w:cs="Times New Roman"/>
          <w:color w:val="000000"/>
        </w:rPr>
        <w:t>(Ú. v. EÚ L 210, 31. 7. 2006)</w:t>
      </w:r>
      <w:r w:rsidR="00EF5AEB">
        <w:rPr>
          <w:rFonts w:ascii="Times New Roman" w:hAnsi="Times New Roman" w:cs="Times New Roman"/>
          <w:szCs w:val="22"/>
        </w:rPr>
        <w:t>.</w:t>
      </w:r>
    </w:p>
  </w:footnote>
  <w:footnote w:id="8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>Nariadenie (ES) č. 1198/2006.</w:t>
      </w:r>
    </w:p>
  </w:footnote>
  <w:footnote w:id="9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 xml:space="preserve">Nariadenie Rady  (ES) č. 1698/2005 z 20. septembra 2005 o podpore rozvoja vidieka prostredníctvom Európskeho poľnohospodárskeho fondu pre rozvoj vidieka </w:t>
      </w:r>
      <w:r w:rsidR="00EF5AEB">
        <w:rPr>
          <w:rFonts w:ascii="Times New Roman" w:hAnsi="Times New Roman" w:cs="Times New Roman"/>
        </w:rPr>
        <w:t xml:space="preserve">(EPFRV) </w:t>
      </w:r>
      <w:r w:rsidR="00EF5AEB">
        <w:rPr>
          <w:rFonts w:ascii="Times New Roman" w:hAnsi="Times New Roman" w:cs="Times New Roman"/>
          <w:color w:val="000000"/>
        </w:rPr>
        <w:t>(Ú. v. EÚ L 277, 21. 10. 2005) v platnom znení</w:t>
      </w:r>
      <w:r w:rsidR="00EF5AEB">
        <w:rPr>
          <w:rFonts w:ascii="Times New Roman" w:hAnsi="Times New Roman" w:cs="Times New Roman"/>
          <w:szCs w:val="22"/>
        </w:rPr>
        <w:t>.</w:t>
      </w:r>
    </w:p>
  </w:footnote>
  <w:footnote w:id="10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Nariadenie (ES) č. 1290/2005.</w:t>
      </w:r>
    </w:p>
  </w:footnote>
  <w:footnote w:id="11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3 ods. 1 a 4 ods. 1 zákona č.  .../2007.</w:t>
      </w:r>
    </w:p>
  </w:footnote>
  <w:footnote w:id="12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3 ods. 2 písm. p) zákona č. .../2007.</w:t>
      </w:r>
    </w:p>
  </w:footnote>
  <w:footnote w:id="13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3 ods. 2 písm. q) zákona č. .../2007.</w:t>
      </w:r>
    </w:p>
  </w:footnote>
  <w:footnote w:id="14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6 až 8 zákona č. .../2007.</w:t>
      </w:r>
    </w:p>
  </w:footnote>
  <w:footnote w:id="15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27 nariadenia (ES) č. 1083/2006.</w:t>
      </w:r>
    </w:p>
  </w:footnote>
  <w:footnote w:id="16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32 nariadenia (ES) č. 1083/2006.</w:t>
      </w:r>
    </w:p>
  </w:footnote>
  <w:footnote w:id="17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11 nariadenia (ES) č. 1698/2005.</w:t>
      </w:r>
    </w:p>
  </w:footnote>
  <w:footnote w:id="18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15 nariadenia (ES) č. 1698/2005.</w:t>
      </w:r>
    </w:p>
  </w:footnote>
  <w:footnote w:id="19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15 nariadenia (ES) č. 1198/2006.</w:t>
      </w:r>
    </w:p>
  </w:footnote>
  <w:footnote w:id="20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17 nariadenia (ES) č. 1198/2006.</w:t>
      </w:r>
    </w:p>
  </w:footnote>
  <w:footnote w:id="21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39 nariadenia (ES) č. 1083/2006.</w:t>
      </w:r>
    </w:p>
  </w:footnote>
  <w:footnote w:id="22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2 ods. 1 nariadenia Komisie (ES) č. 1848/2006 zo 14. decembra 2006 o nezrovnalostiach a vymáhaní súm neoprávnene vyplatených v súvislosti s financovaním Spoločnej poľnohospodárskej politiky, o organizácii informačného systému v tejto oblasti a o zrušení nariadenia (EHS) č. 595/91 </w:t>
      </w:r>
      <w:r w:rsidR="00EF5AEB">
        <w:rPr>
          <w:rFonts w:ascii="Times New Roman" w:hAnsi="Times New Roman" w:cs="Times New Roman"/>
          <w:color w:val="000000"/>
        </w:rPr>
        <w:t>(Ú. v. EÚ L 355, 15. 12. 2006)</w:t>
      </w:r>
      <w:r w:rsidR="00EF5AEB">
        <w:rPr>
          <w:rFonts w:ascii="Times New Roman" w:hAnsi="Times New Roman" w:cs="Times New Roman"/>
          <w:szCs w:val="22"/>
        </w:rPr>
        <w:t>.</w:t>
      </w:r>
    </w:p>
  </w:footnote>
  <w:footnote w:id="23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Napríklad čl. 3 až 9 nariadenia (ES) č. 1848/2006, č</w:t>
      </w:r>
      <w:r w:rsidR="00EF5AEB">
        <w:rPr>
          <w:rFonts w:ascii="Times New Roman" w:hAnsi="Times New Roman" w:cs="Times New Roman"/>
          <w:color w:val="000000"/>
        </w:rPr>
        <w:t xml:space="preserve">l. 10 ods. 2 nariadenia Rady  (EURATOM) č. 1074/1999 z 25. mája 1999 o vyšetrovaniach Európskeho úradu pre boj proti podvodom (OLAF) (Mimoriadne vydanie Ú. v. EÚ, kap. 1/ zv. 3.), </w:t>
      </w:r>
      <w:r w:rsidR="00EF5AEB">
        <w:rPr>
          <w:rFonts w:ascii="Times New Roman" w:hAnsi="Times New Roman" w:cs="Times New Roman"/>
          <w:szCs w:val="12"/>
        </w:rPr>
        <w:t xml:space="preserve">nariadenie Komisie (ES) č. 1828/2006 z  8. decembra 2006 , ktorým sa stanovujú vykonávacie pravidlá nariadenia Rady (ES) č. 1083/2006, ktorým sa ustanovujú všeobecné ustanovenia o Európskom fonde regionálneho rozvoja, Európskom sociálnom fonde a Kohéznom fonde a nariadenia Európskeho parlamentu a Rady (ES) č. 1080/2006 o Európskom fonde regionálneho rozvoja </w:t>
      </w:r>
      <w:r w:rsidR="00EF5AEB">
        <w:rPr>
          <w:rFonts w:ascii="Times New Roman" w:hAnsi="Times New Roman" w:cs="Times New Roman"/>
          <w:color w:val="000000"/>
        </w:rPr>
        <w:t>(Ú. v. EÚ L 371, 27. 12. 2006), nariadenie Rady (ES, EURATOM) č. 2988/1995 z 18. decembra 1995 o ochrane finančných záujmov Európskych spoločenstiev (Mimoriadne vydanie Ú. v. EÚ kap. 1/zv. 1.).</w:t>
      </w:r>
    </w:p>
  </w:footnote>
  <w:footnote w:id="24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color w:val="000000"/>
        </w:rPr>
        <w:t>Nariadenie (EURATOM) č. 1074/1999.</w:t>
      </w:r>
    </w:p>
  </w:footnote>
  <w:footnote w:id="25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2 z</w:t>
      </w:r>
      <w:r w:rsidR="00EF5AEB">
        <w:rPr>
          <w:rFonts w:ascii="Times New Roman" w:hAnsi="Times New Roman" w:cs="Times New Roman"/>
          <w:szCs w:val="22"/>
        </w:rPr>
        <w:t>ákona č. 10/1996 Z. z. o kontrole v štátnej správe v znení neskorších predpisov.</w:t>
      </w:r>
    </w:p>
  </w:footnote>
  <w:footnote w:id="26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69 nariadenia (ES) č. 1083/2006.</w:t>
      </w:r>
    </w:p>
  </w:footnote>
  <w:footnote w:id="27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>Čl. 59 až 62 nariadenia (ES) č. 1083/2006, čl. 58 nariadenia (ES) č. 1198/2006.</w:t>
      </w:r>
    </w:p>
  </w:footnote>
  <w:footnote w:id="28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60 nariadenia (ES) č. 1083/2006,</w:t>
      </w:r>
      <w:r w:rsidR="00EF5AEB">
        <w:rPr>
          <w:rFonts w:ascii="Times New Roman" w:hAnsi="Times New Roman" w:cs="Times New Roman"/>
          <w:szCs w:val="22"/>
        </w:rPr>
        <w:t xml:space="preserve"> čl. 59 nariadenia (ES) č. 1198/2006.</w:t>
      </w:r>
      <w:r w:rsidR="00EF5AEB">
        <w:rPr>
          <w:rFonts w:ascii="Times New Roman" w:hAnsi="Times New Roman" w:cs="Times New Roman"/>
        </w:rPr>
        <w:t xml:space="preserve"> .</w:t>
      </w:r>
    </w:p>
  </w:footnote>
  <w:footnote w:id="29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59 ods. 2  nariadenia (ES) č. 1083/2006, čl. 58 ods. 2 nariadenia (ES) č. 1198/2006.</w:t>
      </w:r>
    </w:p>
  </w:footnote>
  <w:footnote w:id="30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61 nariadenia (ES) č. 1083/2006, čl. 60 nariadenia (ES) č. 1198/2006.</w:t>
      </w:r>
    </w:p>
  </w:footnote>
  <w:footnote w:id="31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2 písm. e) zákona č. 523/2004 Z. z. o rozpočtových pravidlách verejnej správy a o zmene a doplnení niektorých zákonov v znení neskorších predpisov.</w:t>
      </w:r>
    </w:p>
  </w:footnote>
  <w:footnote w:id="32">
    <w:p w:rsidP="00177FF0"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7 ods. 2 zákona č. 523/2004 Z. z.</w:t>
      </w:r>
    </w:p>
  </w:footnote>
  <w:footnote w:id="33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 xml:space="preserve">Napríklad čl. 62 nariadenia (ES) č. 1083/2006, čl. 61 </w:t>
      </w:r>
      <w:r w:rsidR="00EF5AEB">
        <w:rPr>
          <w:rFonts w:ascii="Times New Roman" w:hAnsi="Times New Roman" w:cs="Times New Roman"/>
          <w:bCs/>
          <w:szCs w:val="22"/>
        </w:rPr>
        <w:t xml:space="preserve">nariadenia (ES) č. 1198/2006, čl. 6 a 11 nariadenia Európskeho parlamentu a Rady (ES) č. 1082/2006 z 5. júla 2006 o Európskom zoskupení územnej spolupráce (EZÚS) </w:t>
      </w:r>
      <w:r w:rsidR="00EF5AEB">
        <w:rPr>
          <w:rFonts w:ascii="Times New Roman" w:hAnsi="Times New Roman" w:cs="Times New Roman"/>
          <w:color w:val="000000"/>
        </w:rPr>
        <w:t>(Ú. v. EÚ L 210, 31. 7. 2006)</w:t>
      </w:r>
      <w:r w:rsidR="00EF5AEB">
        <w:rPr>
          <w:rFonts w:ascii="Times New Roman" w:hAnsi="Times New Roman" w:cs="Times New Roman"/>
          <w:bCs/>
          <w:szCs w:val="22"/>
        </w:rPr>
        <w:t>, čl.14 nariadenia (ES) č. 1080/2006.</w:t>
      </w:r>
    </w:p>
  </w:footnote>
  <w:footnote w:id="34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7 ods. 2 a § 8 ods. 3 zákona č. 523/2004 Z. z.</w:t>
      </w:r>
    </w:p>
  </w:footnote>
  <w:footnote w:id="35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20 ods. 2 zákona č. 523/2004 Z. z.</w:t>
      </w:r>
    </w:p>
  </w:footnote>
  <w:footnote w:id="36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55 nariadenia (ES) č. 1083/2006.</w:t>
      </w:r>
    </w:p>
  </w:footnote>
  <w:footnote w:id="37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>Napríklad zákon č. 466/2002 Z. z. o audítoroch a Slovenskej komore audítorov, čl. 72 nariadenia (ES) č. 1083/2006, nariadenie (ES) č. 2998/95.</w:t>
      </w:r>
    </w:p>
  </w:footnote>
  <w:footnote w:id="38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Nariadenie (ES) č. 1828/2006, nariadenie (ES) č. 1848/2006.</w:t>
      </w:r>
    </w:p>
  </w:footnote>
  <w:footnote w:id="39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31 písm. a) až c) zákona  č. 523/2004 Z. z.</w:t>
      </w:r>
    </w:p>
  </w:footnote>
  <w:footnote w:id="40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Zákon č. 502/2001 Z. z. o finančnej kontrole a vnútornom audite a o zmene a doplnení niektorých zákonov v znení neskorších predpisov.</w:t>
      </w:r>
    </w:p>
  </w:footnote>
  <w:footnote w:id="41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>Čl. 98 nariadenia (ES) č. 1083/2006, čl. 96 nariadenia (ES) č. 1198/2006.</w:t>
      </w:r>
    </w:p>
  </w:footnote>
  <w:footnote w:id="42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Napríklad zákon č. 523/2004 Z. z.</w:t>
      </w:r>
    </w:p>
  </w:footnote>
  <w:footnote w:id="43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31 ods. 10 zákona č. 523/2004 Z.</w:t>
      </w:r>
      <w:r w:rsidR="00EF5AEB">
        <w:rPr>
          <w:rFonts w:ascii="Arial Narrow" w:hAnsi="Arial Narrow" w:cs="Times New Roman"/>
          <w:sz w:val="22"/>
          <w:szCs w:val="22"/>
        </w:rPr>
        <w:t xml:space="preserve"> z.</w:t>
      </w:r>
      <w:r w:rsidR="00EF5AEB">
        <w:rPr>
          <w:rFonts w:ascii="Times New Roman" w:hAnsi="Times New Roman" w:cs="Times New Roman"/>
        </w:rPr>
        <w:t xml:space="preserve"> </w:t>
      </w:r>
    </w:p>
  </w:footnote>
  <w:footnote w:id="44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 xml:space="preserve">) </w:t>
      </w:r>
      <w:r w:rsidR="00EF5AEB">
        <w:rPr>
          <w:rFonts w:ascii="Times New Roman" w:hAnsi="Times New Roman" w:cs="Times New Roman"/>
        </w:rPr>
        <w:t>§ 31 ods. 9 zákona č. 523/2004 Z. z.</w:t>
      </w:r>
    </w:p>
  </w:footnote>
  <w:footnote w:id="45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 xml:space="preserve">) </w:t>
      </w:r>
      <w:r w:rsidR="00EF5AEB">
        <w:rPr>
          <w:rFonts w:ascii="Times New Roman" w:hAnsi="Times New Roman" w:cs="Times New Roman"/>
        </w:rPr>
        <w:t>Obchodný zákonník, zákon Národnej rady Slovenskej republiky č. 278/1993 Z. z. o správe majetku štátu v znení neskorších predpisov.</w:t>
      </w:r>
    </w:p>
  </w:footnote>
  <w:footnote w:id="46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2 ods. 2 zákona č. 431/2002 Z. z. o účtovníctve v znení neskorších predpisov.</w:t>
      </w:r>
    </w:p>
  </w:footnote>
  <w:footnote w:id="47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 Zákon č. 431/2002 Z. z. o účtovníctve, čl. 90 nariadenia (ES) č. 1083/2006, čl. 87 nariadenia  (ES) č. 1198/2006.</w:t>
      </w:r>
    </w:p>
  </w:footnote>
  <w:footnote w:id="48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81 nariadenia Rady (ES) č. 1083/2006, čl. 95 nariadenia  Rady (ES) č. 1198/2006.</w:t>
      </w:r>
    </w:p>
  </w:footnote>
  <w:footnote w:id="49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Zákon č. 431/2002 Z. z.</w:t>
      </w:r>
    </w:p>
  </w:footnote>
  <w:footnote w:id="50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40 a príloha č. III nariadenia (ES) č. 1828/2006, čl. 65 nariadenia (ES) č. 498/2007 </w:t>
      </w:r>
      <w:r w:rsidR="00EF5AEB">
        <w:rPr>
          <w:rFonts w:ascii="Times New Roman" w:hAnsi="Times New Roman" w:cs="Times New Roman"/>
          <w:szCs w:val="12"/>
        </w:rPr>
        <w:t>z 26. marca 2007 , ktorým sa stanovujú podrobné vykonávacie pravidlá nariadenia Rady (ES) č. 1198/2006 o Európskom fonde pre rybné hospodárstvo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color w:val="000000"/>
        </w:rPr>
        <w:t>(Ú. v. EÚ L 120, 10. 5. 2007)</w:t>
      </w:r>
      <w:r w:rsidR="00EF5AEB">
        <w:rPr>
          <w:rFonts w:ascii="Times New Roman" w:hAnsi="Times New Roman" w:cs="Times New Roman"/>
          <w:szCs w:val="22"/>
        </w:rPr>
        <w:t>.</w:t>
      </w:r>
    </w:p>
  </w:footnote>
  <w:footnote w:id="51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Zákon č. 10/1996 Z. z., zákon č. 502/2001 Z. z.</w:t>
      </w:r>
    </w:p>
  </w:footnote>
  <w:footnote w:id="52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7 zákona č. .../2007.</w:t>
      </w:r>
    </w:p>
  </w:footnote>
  <w:footnote w:id="53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7 nariadenia (ES) č. 1290/2005</w:t>
      </w:r>
      <w:r w:rsidR="00EF5AEB">
        <w:rPr>
          <w:rFonts w:ascii="Times New Roman" w:hAnsi="Times New Roman" w:cs="Times New Roman"/>
          <w:szCs w:val="22"/>
        </w:rPr>
        <w:t>.</w:t>
      </w:r>
    </w:p>
  </w:footnote>
  <w:footnote w:id="54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5 nariadenia Komisie (ES) č. 885/2006 </w:t>
      </w:r>
      <w:r w:rsidR="00EF5AEB">
        <w:rPr>
          <w:rFonts w:ascii="Times New Roman" w:hAnsi="Times New Roman" w:cs="Times New Roman"/>
          <w:szCs w:val="12"/>
        </w:rPr>
        <w:t>z  21. júna 2006 , ktorým sa ustanovujú podrobné pravidlá uplatňovania nariadenia Rady (ES) č. 1290/2005, pokiaľ ide o akreditáciu platobných agentúr a iných orgánov a zúčtovania EPZF a EPFRV (Ú. v. EÚ L 171, 23. 6. 2006).</w:t>
      </w:r>
    </w:p>
  </w:footnote>
  <w:footnote w:id="55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Nariadenie (ES) č. 1848/2006.</w:t>
      </w:r>
    </w:p>
  </w:footnote>
  <w:footnote w:id="56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Čl. 33 nariadenia (ES) č. 1290/2005.</w:t>
      </w:r>
    </w:p>
  </w:footnote>
  <w:footnote w:id="57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>§ 7 zákona č. ......./2007.</w:t>
      </w:r>
    </w:p>
  </w:footnote>
  <w:footnote w:id="58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Pr="00130EB9" w:rsidR="00EF5AEB">
        <w:rPr>
          <w:rFonts w:ascii="Times New Roman" w:hAnsi="Times New Roman" w:cs="Times New Roman"/>
        </w:rPr>
        <w:t xml:space="preserve">Čl. </w:t>
      </w:r>
      <w:r w:rsidR="00EF5AEB">
        <w:rPr>
          <w:rFonts w:ascii="Times New Roman" w:hAnsi="Times New Roman" w:cs="Times New Roman"/>
        </w:rPr>
        <w:t>15</w:t>
      </w:r>
      <w:r w:rsidRPr="00130EB9" w:rsidR="00EF5AEB">
        <w:rPr>
          <w:rFonts w:ascii="Times New Roman" w:hAnsi="Times New Roman" w:cs="Times New Roman"/>
        </w:rPr>
        <w:t xml:space="preserve"> nariadenia (ES) č. 1698/2005.</w:t>
      </w:r>
    </w:p>
  </w:footnote>
  <w:footnote w:id="59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>§ 1 zákona č. ......./2007.</w:t>
      </w:r>
    </w:p>
  </w:footnote>
  <w:footnote w:id="60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>Čl. 31 nariadenia (ES) č. 1290/2005.</w:t>
      </w:r>
    </w:p>
  </w:footnote>
  <w:footnote w:id="61">
    <w:p w:rsidP="00130EB9">
      <w:pPr>
        <w:pStyle w:val="FootnoteText"/>
        <w:rPr>
          <w:rFonts w:ascii="Times New Roman" w:hAnsi="Times New Roman" w:cs="Times New Roman"/>
        </w:rPr>
      </w:pPr>
      <w:r w:rsidRPr="0099033C"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31 odsek 9</w:t>
      </w:r>
      <w:r w:rsidRPr="0099033C" w:rsidR="00EF5AEB">
        <w:rPr>
          <w:rFonts w:ascii="Times New Roman" w:hAnsi="Times New Roman" w:cs="Times New Roman"/>
        </w:rPr>
        <w:t xml:space="preserve"> zákona č. 523/2004 Z. z.</w:t>
      </w:r>
    </w:p>
  </w:footnote>
  <w:footnote w:id="62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§ 9 </w:t>
      </w:r>
      <w:r w:rsidR="00EF5AEB">
        <w:rPr>
          <w:rFonts w:ascii="Times New Roman" w:hAnsi="Times New Roman" w:cs="Times New Roman"/>
          <w:szCs w:val="22"/>
        </w:rPr>
        <w:t>zákona č.  ......./2007.</w:t>
      </w:r>
    </w:p>
  </w:footnote>
  <w:footnote w:id="63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>Zákon č. 431/2002 Z. z., čl. 9 nariadenia (ES) č. 885/2006.</w:t>
      </w:r>
    </w:p>
  </w:footnote>
  <w:footnote w:id="64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>Čl. 45 nariadenia (ES) č. 1290/2005, čl. 7 a 13 nariadenia Komisie (ES) č. 883/2006</w:t>
      </w:r>
      <w:r w:rsidR="00EF5AEB">
        <w:rPr>
          <w:rFonts w:ascii="Tahoma" w:hAnsi="Tahoma" w:cs="Tahoma"/>
          <w:sz w:val="12"/>
          <w:szCs w:val="12"/>
        </w:rPr>
        <w:t xml:space="preserve"> </w:t>
      </w:r>
      <w:r w:rsidR="00EF5AEB">
        <w:rPr>
          <w:rFonts w:ascii="Times New Roman" w:hAnsi="Times New Roman" w:cs="Times New Roman"/>
          <w:szCs w:val="12"/>
        </w:rPr>
        <w:t>z  21. júna 2006 o podrobných podmienkach uplatňovania nariadenia Rady (ES) č. 1290/2005, pokiaľ ide o vedenie účtov platobných agentúr, vyhlásenia o výdavkoch a príjmoch a podmienky úhrady výdavkov z fondov EPZF a EPFRV (Ú. v. EÚ L 171, 23. 6. 2006)</w:t>
      </w:r>
      <w:r w:rsidR="00EF5AEB">
        <w:rPr>
          <w:rFonts w:ascii="Times New Roman" w:hAnsi="Times New Roman" w:cs="Times New Roman"/>
          <w:szCs w:val="22"/>
        </w:rPr>
        <w:t>.</w:t>
      </w:r>
    </w:p>
  </w:footnote>
  <w:footnote w:id="65">
    <w:p>
      <w:pPr>
        <w:pStyle w:val="FootnoteText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Zákon č. 10/1996 Z. z., zákon č. 502/2001 Z. z., § 10 zákon č.  .../2007 Z. z.</w:t>
      </w:r>
    </w:p>
  </w:footnote>
  <w:footnote w:id="66">
    <w:p>
      <w:pPr>
        <w:pStyle w:val="FootnoteText"/>
        <w:jc w:val="both"/>
        <w:rPr>
          <w:rFonts w:ascii="Times New Roman" w:hAnsi="Times New Roman" w:cs="Times New Roman"/>
        </w:rPr>
      </w:pPr>
      <w:r w:rsidR="00EF5AEB">
        <w:rPr>
          <w:rStyle w:val="FootnoteReference"/>
          <w:rFonts w:ascii="Times New Roman" w:hAnsi="Times New Roman" w:cs="Times New Roman"/>
        </w:rPr>
        <w:footnoteRef/>
      </w:r>
      <w:r w:rsidR="00EF5AEB">
        <w:rPr>
          <w:rFonts w:ascii="Times New Roman" w:hAnsi="Times New Roman" w:cs="Times New Roman"/>
          <w:szCs w:val="22"/>
          <w:vertAlign w:val="superscript"/>
        </w:rPr>
        <w:t>)</w:t>
      </w:r>
      <w:r w:rsidR="00EF5AEB">
        <w:rPr>
          <w:rFonts w:ascii="Times New Roman" w:hAnsi="Times New Roman" w:cs="Times New Roman"/>
        </w:rPr>
        <w:t xml:space="preserve"> </w:t>
      </w:r>
      <w:r w:rsidR="00EF5AEB">
        <w:rPr>
          <w:rFonts w:ascii="Times New Roman" w:hAnsi="Times New Roman" w:cs="Times New Roman"/>
          <w:szCs w:val="22"/>
        </w:rPr>
        <w:t>Zákon č. 39/1993 Z. z. o Najvyššom kontrolnom úrade Slovenskej republiky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DE0"/>
    <w:multiLevelType w:val="multilevel"/>
    <w:tmpl w:val="5F0015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422D1"/>
    <w:multiLevelType w:val="hybridMultilevel"/>
    <w:tmpl w:val="B5E6E1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C7764"/>
    <w:multiLevelType w:val="hybridMultilevel"/>
    <w:tmpl w:val="F3CA46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82229F"/>
    <w:multiLevelType w:val="hybridMultilevel"/>
    <w:tmpl w:val="0CEC17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D92441"/>
    <w:multiLevelType w:val="hybridMultilevel"/>
    <w:tmpl w:val="11067F7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C05A7"/>
    <w:multiLevelType w:val="hybridMultilevel"/>
    <w:tmpl w:val="55CC03CE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4F82B58"/>
    <w:multiLevelType w:val="hybridMultilevel"/>
    <w:tmpl w:val="D8CC87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0C65DB"/>
    <w:multiLevelType w:val="hybridMultilevel"/>
    <w:tmpl w:val="63E4B2C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1BDB640B"/>
    <w:multiLevelType w:val="hybridMultilevel"/>
    <w:tmpl w:val="C2780F7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17D4F"/>
    <w:multiLevelType w:val="hybridMultilevel"/>
    <w:tmpl w:val="1B06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00FA4"/>
    <w:multiLevelType w:val="hybridMultilevel"/>
    <w:tmpl w:val="6BCE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1">
    <w:nsid w:val="29E6266B"/>
    <w:multiLevelType w:val="hybridMultilevel"/>
    <w:tmpl w:val="DB54D16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ACE5FDD"/>
    <w:multiLevelType w:val="hybridMultilevel"/>
    <w:tmpl w:val="BA9A24A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BD64CD"/>
    <w:multiLevelType w:val="hybridMultilevel"/>
    <w:tmpl w:val="351E28D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E666A7"/>
    <w:multiLevelType w:val="hybridMultilevel"/>
    <w:tmpl w:val="98B60814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D308B"/>
    <w:multiLevelType w:val="hybridMultilevel"/>
    <w:tmpl w:val="93A0DFE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DC6000"/>
    <w:multiLevelType w:val="hybridMultilevel"/>
    <w:tmpl w:val="75F80F8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C2574D"/>
    <w:multiLevelType w:val="hybridMultilevel"/>
    <w:tmpl w:val="E06C42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5B548B"/>
    <w:multiLevelType w:val="hybridMultilevel"/>
    <w:tmpl w:val="C2C82D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5D2DC9"/>
    <w:multiLevelType w:val="hybridMultilevel"/>
    <w:tmpl w:val="A558CD5C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B12E45"/>
    <w:multiLevelType w:val="multilevel"/>
    <w:tmpl w:val="E6C838BA"/>
    <w:lvl w:ilvl="0">
      <w:start w:val="1"/>
      <w:numFmt w:val="none"/>
      <w:lvlText w:val="a)"/>
      <w:lvlJc w:val="left"/>
      <w:pPr>
        <w:tabs>
          <w:tab w:val="num" w:pos="360"/>
        </w:tabs>
        <w:ind w:left="-32766"/>
      </w:p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84008A5"/>
    <w:multiLevelType w:val="hybridMultilevel"/>
    <w:tmpl w:val="A65A6CAE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>
    <w:nsid w:val="4AE617E5"/>
    <w:multiLevelType w:val="hybridMultilevel"/>
    <w:tmpl w:val="AFB8C9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7F1B4D"/>
    <w:multiLevelType w:val="hybridMultilevel"/>
    <w:tmpl w:val="0C72AB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A97EFC"/>
    <w:multiLevelType w:val="hybridMultilevel"/>
    <w:tmpl w:val="E10ABA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ECF0F9B"/>
    <w:multiLevelType w:val="hybridMultilevel"/>
    <w:tmpl w:val="6A327EB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0CD0C2C"/>
    <w:multiLevelType w:val="hybridMultilevel"/>
    <w:tmpl w:val="94CE425A"/>
    <w:lvl w:ilvl="0">
      <w:start w:val="1"/>
      <w:numFmt w:val="decimal"/>
      <w:lvlText w:val="(%1)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7">
    <w:nsid w:val="5179596E"/>
    <w:multiLevelType w:val="hybridMultilevel"/>
    <w:tmpl w:val="4D8C5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F26A21"/>
    <w:multiLevelType w:val="hybridMultilevel"/>
    <w:tmpl w:val="9E56EF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34263D"/>
    <w:multiLevelType w:val="hybridMultilevel"/>
    <w:tmpl w:val="487E6EE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7EE0A30"/>
    <w:multiLevelType w:val="hybridMultilevel"/>
    <w:tmpl w:val="69E880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304373"/>
    <w:multiLevelType w:val="hybridMultilevel"/>
    <w:tmpl w:val="86A8781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B2257D"/>
    <w:multiLevelType w:val="hybridMultilevel"/>
    <w:tmpl w:val="DD2A15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D175F0"/>
    <w:multiLevelType w:val="hybridMultilevel"/>
    <w:tmpl w:val="AB6E1B4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9763F1"/>
    <w:multiLevelType w:val="hybridMultilevel"/>
    <w:tmpl w:val="CBDC3A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10B1F5F"/>
    <w:multiLevelType w:val="hybridMultilevel"/>
    <w:tmpl w:val="5F0015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FE3D94"/>
    <w:multiLevelType w:val="hybridMultilevel"/>
    <w:tmpl w:val="0FD25F4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7C22AA"/>
    <w:multiLevelType w:val="hybridMultilevel"/>
    <w:tmpl w:val="3BCA43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B03A42"/>
    <w:multiLevelType w:val="hybridMultilevel"/>
    <w:tmpl w:val="66D69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7B7E52"/>
    <w:multiLevelType w:val="multilevel"/>
    <w:tmpl w:val="0C4ACCD6"/>
    <w:lvl w:ilvl="0">
      <w:start w:val="1"/>
      <w:numFmt w:val="none"/>
      <w:lvlText w:val="a)"/>
      <w:lvlJc w:val="left"/>
      <w:pPr>
        <w:tabs>
          <w:tab w:val="num" w:pos="360"/>
        </w:tabs>
        <w:ind w:left="-32766"/>
      </w:p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6E53DD"/>
    <w:multiLevelType w:val="hybridMultilevel"/>
    <w:tmpl w:val="1688B1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33D3451"/>
    <w:multiLevelType w:val="hybridMultilevel"/>
    <w:tmpl w:val="44F260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>
    <w:nsid w:val="74484A95"/>
    <w:multiLevelType w:val="hybridMultilevel"/>
    <w:tmpl w:val="E5DCCF34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>
    <w:nsid w:val="78692153"/>
    <w:multiLevelType w:val="hybridMultilevel"/>
    <w:tmpl w:val="31BC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1A2CD6"/>
    <w:multiLevelType w:val="hybridMultilevel"/>
    <w:tmpl w:val="10CA75F4"/>
    <w:lvl w:ilvl="0">
      <w:start w:val="1"/>
      <w:numFmt w:val="decimal"/>
      <w:lvlText w:val="%1. 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1D230A"/>
    <w:multiLevelType w:val="hybridMultilevel"/>
    <w:tmpl w:val="0754A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3C3901"/>
    <w:multiLevelType w:val="hybridMultilevel"/>
    <w:tmpl w:val="56AEBB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BA6BC2"/>
    <w:multiLevelType w:val="hybridMultilevel"/>
    <w:tmpl w:val="87A08E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7"/>
  </w:num>
  <w:num w:numId="3">
    <w:abstractNumId w:val="16"/>
  </w:num>
  <w:num w:numId="4">
    <w:abstractNumId w:val="33"/>
  </w:num>
  <w:num w:numId="5">
    <w:abstractNumId w:val="19"/>
  </w:num>
  <w:num w:numId="6">
    <w:abstractNumId w:val="2"/>
  </w:num>
  <w:num w:numId="7">
    <w:abstractNumId w:val="3"/>
  </w:num>
  <w:num w:numId="8">
    <w:abstractNumId w:val="15"/>
  </w:num>
  <w:num w:numId="9">
    <w:abstractNumId w:val="5"/>
  </w:num>
  <w:num w:numId="10">
    <w:abstractNumId w:val="42"/>
  </w:num>
  <w:num w:numId="11">
    <w:abstractNumId w:val="44"/>
  </w:num>
  <w:num w:numId="12">
    <w:abstractNumId w:val="23"/>
  </w:num>
  <w:num w:numId="13">
    <w:abstractNumId w:val="17"/>
  </w:num>
  <w:num w:numId="14">
    <w:abstractNumId w:val="29"/>
  </w:num>
  <w:num w:numId="15">
    <w:abstractNumId w:val="14"/>
  </w:num>
  <w:num w:numId="16">
    <w:abstractNumId w:val="28"/>
  </w:num>
  <w:num w:numId="17">
    <w:abstractNumId w:val="38"/>
  </w:num>
  <w:num w:numId="18">
    <w:abstractNumId w:val="45"/>
  </w:num>
  <w:num w:numId="19">
    <w:abstractNumId w:val="10"/>
  </w:num>
  <w:num w:numId="20">
    <w:abstractNumId w:val="40"/>
  </w:num>
  <w:num w:numId="21">
    <w:abstractNumId w:val="9"/>
  </w:num>
  <w:num w:numId="22">
    <w:abstractNumId w:val="4"/>
  </w:num>
  <w:num w:numId="23">
    <w:abstractNumId w:val="24"/>
  </w:num>
  <w:num w:numId="24">
    <w:abstractNumId w:val="35"/>
  </w:num>
  <w:num w:numId="25">
    <w:abstractNumId w:val="32"/>
  </w:num>
  <w:num w:numId="26">
    <w:abstractNumId w:val="11"/>
  </w:num>
  <w:num w:numId="27">
    <w:abstractNumId w:val="12"/>
  </w:num>
  <w:num w:numId="28">
    <w:abstractNumId w:val="13"/>
  </w:num>
  <w:num w:numId="29">
    <w:abstractNumId w:val="18"/>
  </w:num>
  <w:num w:numId="30">
    <w:abstractNumId w:val="41"/>
  </w:num>
  <w:num w:numId="31">
    <w:abstractNumId w:val="25"/>
  </w:num>
  <w:num w:numId="32">
    <w:abstractNumId w:val="26"/>
  </w:num>
  <w:num w:numId="33">
    <w:abstractNumId w:val="47"/>
  </w:num>
  <w:num w:numId="34">
    <w:abstractNumId w:val="8"/>
  </w:num>
  <w:num w:numId="35">
    <w:abstractNumId w:val="21"/>
  </w:num>
  <w:num w:numId="36">
    <w:abstractNumId w:val="37"/>
  </w:num>
  <w:num w:numId="37">
    <w:abstractNumId w:val="34"/>
  </w:num>
  <w:num w:numId="38">
    <w:abstractNumId w:val="30"/>
  </w:num>
  <w:num w:numId="39">
    <w:abstractNumId w:val="36"/>
  </w:num>
  <w:num w:numId="40">
    <w:abstractNumId w:val="27"/>
  </w:num>
  <w:num w:numId="41">
    <w:abstractNumId w:val="43"/>
  </w:num>
  <w:num w:numId="42">
    <w:abstractNumId w:val="39"/>
  </w:num>
  <w:num w:numId="43">
    <w:abstractNumId w:val="20"/>
  </w:num>
  <w:num w:numId="44">
    <w:abstractNumId w:val="22"/>
  </w:num>
  <w:num w:numId="45">
    <w:abstractNumId w:val="31"/>
  </w:num>
  <w:num w:numId="46">
    <w:abstractNumId w:val="6"/>
  </w:num>
  <w:num w:numId="47">
    <w:abstractNumId w:val="0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A8A"/>
    <w:rsid w:val="00130EB9"/>
    <w:rsid w:val="00152183"/>
    <w:rsid w:val="00177FF0"/>
    <w:rsid w:val="00271B5E"/>
    <w:rsid w:val="003B6282"/>
    <w:rsid w:val="00473DF0"/>
    <w:rsid w:val="00487848"/>
    <w:rsid w:val="00513CD2"/>
    <w:rsid w:val="0065052E"/>
    <w:rsid w:val="0076553F"/>
    <w:rsid w:val="008E42C7"/>
    <w:rsid w:val="00912E44"/>
    <w:rsid w:val="009174C1"/>
    <w:rsid w:val="0093037E"/>
    <w:rsid w:val="00966937"/>
    <w:rsid w:val="0099033C"/>
    <w:rsid w:val="00E60709"/>
    <w:rsid w:val="00EF5A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jc w:val="left"/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pPr>
      <w:jc w:val="center"/>
    </w:pPr>
    <w:rPr>
      <w:b/>
      <w:sz w:val="22"/>
      <w:szCs w:val="22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Char">
    <w:name w:val="Char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3037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14</Pages>
  <Words>4009</Words>
  <Characters>22857</Characters>
  <Application>Microsoft Office Word</Application>
  <DocSecurity>0</DocSecurity>
  <Lines>0</Lines>
  <Paragraphs>0</Paragraphs>
  <ScaleCrop>false</ScaleCrop>
  <Company/>
  <LinksUpToDate>false</LinksUpToDate>
  <CharactersWithSpaces>26813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canecky</cp:lastModifiedBy>
  <cp:revision>5</cp:revision>
  <cp:lastPrinted>2007-10-01T06:00:00Z</cp:lastPrinted>
  <dcterms:created xsi:type="dcterms:W3CDTF">2007-09-28T10:26:00Z</dcterms:created>
  <dcterms:modified xsi:type="dcterms:W3CDTF">2007-10-01T06:00:00Z</dcterms:modified>
</cp:coreProperties>
</file>