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360"/>
        <w:gridCol w:w="1260"/>
        <w:gridCol w:w="4500"/>
        <w:gridCol w:w="360"/>
        <w:gridCol w:w="900"/>
        <w:gridCol w:w="720"/>
        <w:gridCol w:w="5400"/>
        <w:gridCol w:w="360"/>
        <w:gridCol w:w="720"/>
        <w:gridCol w:w="1080"/>
        <w:gridCol w:w="54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5B7794">
            <w:pPr>
              <w:pStyle w:val="Heading1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TABUĽKA  ZHODY</w:t>
            </w:r>
          </w:p>
          <w:p w:rsidR="003D3D63" w:rsidRPr="005B7794">
            <w:pPr>
              <w:pStyle w:val="Heading1"/>
              <w:spacing w:after="120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smernice ES/EÚ s ustanoveniami všetkých všeobecne záväzných právnych predpisov, ktoré danú smernicu preberajú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D3D63" w:rsidRPr="005B7794">
            <w:pPr>
              <w:pStyle w:val="Heading4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Názov smernice:</w:t>
            </w:r>
          </w:p>
        </w:tc>
        <w:tc>
          <w:tcPr>
            <w:tcW w:w="14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5B7794" w:rsidP="002141FE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2141FE" w:rsidR="002141FE">
              <w:rPr>
                <w:rFonts w:ascii="Arial Narrow" w:hAnsi="Arial Narrow" w:cs="Arial Narrow"/>
                <w:b/>
                <w:sz w:val="20"/>
                <w:szCs w:val="24"/>
              </w:rPr>
              <w:t>Smernica Rady 90/434/EHS z 23. júla 1990 o spoločnom systéme zdaňovania pri zlúčeniach, rozdeleniach, prevodoch majetku a výmene akcií týkajúcich sa spoločností rôznych členských štátov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F732BE" w:rsidP="002E13F3">
            <w:pPr>
              <w:pStyle w:val="Heading4"/>
              <w:spacing w:before="120"/>
              <w:jc w:val="both"/>
              <w:rPr>
                <w:rFonts w:ascii="Arial Narrow" w:hAnsi="Arial Narrow" w:cs="Arial Narrow"/>
                <w:sz w:val="20"/>
                <w:szCs w:val="24"/>
                <w:u w:val="single"/>
              </w:rPr>
            </w:pPr>
            <w:r w:rsidRPr="00F732BE">
              <w:rPr>
                <w:rFonts w:ascii="Arial Narrow" w:hAnsi="Arial Narrow" w:cs="Arial Narrow"/>
                <w:sz w:val="20"/>
                <w:szCs w:val="24"/>
                <w:u w:val="single"/>
              </w:rPr>
              <w:t>Smernica ES/EÚ</w:t>
            </w:r>
          </w:p>
          <w:p w:rsidR="003D3D63" w:rsidRPr="002141FE" w:rsidP="00D27614">
            <w:pPr>
              <w:pStyle w:val="BodyText3"/>
              <w:spacing w:line="240" w:lineRule="auto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:rsidR="002141FE" w:rsidRPr="002141FE" w:rsidP="002141FE">
            <w:pPr>
              <w:pStyle w:val="BodyText3"/>
              <w:spacing w:line="240" w:lineRule="auto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2141FE">
              <w:rPr>
                <w:rFonts w:ascii="Arial Narrow" w:hAnsi="Arial Narrow" w:cs="Arial Narrow"/>
                <w:b/>
                <w:sz w:val="20"/>
                <w:szCs w:val="24"/>
              </w:rPr>
              <w:t>Smernica Rady 90/434/EHS z 23. júla 1990 o spoločnom systéme zdaňovania pri zlúčeniach, rozdeleniach, prevodoch majetku a výmene akcií týkajúcich sa spoločností rôznych členských štátov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(konsolidované znenie)</w:t>
            </w:r>
          </w:p>
          <w:p w:rsidR="00F732BE" w:rsidRPr="005B7794" w:rsidP="002141FE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F732BE" w:rsidP="002E13F3">
            <w:pPr>
              <w:pStyle w:val="Heading4"/>
              <w:spacing w:before="120"/>
              <w:jc w:val="both"/>
              <w:rPr>
                <w:rFonts w:ascii="Arial Narrow" w:hAnsi="Arial Narrow" w:cs="Arial Narrow"/>
                <w:sz w:val="20"/>
                <w:szCs w:val="24"/>
                <w:u w:val="single"/>
              </w:rPr>
            </w:pPr>
            <w:r w:rsidRPr="00F732BE">
              <w:rPr>
                <w:rFonts w:ascii="Arial Narrow" w:hAnsi="Arial Narrow" w:cs="Arial Narrow"/>
                <w:sz w:val="20"/>
                <w:szCs w:val="24"/>
                <w:u w:val="single"/>
              </w:rPr>
              <w:t>Všeobecne záväzné právne predpisy Slovenskej republiky</w:t>
            </w:r>
          </w:p>
          <w:p w:rsidR="003D3D63" w:rsidP="002E13F3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2E13F3" w:rsidP="00D27614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 w:rsidR="00D27614">
              <w:rPr>
                <w:rFonts w:ascii="Arial Narrow" w:hAnsi="Arial Narrow" w:cs="Arial Narrow"/>
                <w:b/>
                <w:sz w:val="20"/>
                <w:szCs w:val="24"/>
              </w:rPr>
              <w:t>Návrh zákona, ktorým sa mení zákon č. 595/2003 Z. z. o dani z príjmov v znení neskorších predpisov</w:t>
            </w:r>
            <w:r w:rsidR="002141FE">
              <w:rPr>
                <w:rFonts w:ascii="Arial Narrow" w:hAnsi="Arial Narrow" w:cs="Arial Narrow"/>
                <w:b/>
                <w:sz w:val="20"/>
                <w:szCs w:val="24"/>
              </w:rPr>
              <w:t xml:space="preserve"> (ďalej len „návrh zákona“)</w:t>
            </w:r>
          </w:p>
          <w:p w:rsidR="002141FE" w:rsidP="00D27614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:rsidR="002141FE" w:rsidP="00D27614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Zákon  </w:t>
            </w: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č. 595/2003 Z. z. o dani z príjmov v znení neskorších predpisov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(ďalej len „595/2003 Z.z.“)</w:t>
            </w:r>
          </w:p>
          <w:p w:rsidR="002141FE" w:rsidRPr="00D27614" w:rsidP="00D27614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jc w:val="center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jc w:val="center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D27614">
            <w:pPr>
              <w:jc w:val="center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jc w:val="center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BodyText2"/>
              <w:spacing w:line="240" w:lineRule="exact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BodyText2"/>
              <w:spacing w:line="240" w:lineRule="exact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jc w:val="center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jc w:val="center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jc w:val="center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D27614">
            <w:pPr>
              <w:jc w:val="center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10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Článok</w:t>
            </w:r>
          </w:p>
          <w:p w:rsidR="003D3D63" w:rsidRPr="00D27614">
            <w:pPr>
              <w:pStyle w:val="Normlny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(Č, O,</w:t>
            </w:r>
          </w:p>
          <w:p w:rsidR="003D3D63" w:rsidRPr="00D27614">
            <w:pPr>
              <w:pStyle w:val="Normlny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V, P)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jc w:val="center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jc w:val="center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Spôsob transp</w:t>
            </w:r>
            <w:r w:rsidRPr="00D27614" w:rsidR="00047735">
              <w:rPr>
                <w:rFonts w:ascii="Arial Narrow" w:hAnsi="Arial Narrow" w:cs="Arial Narrow"/>
                <w:b/>
                <w:szCs w:val="24"/>
              </w:rPr>
              <w:t>ozície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jc w:val="center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Číslo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jc w:val="center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Článok (Č, §, O, V, P)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jc w:val="center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jc w:val="center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Zhoda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jc w:val="center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Admin. infraštr.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jc w:val="center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Poznámky</w:t>
            </w:r>
          </w:p>
          <w:p w:rsidR="003D3D63" w:rsidRPr="00D27614">
            <w:pPr>
              <w:pStyle w:val="Normlny"/>
              <w:rPr>
                <w:rFonts w:ascii="Arial Narrow" w:hAnsi="Arial Narrow" w:cs="Arial Narrow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D27614">
            <w:pPr>
              <w:pStyle w:val="Normlny"/>
              <w:jc w:val="center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Štádium legislatívneho procesu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 w:rsidP="00026115">
            <w:pPr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 w:rsidP="00026115">
            <w:pPr>
              <w:pStyle w:val="Normlny"/>
              <w:jc w:val="both"/>
              <w:rPr>
                <w:rFonts w:ascii="Arial Narrow" w:hAnsi="Arial Narrow" w:cs="Arial Narrow"/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D27614" w:rsidP="00026115">
            <w:pPr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 w:rsidP="00026115">
            <w:pPr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 w:val="20"/>
                <w:szCs w:val="24"/>
              </w:rPr>
              <w:t>číslo predpisu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 w:rsidP="00026115">
            <w:pPr>
              <w:pStyle w:val="Normlny"/>
              <w:rPr>
                <w:rFonts w:ascii="Arial Narrow" w:hAnsi="Arial Narrow" w:cs="Arial Narrow"/>
                <w:b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 w:rsidP="00026115">
            <w:pPr>
              <w:pStyle w:val="Normlny"/>
              <w:rPr>
                <w:rFonts w:ascii="Arial Narrow" w:hAnsi="Arial Narrow" w:cs="Arial Narrow"/>
                <w:b/>
                <w:szCs w:val="24"/>
              </w:rPr>
            </w:pPr>
            <w:r w:rsidRPr="00D27614">
              <w:rPr>
                <w:rFonts w:ascii="Arial Narrow" w:hAnsi="Arial Narrow" w:cs="Arial Narrow"/>
                <w:b/>
                <w:szCs w:val="24"/>
              </w:rPr>
              <w:t>názov predpisu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 w:rsidP="00026115">
            <w:pPr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 w:rsidP="00026115">
            <w:pPr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D27614" w:rsidP="00026115">
            <w:pPr>
              <w:pStyle w:val="Heading1"/>
              <w:jc w:val="left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D27614" w:rsidP="00026115">
            <w:pPr>
              <w:pStyle w:val="Heading1"/>
              <w:jc w:val="left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4B6D" w:rsidRPr="005B779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  <w:r w:rsidR="000B4F47">
              <w:rPr>
                <w:rFonts w:ascii="Arial Narrow" w:hAnsi="Arial Narrow" w:cs="Arial Narrow"/>
                <w:sz w:val="20"/>
                <w:szCs w:val="24"/>
              </w:rPr>
              <w:t>Čl.</w:t>
            </w:r>
            <w:r w:rsidR="009D2926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="00CE0DD7">
              <w:rPr>
                <w:rFonts w:ascii="Arial Narrow" w:hAnsi="Arial Narrow" w:cs="Arial Narrow"/>
                <w:sz w:val="20"/>
                <w:szCs w:val="24"/>
              </w:rPr>
              <w:t>6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0DD7" w:rsidRPr="002141FE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2141FE">
              <w:rPr>
                <w:rFonts w:ascii="Arial Narrow" w:hAnsi="Arial Narrow" w:cs="Arial Narrow"/>
                <w:sz w:val="20"/>
                <w:szCs w:val="24"/>
              </w:rPr>
              <w:t>Ak sa operácie uvedené v článku 1 písm. a) uskutočnili medzi spoločnosťami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z členského štátu prevádzajúcej spoločnosti v takom rozsahu, že tento členský štát by uplatňoval ustanovenia umožňujúce preberajúcej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spoločnosti prevziať straty prevádzajúcej spoločnosti, ktoré ešte neboli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odvedené na daňové účely, rozšíri tieto ustanovenia tak, aby sa vzťahovali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na prevzatie takých strát materskými podnikmi preberajúcej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spoločnosti, nachádzajúcimi sa na území tohto štátu.</w:t>
            </w:r>
          </w:p>
          <w:p w:rsidR="00CE0DD7" w:rsidRPr="002141FE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684B6D" w:rsidRPr="002141FE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840F0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  <w:r w:rsidR="00C542C8"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  <w:p w:rsidR="00C542C8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C542C8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C542C8" w:rsidRPr="005B779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4603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  <w:r w:rsidR="002141FE">
              <w:rPr>
                <w:rFonts w:ascii="Arial Narrow" w:hAnsi="Arial Narrow" w:cs="Arial Narrow"/>
                <w:sz w:val="20"/>
                <w:szCs w:val="24"/>
              </w:rPr>
              <w:t>595/2003 Z.z.</w:t>
            </w:r>
          </w:p>
          <w:p w:rsidR="002141FE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C542C8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C542C8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C542C8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2141FE" w:rsidRPr="00C542C8" w:rsidP="00026115">
            <w:pPr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C542C8">
              <w:rPr>
                <w:rFonts w:ascii="Arial Narrow" w:hAnsi="Arial Narrow" w:cs="Arial Narrow"/>
                <w:b/>
                <w:sz w:val="20"/>
                <w:szCs w:val="24"/>
              </w:rPr>
              <w:t>návrh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4603" w:rsidP="00026115">
            <w:pPr>
              <w:pStyle w:val="Normlny"/>
              <w:rPr>
                <w:rFonts w:ascii="Arial Narrow" w:hAnsi="Arial Narrow" w:cs="Arial Narrow"/>
                <w:szCs w:val="24"/>
              </w:rPr>
            </w:pPr>
            <w:r w:rsidR="00C542C8">
              <w:rPr>
                <w:rFonts w:ascii="Arial Narrow" w:hAnsi="Arial Narrow" w:cs="Arial Narrow"/>
                <w:szCs w:val="24"/>
              </w:rPr>
              <w:t>§ 30 ods. 2</w:t>
            </w:r>
          </w:p>
          <w:p w:rsidR="00C542C8" w:rsidP="00026115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  <w:p w:rsidR="00C542C8" w:rsidRPr="005B7794" w:rsidP="00026115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4603" w:rsidRPr="00C542C8" w:rsidP="00026115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  <w:r w:rsidRPr="00C542C8" w:rsidR="00C542C8">
              <w:rPr>
                <w:rFonts w:ascii="Arial Narrow" w:hAnsi="Arial Narrow" w:cs="Arial Narrow"/>
                <w:szCs w:val="24"/>
              </w:rPr>
              <w:t>(2) Ak daňovník, ktorý začal odpočítavať daňovú stratu alebo mu vznikol nárok na odpočítavanie daňovej straty podľa odseku 1, zanikol v dôsledku zrušenia bez likvidácie, daňovú stratu odpočítava právny nástupca; ak je právnych nástupcov viac, daňová strata sa odpočítava u každého z nich pomerne, a to podľa výšky vlastného imania zaniknutého daňovníka, v akej prešlo na jednotlivých právnych nástupcov</w:t>
            </w:r>
            <w:r w:rsidR="00C542C8">
              <w:rPr>
                <w:rFonts w:ascii="Arial Narrow" w:hAnsi="Arial Narrow" w:cs="Arial Narrow"/>
                <w:szCs w:val="24"/>
              </w:rPr>
              <w:t xml:space="preserve">; </w:t>
            </w:r>
            <w:r w:rsidRPr="00C542C8" w:rsidR="00C542C8">
              <w:rPr>
                <w:rFonts w:ascii="Arial Narrow" w:hAnsi="Arial Narrow" w:cs="Arial Narrow"/>
                <w:b/>
                <w:szCs w:val="24"/>
              </w:rPr>
              <w:t>právny nástupca môže odpočítať daňovú stratu, ak je zanikajúca spoločnosť a jej právny nástupca spoločnosť s ručením obmedzeným alebo akciová spoločnosť a súčasne, ak účelom tohto zrušenia nie je znížiť alebo vyhnúť sa daňovej povinnosti.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40F0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  <w:r w:rsidR="00C542C8"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  <w:p w:rsidR="00C542C8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C542C8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C542C8" w:rsidRPr="005B779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4B6D" w:rsidRPr="005B779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79B4" w:rsidRPr="00D27614" w:rsidP="001279B4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84B6D" w:rsidRPr="005B7794" w:rsidP="00026115">
            <w:pPr>
              <w:pStyle w:val="Heading1"/>
              <w:jc w:val="left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4B6D" w:rsidRPr="005B779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  <w:r w:rsidRPr="005B7794" w:rsidR="005B7794">
              <w:rPr>
                <w:rFonts w:ascii="Arial Narrow" w:hAnsi="Arial Narrow" w:cs="Arial Narrow"/>
                <w:sz w:val="20"/>
                <w:szCs w:val="24"/>
              </w:rPr>
              <w:t>Č</w:t>
            </w:r>
            <w:r w:rsidR="000B4F47">
              <w:rPr>
                <w:rFonts w:ascii="Arial Narrow" w:hAnsi="Arial Narrow" w:cs="Arial Narrow"/>
                <w:sz w:val="20"/>
                <w:szCs w:val="24"/>
              </w:rPr>
              <w:t>l.</w:t>
            </w:r>
            <w:r w:rsidRPr="005B7794" w:rsidR="005B7794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="00CE0DD7">
              <w:rPr>
                <w:rFonts w:ascii="Arial Narrow" w:hAnsi="Arial Narrow" w:cs="Arial Narrow"/>
                <w:sz w:val="20"/>
                <w:szCs w:val="24"/>
              </w:rPr>
              <w:t>7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0DD7" w:rsidRPr="002141FE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2141FE">
              <w:rPr>
                <w:rFonts w:ascii="Arial Narrow" w:hAnsi="Arial Narrow" w:cs="Arial Narrow"/>
                <w:sz w:val="20"/>
                <w:szCs w:val="24"/>
              </w:rPr>
              <w:t>1. Ak prijímajúca spoločnosť má v držbe kapitál prevádzajúcej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spoločnosti, všetky zisky vznikajúce preberajúcej spoločnosti zrušením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jeho držby, nebudú podliehať zdaňovaniu.</w:t>
            </w:r>
          </w:p>
          <w:p w:rsidR="00C542C8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351CE9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CE0DD7" w:rsidRPr="002141FE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2141FE">
              <w:rPr>
                <w:rFonts w:ascii="Arial Narrow" w:hAnsi="Arial Narrow" w:cs="Arial Narrow"/>
                <w:sz w:val="20"/>
                <w:szCs w:val="24"/>
              </w:rPr>
              <w:t>2. Členské štáty sa môžu odchýliť od odseku 1, ak vlastníctvo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kapitálu preberajúcej spoločnosti nepresahuje v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> 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prevádzajúcej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spoločnosti 20 %.</w:t>
            </w:r>
          </w:p>
          <w:p w:rsidR="00C542C8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CE0DD7" w:rsidRPr="002141FE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2141FE">
              <w:rPr>
                <w:rFonts w:ascii="Arial Narrow" w:hAnsi="Arial Narrow" w:cs="Arial Narrow"/>
                <w:sz w:val="20"/>
                <w:szCs w:val="24"/>
              </w:rPr>
              <w:t>Od 1. januára 2007 je minimálne vlastníctvo kapitálu 15 %. Od 1.</w:t>
            </w:r>
            <w:r w:rsidR="00C542C8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2141FE">
              <w:rPr>
                <w:rFonts w:ascii="Arial Narrow" w:hAnsi="Arial Narrow" w:cs="Arial Narrow"/>
                <w:sz w:val="20"/>
                <w:szCs w:val="24"/>
              </w:rPr>
              <w:t>januára 2009 je minimálne vlastníctvo kapitálu 10 %.</w:t>
            </w:r>
          </w:p>
          <w:p w:rsidR="00684B6D" w:rsidRPr="002141FE" w:rsidP="002141F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6018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  <w:r w:rsidR="00F45343"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  <w:p w:rsidR="001279B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1279B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1279B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1279B4" w:rsidRPr="005B779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C3B" w:rsidP="00A93C3B">
            <w:pPr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595/2003 Z.z.</w:t>
            </w:r>
          </w:p>
          <w:p w:rsidR="00A93C3B" w:rsidP="00A93C3B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A93C3B" w:rsidP="00A93C3B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A93C3B" w:rsidP="00A93C3B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A93C3B" w:rsidP="00A93C3B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684B6D" w:rsidRPr="005B7794" w:rsidP="00A93C3B">
            <w:pPr>
              <w:rPr>
                <w:rFonts w:ascii="Arial Narrow" w:hAnsi="Arial Narrow" w:cs="Arial Narrow"/>
                <w:sz w:val="20"/>
                <w:szCs w:val="24"/>
              </w:rPr>
            </w:pPr>
            <w:r w:rsidRPr="00C542C8" w:rsidR="00A93C3B">
              <w:rPr>
                <w:rFonts w:ascii="Arial Narrow" w:hAnsi="Arial Narrow" w:cs="Arial Narrow"/>
                <w:b/>
                <w:sz w:val="20"/>
                <w:szCs w:val="24"/>
              </w:rPr>
              <w:t>návrh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0184" w:rsidP="00026115">
            <w:pPr>
              <w:pStyle w:val="Normlny"/>
              <w:rPr>
                <w:rFonts w:ascii="Arial Narrow" w:hAnsi="Arial Narrow" w:cs="Arial Narrow"/>
                <w:szCs w:val="24"/>
              </w:rPr>
            </w:pPr>
            <w:r w:rsidR="00351CE9">
              <w:rPr>
                <w:rFonts w:ascii="Arial Narrow" w:hAnsi="Arial Narrow" w:cs="Arial Narrow"/>
                <w:szCs w:val="24"/>
              </w:rPr>
              <w:t>§ 3 ods. 2 písm. c)</w:t>
            </w:r>
          </w:p>
          <w:p w:rsidR="00351CE9" w:rsidP="00026115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  <w:p w:rsidR="00351CE9" w:rsidP="00026115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  <w:p w:rsidR="00351CE9" w:rsidRPr="005B7794" w:rsidP="00026115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4B6D" w:rsidP="00351CE9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  <w:r w:rsidRPr="00351CE9" w:rsidR="00351CE9">
              <w:rPr>
                <w:rFonts w:ascii="Arial Narrow" w:hAnsi="Arial Narrow" w:cs="Arial Narrow"/>
                <w:szCs w:val="24"/>
              </w:rPr>
              <w:t>(2) Predmetom dane nie je</w:t>
            </w:r>
          </w:p>
          <w:p w:rsidR="00351CE9" w:rsidRPr="00351CE9" w:rsidP="00351CE9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  <w:r w:rsidRPr="00351CE9">
              <w:rPr>
                <w:rFonts w:ascii="Arial Narrow" w:hAnsi="Arial Narrow" w:cs="Arial Narrow"/>
                <w:szCs w:val="24"/>
              </w:rPr>
              <w:t xml:space="preserve">c) podiel na zisku (dividenda) vyplácaný zo zisku obchodnej spoločnosti alebo družstva, alebo obdobnej právnickej osoby v zahraničí určeného na rozdelenie osobám, ktoré sa podieľajú na ich základnom imaní alebo členom štatutárneho a dozorného orgánu tejto obchodnej spoločnosti alebo družstva, aj keď sú zamestnancami tejto obchodnej spoločnosti alebo družstva, vyrovnací podiel, podiel na likvidačnom zostatku </w:t>
            </w:r>
            <w:r w:rsidRPr="00351CE9">
              <w:rPr>
                <w:rFonts w:ascii="Arial Narrow" w:hAnsi="Arial Narrow" w:cs="Arial Narrow"/>
                <w:b/>
                <w:szCs w:val="24"/>
              </w:rPr>
              <w:t>tejto</w:t>
            </w:r>
            <w:r>
              <w:rPr>
                <w:rFonts w:ascii="Arial Narrow" w:hAnsi="Arial Narrow" w:cs="Arial Narrow"/>
                <w:szCs w:val="24"/>
              </w:rPr>
              <w:t xml:space="preserve"> </w:t>
            </w:r>
            <w:r w:rsidRPr="00351CE9">
              <w:rPr>
                <w:rFonts w:ascii="Arial Narrow" w:hAnsi="Arial Narrow" w:cs="Arial Narrow"/>
                <w:szCs w:val="24"/>
              </w:rPr>
              <w:t>obchodnej spoločnosti alebo družstva a podiel na výsledku podnikania vyplácaný tichému spoločníkovi</w:t>
            </w:r>
            <w:r>
              <w:rPr>
                <w:rFonts w:ascii="Arial Narrow" w:hAnsi="Arial Narrow" w:cs="Arial Narrow"/>
                <w:szCs w:val="24"/>
              </w:rPr>
              <w:t xml:space="preserve"> okrem</w:t>
            </w:r>
            <w:r w:rsidRPr="00351CE9">
              <w:rPr>
                <w:rFonts w:ascii="Arial Narrow" w:hAnsi="Arial Narrow" w:cs="Arial Narrow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szCs w:val="24"/>
              </w:rPr>
              <w:t>podielu na výsledku podnikania vyplácaného tichému spoločníkovi verejnej obchodnej spoločnosti,</w:t>
            </w:r>
            <w:r w:rsidRPr="00351CE9">
              <w:rPr>
                <w:rFonts w:ascii="Arial Narrow" w:hAnsi="Arial Narrow" w:cs="Arial Narrow"/>
                <w:szCs w:val="24"/>
              </w:rPr>
              <w:t xml:space="preserve"> podielu na zisku spoločníka verejnej obchodnej spoločnosti a komplementára komanditnej spoločnosti</w:t>
            </w:r>
            <w:r>
              <w:rPr>
                <w:rFonts w:ascii="Arial Narrow" w:hAnsi="Arial Narrow" w:cs="Arial Narrow"/>
                <w:b/>
                <w:szCs w:val="24"/>
              </w:rPr>
              <w:t>,</w:t>
            </w:r>
            <w:r w:rsidRPr="00351CE9">
              <w:rPr>
                <w:rFonts w:ascii="Arial Narrow" w:hAnsi="Arial Narrow" w:cs="Arial Narrow"/>
                <w:szCs w:val="24"/>
              </w:rPr>
              <w:t xml:space="preserve"> </w:t>
            </w:r>
            <w:r w:rsidRPr="00351CE9">
              <w:rPr>
                <w:rFonts w:ascii="Arial Narrow" w:hAnsi="Arial Narrow" w:cs="Arial Narrow"/>
                <w:strike/>
                <w:szCs w:val="24"/>
              </w:rPr>
              <w:t>a okrem</w:t>
            </w:r>
            <w:r w:rsidRPr="00351CE9">
              <w:rPr>
                <w:rFonts w:ascii="Arial Narrow" w:hAnsi="Arial Narrow" w:cs="Arial Narrow"/>
                <w:szCs w:val="24"/>
              </w:rPr>
              <w:t xml:space="preserve"> podielu spoločníka verejnej obchodnej spoločnosti a komplementára komanditnej spoločnosti na likvidačnom zostatku pri likvidácii spoločnosti a vyrovnacieho podielu pri zániku účasti spoločníka vo verejnej obchodnej spoločnosti alebo pri zániku účasti komplementára v komanditnej spoločnosti,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4B6D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  <w:r w:rsidR="00C542C8"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  <w:p w:rsidR="001279B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1279B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1279B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  <w:p w:rsidR="001279B4" w:rsidRPr="005B779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4B6D" w:rsidRPr="005B779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315D" w:rsidRPr="00D27614" w:rsidP="00026115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84B6D" w:rsidRPr="005B7794" w:rsidP="00026115">
            <w:pPr>
              <w:pStyle w:val="Heading1"/>
              <w:jc w:val="left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</w:tbl>
    <w:p w:rsidR="00D27614" w:rsidRPr="005B7794" w:rsidP="00D27614">
      <w:pPr>
        <w:autoSpaceDE/>
        <w:autoSpaceDN/>
        <w:ind w:left="360"/>
        <w:rPr>
          <w:rFonts w:ascii="Arial Narrow" w:hAnsi="Arial Narrow" w:cs="Arial Narrow"/>
          <w:sz w:val="20"/>
          <w:szCs w:val="24"/>
        </w:rPr>
      </w:pPr>
    </w:p>
    <w:p w:rsidR="003D3D63" w:rsidRPr="005B7794">
      <w:pPr>
        <w:autoSpaceDE/>
        <w:autoSpaceDN/>
        <w:rPr>
          <w:rFonts w:ascii="Arial Narrow" w:hAnsi="Arial Narrow" w:cs="Arial Narrow"/>
          <w:sz w:val="20"/>
          <w:szCs w:val="24"/>
        </w:rPr>
      </w:pPr>
      <w:r w:rsidRPr="005B7794">
        <w:rPr>
          <w:rFonts w:ascii="Arial Narrow" w:hAnsi="Arial Narrow" w:cs="Arial Narrow"/>
          <w:sz w:val="20"/>
          <w:szCs w:val="24"/>
        </w:rPr>
        <w:t>LEGENDA:</w:t>
      </w:r>
    </w:p>
    <w:tbl>
      <w:tblPr>
        <w:tblStyle w:val="TableNormal"/>
        <w:tblW w:w="15730" w:type="dxa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4140"/>
        <w:gridCol w:w="2410"/>
        <w:gridCol w:w="6770"/>
      </w:tblGrid>
      <w:tr>
        <w:tblPrEx>
          <w:tblW w:w="15730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5B7794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V stĺpci (1):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Č – článok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O – odsek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V – veta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P – písmeno (číslo)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5B7794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V stĺpci (3):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N – bežná transpozícia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O – transpozícia s možnosťou voľby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D – transpozícia podľa úvahy (dobrovoľná)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5B7794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V stĺpci (5):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Č – článok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§ – paragraf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O – odsek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V – veta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P – písmeno (číslo)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5B7794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V stĺpci (7):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Ú – úplná zhoda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Č – čiastočná zhoda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R – rozpor (v príp., že zatiaľ nedošlo k transp., ale príde k nej v budúcnosti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="000915BB">
              <w:rPr>
                <w:rFonts w:ascii="Arial Narrow" w:hAnsi="Arial Narrow" w:cs="Arial Narrow"/>
                <w:sz w:val="20"/>
                <w:szCs w:val="24"/>
              </w:rPr>
              <w:t>n.a.</w:t>
            </w:r>
            <w:r w:rsidRPr="005B7794">
              <w:rPr>
                <w:rFonts w:ascii="Arial Narrow" w:hAnsi="Arial Narrow" w:cs="Arial Narrow"/>
                <w:sz w:val="20"/>
                <w:szCs w:val="24"/>
              </w:rPr>
              <w:t xml:space="preserve"> – neaplikovateľné</w:t>
            </w:r>
          </w:p>
        </w:tc>
      </w:tr>
    </w:tbl>
    <w:p w:rsidR="003D3D63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5B7794">
            <w:pPr>
              <w:pStyle w:val="Heading2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Zoznam všeobecne záväzných právnych predpisov preberajúcich smernicu: (uveďte číslo smernice)</w:t>
            </w:r>
          </w:p>
          <w:p w:rsidR="003D3D63" w:rsidRPr="005B7794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5B7794">
            <w:pPr>
              <w:spacing w:before="120"/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5B7794">
            <w:pPr>
              <w:pStyle w:val="Normlny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5B7794">
            <w:pPr>
              <w:numPr>
                <w:numId w:val="10"/>
              </w:num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5B7794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rFonts w:ascii="Arial Narrow" w:hAnsi="Arial Narrow" w:cs="Arial Narrow"/>
                <w:szCs w:val="24"/>
                <w:lang w:eastAsia="sk-SK"/>
              </w:rPr>
            </w:pPr>
          </w:p>
        </w:tc>
      </w:tr>
    </w:tbl>
    <w:p w:rsidR="003D3D63" w:rsidRPr="005B7794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sectPr w:rsidSect="00F54899">
      <w:footerReference w:type="default" r:id="rId4"/>
      <w:pgSz w:w="16838" w:h="11906" w:orient="landscape" w:code="9"/>
      <w:pgMar w:top="851" w:right="851" w:bottom="851" w:left="851" w:header="284" w:footer="284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4F5" w:rsidP="009D2926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7E6926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0444F5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"/>
      </v:shape>
    </w:pict>
  </w:numPicBullet>
  <w:numPicBullet w:numPicBulletId="2">
    <w:pict>
      <v:shape id="_x0000_i1027" type="#_x0000_t75" style="width:3in;height:3in" o:bullet="t" stroked="f">
        <v:imagedata r:id="rId1" o:title=""/>
      </v:shape>
    </w:pict>
  </w:numPicBullet>
  <w:numPicBullet w:numPicBulletId="3">
    <w:pict>
      <v:shape id="_x0000_i1028" type="#_x0000_t75" style="width:3in;height:3in" o:bullet="t" stroked="f">
        <v:imagedata r:id="rId2" o:title=""/>
      </v:shape>
    </w:pict>
  </w:numPicBullet>
  <w:numPicBullet w:numPicBulletId="4">
    <w:pict>
      <v:shape id="_x0000_i1029" type="#_x0000_t75" style="width:3in;height:3in" o:bullet="t" stroked="f">
        <v:imagedata r:id="rId2" o:title=""/>
      </v:shape>
    </w:pict>
  </w:numPicBullet>
  <w:numPicBullet w:numPicBulletId="5">
    <w:pict>
      <v:shape id="_x0000_i1030" type="#_x0000_t75" style="width:3in;height:3in" o:bullet="t" stroked="f">
        <v:imagedata r:id="rId2" o:title=""/>
      </v:shape>
    </w:pict>
  </w:numPicBullet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E5AD6"/>
    <w:multiLevelType w:val="multilevel"/>
    <w:tmpl w:val="CF94F5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>
    <w:nsid w:val="13D1616F"/>
    <w:multiLevelType w:val="hybridMultilevel"/>
    <w:tmpl w:val="E534B2D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984025"/>
    <w:multiLevelType w:val="hybridMultilevel"/>
    <w:tmpl w:val="F816F1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EA54D6"/>
    <w:multiLevelType w:val="multilevel"/>
    <w:tmpl w:val="5D3AFEE6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A2C35A4"/>
    <w:multiLevelType w:val="multilevel"/>
    <w:tmpl w:val="0D7CA04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815B0E"/>
    <w:multiLevelType w:val="multilevel"/>
    <w:tmpl w:val="750A66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1D1B5919"/>
    <w:multiLevelType w:val="hybridMultilevel"/>
    <w:tmpl w:val="8E2476D0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725FA"/>
    <w:multiLevelType w:val="multilevel"/>
    <w:tmpl w:val="3DC05B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strike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94BE1"/>
    <w:multiLevelType w:val="multilevel"/>
    <w:tmpl w:val="DB3400A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49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8D36FAA"/>
    <w:multiLevelType w:val="multilevel"/>
    <w:tmpl w:val="43625A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833054"/>
    <w:multiLevelType w:val="multilevel"/>
    <w:tmpl w:val="CF94F5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F3303DF"/>
    <w:multiLevelType w:val="hybridMultilevel"/>
    <w:tmpl w:val="4D6473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656FD0"/>
    <w:multiLevelType w:val="hybridMultilevel"/>
    <w:tmpl w:val="1DA6DA4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8F1794"/>
    <w:multiLevelType w:val="hybridMultilevel"/>
    <w:tmpl w:val="67627F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21">
    <w:nsid w:val="458B165B"/>
    <w:multiLevelType w:val="hybridMultilevel"/>
    <w:tmpl w:val="9F6A496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5B1ADE"/>
    <w:multiLevelType w:val="hybridMultilevel"/>
    <w:tmpl w:val="FAC4CC4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734715"/>
    <w:multiLevelType w:val="multilevel"/>
    <w:tmpl w:val="64C8B0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447E3E"/>
    <w:multiLevelType w:val="hybridMultilevel"/>
    <w:tmpl w:val="ED80F9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D43503"/>
    <w:multiLevelType w:val="multilevel"/>
    <w:tmpl w:val="76B6A1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B67EAB"/>
    <w:multiLevelType w:val="multilevel"/>
    <w:tmpl w:val="3DC05B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strike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20"/>
  </w:num>
  <w:num w:numId="4">
    <w:abstractNumId w:val="20"/>
    <w:lvlOverride w:ilvl="0">
      <w:startOverride w:val="2"/>
    </w:lvlOverride>
  </w:num>
  <w:num w:numId="5">
    <w:abstractNumId w:val="10"/>
  </w:num>
  <w:num w:numId="6">
    <w:abstractNumId w:val="10"/>
    <w:lvlOverride w:ilvl="0">
      <w:startOverride w:val="1"/>
    </w:lvlOverride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24"/>
  </w:num>
  <w:num w:numId="12">
    <w:abstractNumId w:val="2"/>
  </w:num>
  <w:num w:numId="13">
    <w:abstractNumId w:val="23"/>
  </w:num>
  <w:num w:numId="14">
    <w:abstractNumId w:val="1"/>
  </w:num>
  <w:num w:numId="15">
    <w:abstractNumId w:val="14"/>
  </w:num>
  <w:num w:numId="16">
    <w:abstractNumId w:val="28"/>
  </w:num>
  <w:num w:numId="17">
    <w:abstractNumId w:val="9"/>
  </w:num>
  <w:num w:numId="18">
    <w:abstractNumId w:val="15"/>
  </w:num>
  <w:num w:numId="19">
    <w:abstractNumId w:val="13"/>
  </w:num>
  <w:num w:numId="20">
    <w:abstractNumId w:val="7"/>
  </w:num>
  <w:num w:numId="21">
    <w:abstractNumId w:val="29"/>
  </w:num>
  <w:num w:numId="22">
    <w:abstractNumId w:val="5"/>
  </w:num>
  <w:num w:numId="23">
    <w:abstractNumId w:val="25"/>
  </w:num>
  <w:num w:numId="24">
    <w:abstractNumId w:val="11"/>
  </w:num>
  <w:num w:numId="25">
    <w:abstractNumId w:val="6"/>
  </w:num>
  <w:num w:numId="26">
    <w:abstractNumId w:val="27"/>
  </w:num>
  <w:num w:numId="27">
    <w:abstractNumId w:val="17"/>
  </w:num>
  <w:num w:numId="28">
    <w:abstractNumId w:val="12"/>
  </w:num>
  <w:num w:numId="29">
    <w:abstractNumId w:val="3"/>
  </w:num>
  <w:num w:numId="30">
    <w:abstractNumId w:val="19"/>
  </w:num>
  <w:num w:numId="31">
    <w:abstractNumId w:val="16"/>
  </w:num>
  <w:num w:numId="32">
    <w:abstractNumId w:val="21"/>
  </w:num>
  <w:num w:numId="33">
    <w:abstractNumId w:val="26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D3D63"/>
    <w:rsid w:val="000023B0"/>
    <w:rsid w:val="00002A63"/>
    <w:rsid w:val="00002BDA"/>
    <w:rsid w:val="00026115"/>
    <w:rsid w:val="0003794B"/>
    <w:rsid w:val="000444F5"/>
    <w:rsid w:val="00047735"/>
    <w:rsid w:val="000915BB"/>
    <w:rsid w:val="0009428D"/>
    <w:rsid w:val="000B07A2"/>
    <w:rsid w:val="000B35EC"/>
    <w:rsid w:val="000B4F47"/>
    <w:rsid w:val="000B5D8A"/>
    <w:rsid w:val="000B6EF1"/>
    <w:rsid w:val="000C2ED5"/>
    <w:rsid w:val="0012383C"/>
    <w:rsid w:val="001279B4"/>
    <w:rsid w:val="00135BA5"/>
    <w:rsid w:val="00151F52"/>
    <w:rsid w:val="001A63C2"/>
    <w:rsid w:val="001B7C9F"/>
    <w:rsid w:val="001C0931"/>
    <w:rsid w:val="002141FE"/>
    <w:rsid w:val="00225532"/>
    <w:rsid w:val="00226E45"/>
    <w:rsid w:val="00231B6E"/>
    <w:rsid w:val="0024155C"/>
    <w:rsid w:val="00246401"/>
    <w:rsid w:val="00296D1B"/>
    <w:rsid w:val="002A193A"/>
    <w:rsid w:val="002C0E8E"/>
    <w:rsid w:val="002C1909"/>
    <w:rsid w:val="002D1776"/>
    <w:rsid w:val="002E05E0"/>
    <w:rsid w:val="002E13F3"/>
    <w:rsid w:val="002E27A5"/>
    <w:rsid w:val="002E647D"/>
    <w:rsid w:val="003175DF"/>
    <w:rsid w:val="00323F67"/>
    <w:rsid w:val="00332BB5"/>
    <w:rsid w:val="003345AD"/>
    <w:rsid w:val="00334603"/>
    <w:rsid w:val="00351CE9"/>
    <w:rsid w:val="00351D96"/>
    <w:rsid w:val="003606E7"/>
    <w:rsid w:val="003669DF"/>
    <w:rsid w:val="003678F7"/>
    <w:rsid w:val="00387ADE"/>
    <w:rsid w:val="00391B16"/>
    <w:rsid w:val="003D205F"/>
    <w:rsid w:val="003D3D63"/>
    <w:rsid w:val="003D481D"/>
    <w:rsid w:val="003E3A74"/>
    <w:rsid w:val="004423E1"/>
    <w:rsid w:val="0045460C"/>
    <w:rsid w:val="00472D38"/>
    <w:rsid w:val="004C74B4"/>
    <w:rsid w:val="004D4F94"/>
    <w:rsid w:val="004F5E7E"/>
    <w:rsid w:val="004F6211"/>
    <w:rsid w:val="0050432C"/>
    <w:rsid w:val="00541D35"/>
    <w:rsid w:val="00546F17"/>
    <w:rsid w:val="00570A3F"/>
    <w:rsid w:val="00595F1F"/>
    <w:rsid w:val="005A5846"/>
    <w:rsid w:val="005B551F"/>
    <w:rsid w:val="005B7794"/>
    <w:rsid w:val="005E78C7"/>
    <w:rsid w:val="00611B46"/>
    <w:rsid w:val="00625DB7"/>
    <w:rsid w:val="00654944"/>
    <w:rsid w:val="00662F60"/>
    <w:rsid w:val="00682CCB"/>
    <w:rsid w:val="00684B6D"/>
    <w:rsid w:val="006960E5"/>
    <w:rsid w:val="006B7323"/>
    <w:rsid w:val="006E3D66"/>
    <w:rsid w:val="006E4796"/>
    <w:rsid w:val="006F2660"/>
    <w:rsid w:val="006F7F76"/>
    <w:rsid w:val="00717CB7"/>
    <w:rsid w:val="00730B21"/>
    <w:rsid w:val="007916EC"/>
    <w:rsid w:val="00793E5F"/>
    <w:rsid w:val="00793FCC"/>
    <w:rsid w:val="0079415C"/>
    <w:rsid w:val="007B06A5"/>
    <w:rsid w:val="007C26B3"/>
    <w:rsid w:val="007C3818"/>
    <w:rsid w:val="007E2009"/>
    <w:rsid w:val="007E6926"/>
    <w:rsid w:val="007F122C"/>
    <w:rsid w:val="0088616E"/>
    <w:rsid w:val="008A581E"/>
    <w:rsid w:val="008D20CE"/>
    <w:rsid w:val="008D7203"/>
    <w:rsid w:val="008E24A6"/>
    <w:rsid w:val="008F4668"/>
    <w:rsid w:val="0091707B"/>
    <w:rsid w:val="00921C09"/>
    <w:rsid w:val="0097725F"/>
    <w:rsid w:val="009B4921"/>
    <w:rsid w:val="009C18A1"/>
    <w:rsid w:val="009C584E"/>
    <w:rsid w:val="009D2926"/>
    <w:rsid w:val="009D6DE8"/>
    <w:rsid w:val="009E21EE"/>
    <w:rsid w:val="009F20B4"/>
    <w:rsid w:val="00A0315D"/>
    <w:rsid w:val="00A14CD5"/>
    <w:rsid w:val="00A4045D"/>
    <w:rsid w:val="00A6039C"/>
    <w:rsid w:val="00A71674"/>
    <w:rsid w:val="00A76C56"/>
    <w:rsid w:val="00A93C3B"/>
    <w:rsid w:val="00AA7628"/>
    <w:rsid w:val="00B1026A"/>
    <w:rsid w:val="00B13508"/>
    <w:rsid w:val="00B56543"/>
    <w:rsid w:val="00B72456"/>
    <w:rsid w:val="00B7478E"/>
    <w:rsid w:val="00B7546C"/>
    <w:rsid w:val="00BA2374"/>
    <w:rsid w:val="00BF5555"/>
    <w:rsid w:val="00BF6CF8"/>
    <w:rsid w:val="00C02A27"/>
    <w:rsid w:val="00C066E5"/>
    <w:rsid w:val="00C35B95"/>
    <w:rsid w:val="00C4192F"/>
    <w:rsid w:val="00C542C8"/>
    <w:rsid w:val="00C64193"/>
    <w:rsid w:val="00CA12BA"/>
    <w:rsid w:val="00CD5505"/>
    <w:rsid w:val="00CD7F5E"/>
    <w:rsid w:val="00CE0DD7"/>
    <w:rsid w:val="00D2314E"/>
    <w:rsid w:val="00D27614"/>
    <w:rsid w:val="00D549F9"/>
    <w:rsid w:val="00D75346"/>
    <w:rsid w:val="00D755B7"/>
    <w:rsid w:val="00D8481E"/>
    <w:rsid w:val="00D9449B"/>
    <w:rsid w:val="00DB5318"/>
    <w:rsid w:val="00DC0D66"/>
    <w:rsid w:val="00DC328B"/>
    <w:rsid w:val="00DD67AD"/>
    <w:rsid w:val="00DE4559"/>
    <w:rsid w:val="00E10C48"/>
    <w:rsid w:val="00E1289B"/>
    <w:rsid w:val="00E52D41"/>
    <w:rsid w:val="00E60184"/>
    <w:rsid w:val="00E703F6"/>
    <w:rsid w:val="00E86173"/>
    <w:rsid w:val="00E93E30"/>
    <w:rsid w:val="00ED450F"/>
    <w:rsid w:val="00EE4CCE"/>
    <w:rsid w:val="00F35F01"/>
    <w:rsid w:val="00F45343"/>
    <w:rsid w:val="00F54899"/>
    <w:rsid w:val="00F66EF8"/>
    <w:rsid w:val="00F732BE"/>
    <w:rsid w:val="00F748F4"/>
    <w:rsid w:val="00F81BBC"/>
    <w:rsid w:val="00F840F0"/>
    <w:rsid w:val="00FA1F07"/>
    <w:rsid w:val="00FC24DE"/>
    <w:rsid w:val="00FD3A37"/>
    <w:rsid w:val="00FE1DB9"/>
    <w:rsid w:val="00FE50E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spacing w:before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autoSpaceDE/>
      <w:autoSpaceDN/>
      <w:jc w:val="left"/>
    </w:pPr>
    <w:rPr>
      <w:rFonts w:ascii="Tahoma" w:hAnsi="Tahoma" w:cs="Tahoma"/>
      <w:sz w:val="16"/>
    </w:rPr>
  </w:style>
  <w:style w:type="paragraph" w:styleId="BodyText3">
    <w:name w:val="Body Text 3"/>
    <w:basedOn w:val="Normal"/>
    <w:uiPriority w:val="99"/>
    <w:pPr>
      <w:spacing w:line="240" w:lineRule="atLeast"/>
      <w:jc w:val="both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jc w:val="center"/>
    </w:pPr>
    <w:rPr>
      <w:sz w:val="2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lang w:eastAsia="en-US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  <w:rsid w:val="00F54899"/>
    <w:rPr>
      <w:sz w:val="18"/>
    </w:rPr>
  </w:style>
  <w:style w:type="character" w:styleId="CommentReference">
    <w:name w:val="annotation reference"/>
    <w:basedOn w:val="DefaultParagraphFont"/>
    <w:uiPriority w:val="99"/>
    <w:semiHidden/>
    <w:rsid w:val="00DE4559"/>
    <w:rPr>
      <w:sz w:val="16"/>
    </w:rPr>
  </w:style>
  <w:style w:type="paragraph" w:styleId="BodyTextIndent2">
    <w:name w:val="Body Text Indent 2"/>
    <w:basedOn w:val="Normal"/>
    <w:uiPriority w:val="99"/>
    <w:rsid w:val="003678F7"/>
    <w:pPr>
      <w:autoSpaceDE/>
      <w:autoSpaceDN/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uiPriority w:val="99"/>
    <w:rsid w:val="00E60184"/>
    <w:pPr>
      <w:autoSpaceDE/>
      <w:autoSpaceDN/>
      <w:spacing w:after="120"/>
      <w:ind w:left="283"/>
      <w:jc w:val="left"/>
    </w:pPr>
    <w:rPr>
      <w:sz w:val="16"/>
    </w:rPr>
  </w:style>
  <w:style w:type="paragraph" w:customStyle="1" w:styleId="Normlnywebov6">
    <w:name w:val="Normálny (webový)6"/>
    <w:basedOn w:val="Normal"/>
    <w:uiPriority w:val="99"/>
    <w:rsid w:val="00ED450F"/>
    <w:pPr>
      <w:autoSpaceDE/>
      <w:autoSpaceDN/>
      <w:spacing w:before="167" w:after="167"/>
      <w:ind w:left="753" w:right="586"/>
      <w:jc w:val="left"/>
    </w:pPr>
    <w:rPr>
      <w:sz w:val="22"/>
    </w:rPr>
  </w:style>
  <w:style w:type="paragraph" w:customStyle="1" w:styleId="Normlnywebov8">
    <w:name w:val="Normálny (webový)8"/>
    <w:basedOn w:val="Normal"/>
    <w:uiPriority w:val="99"/>
    <w:rsid w:val="0079415C"/>
    <w:pPr>
      <w:autoSpaceDE/>
      <w:autoSpaceDN/>
      <w:spacing w:before="84" w:after="84"/>
      <w:ind w:left="251" w:right="251"/>
      <w:jc w:val="left"/>
    </w:pPr>
    <w:rPr>
      <w:sz w:val="22"/>
    </w:rPr>
  </w:style>
  <w:style w:type="paragraph" w:styleId="NormalWeb">
    <w:name w:val="Normal (Web)"/>
    <w:basedOn w:val="Normal"/>
    <w:uiPriority w:val="99"/>
    <w:rsid w:val="002141FE"/>
    <w:pPr>
      <w:autoSpaceDE/>
      <w:autoSpaceDN/>
      <w:spacing w:before="150" w:after="150"/>
      <w:ind w:left="675" w:right="525"/>
      <w:jc w:val="left"/>
    </w:pPr>
    <w:rPr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652</Words>
  <Characters>3722</Characters>
  <Application>Microsoft Office Word</Application>
  <DocSecurity>0</DocSecurity>
  <Lines>0</Lines>
  <Paragraphs>0</Paragraphs>
  <ScaleCrop>false</ScaleCrop>
  <Company>ÚV SR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;</cp:lastModifiedBy>
  <cp:revision>2</cp:revision>
  <cp:lastPrinted>2007-08-22T15:48:00Z</cp:lastPrinted>
  <dcterms:created xsi:type="dcterms:W3CDTF">2007-09-28T08:30:00Z</dcterms:created>
  <dcterms:modified xsi:type="dcterms:W3CDTF">2007-09-28T08:30:00Z</dcterms:modified>
</cp:coreProperties>
</file>