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NÁRODNÁ  RADA  SLOVENSKEJ  REPUBLIKY</w:t>
      </w:r>
    </w:p>
    <w:p>
      <w:pPr>
        <w:pStyle w:val="BodyText3"/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volebné obdobie</w:t>
      </w: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431</w:t>
      </w: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szCs w:val="24"/>
        </w:rPr>
      </w:pPr>
    </w:p>
    <w:p>
      <w:pPr>
        <w:pStyle w:val="BodyText3"/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VLÁDNY  NÁVRH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Zákon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 ................................2007,</w:t>
      </w:r>
    </w:p>
    <w:p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cs-CZ"/>
        </w:rPr>
      </w:pPr>
      <w:r>
        <w:rPr>
          <w:rFonts w:ascii="Times New Roman" w:hAnsi="Times New Roman" w:cs="Times New Roman"/>
          <w:b/>
          <w:sz w:val="28"/>
          <w:szCs w:val="24"/>
        </w:rPr>
        <w:t>ktorým sa mení a dopĺňa zákon Slovenskej národnej rady č. 310/1992 Zb. o stavebnom sporení v znení neskorších predpisov</w:t>
      </w:r>
    </w:p>
    <w:p>
      <w:pPr>
        <w:spacing w:before="120"/>
        <w:rPr>
          <w:rFonts w:ascii="Times New Roman" w:hAnsi="Times New Roman" w:cs="Times New Roman"/>
          <w:szCs w:val="24"/>
          <w:lang w:val="cs-CZ"/>
        </w:rPr>
      </w:pPr>
    </w:p>
    <w:p>
      <w:pPr>
        <w:spacing w:before="12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>
      <w:pPr>
        <w:spacing w:before="120"/>
        <w:ind w:firstLine="708"/>
        <w:rPr>
          <w:rFonts w:ascii="Times New Roman" w:hAnsi="Times New Roman" w:cs="Times New Roman"/>
          <w:szCs w:val="24"/>
        </w:rPr>
      </w:pPr>
    </w:p>
    <w:p>
      <w:pPr>
        <w:pStyle w:val="Heading5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</w:rPr>
        <w:t>Čl. I</w:t>
      </w:r>
    </w:p>
    <w:p>
      <w:pPr>
        <w:ind w:firstLine="708"/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Slovenskej národnej rady č. 310/1992 Zb. o stavebnom sporení v znení zákona Národnej rady Slovenskej republiky č. 386/1996 Z. z., zákona č. 242/1999 Z. z., zákona č. 443/2000 Z. z., zákona č. 677/2002 Z. z., zákona č. 165/2003 Z. z., zákona č. 654/2004 Z. z.  a zákona č. 624/2005 Z. z. sa mení a dopĺňa takto: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 § 1 odsek 1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>
        <w:rPr>
          <w:rFonts w:ascii="Times New Roman" w:hAnsi="Times New Roman" w:cs="Times New Roman"/>
          <w:color w:val="000000"/>
          <w:sz w:val="24"/>
          <w:szCs w:val="24"/>
        </w:rPr>
        <w:t>Účelom stavebného sporenia je financovanie bytových potrieb a potrieb súvisiacich</w:t>
        <w:br/>
        <w:t>s bývaním na území Slovenskej republiky (ďalej len "stavebný účel") uvedených v § 11 ods. 1  z účelovo vytvorených finančných prostriedkov vo fonde stavebného sporenia.“.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§ 1 ods. 2 písm. a) sa na konci pripájajú tieto slová: „alebo v prospech stavebných sporiteľov“.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 § 1 ods. 2 písm. d) sa za slovo „splátky“ vkladá slovo „istiny“.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 § 2 ods. 1 písm. a) sa na konci pripájajú tieto slová: „alebo v prospech stavebných sporiteľov“.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 § 2 ods. 1 písm. b) sa za slovo „sporiteľom“ vkladajú slová „zo zdrojov fondu stavebného sporenia na stavebné účely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uvedené v § 11 ods. 1</w:t>
      </w:r>
      <w:r>
        <w:rPr>
          <w:rFonts w:ascii="Times New Roman" w:hAnsi="Times New Roman" w:cs="Times New Roman"/>
          <w:sz w:val="24"/>
          <w:szCs w:val="24"/>
        </w:rPr>
        <w:t>“.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V § 2 odsek 3 znie: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„(3) V bankovom povolení sa môže stavebnej sporiteľni okrem vykonávania stavebného sporenia podľa odseku 1 povoliť aj vykonávanie týchto bankových činností: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poskytovanie záruk,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 prijímanie vkladov od bánk, zahraničných bánk, pobočiek zahraničných bánk a finančných inštitúcií</w:t>
      </w:r>
      <w:r>
        <w:rPr>
          <w:rFonts w:ascii="Times New Roman" w:hAnsi="Times New Roman" w:cs="Times New Roman"/>
          <w:szCs w:val="24"/>
          <w:vertAlign w:val="superscript"/>
        </w:rPr>
        <w:t>1)</w:t>
      </w:r>
      <w:r>
        <w:rPr>
          <w:rFonts w:ascii="Times New Roman" w:hAnsi="Times New Roman" w:cs="Times New Roman"/>
          <w:szCs w:val="24"/>
        </w:rPr>
        <w:t>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investovanie na vlastný účet a obchodovanie na vlastný účet s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finančnými nástrojmi peňažného trhu</w:t>
      </w:r>
      <w:r>
        <w:rPr>
          <w:rFonts w:ascii="Times New Roman" w:hAnsi="Times New Roman" w:cs="Times New Roman"/>
          <w:szCs w:val="24"/>
          <w:vertAlign w:val="superscript"/>
        </w:rPr>
        <w:t>1a)</w:t>
      </w:r>
      <w:r>
        <w:rPr>
          <w:rFonts w:ascii="Times New Roman" w:hAnsi="Times New Roman" w:cs="Times New Roman"/>
          <w:szCs w:val="24"/>
        </w:rPr>
        <w:t xml:space="preserve"> v slovenskej mene a v cudzej mene,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finančnými nástrojmi kapitálového trhu</w:t>
      </w:r>
      <w:r>
        <w:rPr>
          <w:rFonts w:ascii="Times New Roman" w:hAnsi="Times New Roman" w:cs="Times New Roman"/>
          <w:szCs w:val="24"/>
          <w:vertAlign w:val="superscript"/>
        </w:rPr>
        <w:t>1b)</w:t>
      </w:r>
      <w:r>
        <w:rPr>
          <w:rFonts w:ascii="Times New Roman" w:hAnsi="Times New Roman" w:cs="Times New Roman"/>
          <w:szCs w:val="24"/>
        </w:rPr>
        <w:t xml:space="preserve"> v slovenskej mene a v cudzej mene,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 poskytovanie úverov zo zdrojov mimo fondu stavebného sporenia na stavebné účely</w:t>
      </w:r>
      <w:r>
        <w:rPr>
          <w:rFonts w:ascii="Times New Roman" w:hAnsi="Times New Roman" w:cs="Times New Roman"/>
          <w:color w:val="000000"/>
          <w:szCs w:val="24"/>
        </w:rPr>
        <w:t xml:space="preserve"> uvedené v § 11 ods. 1</w:t>
      </w:r>
      <w:r>
        <w:rPr>
          <w:rFonts w:ascii="Times New Roman" w:hAnsi="Times New Roman" w:cs="Times New Roman"/>
          <w:szCs w:val="24"/>
        </w:rPr>
        <w:t>,</w:t>
      </w:r>
    </w:p>
    <w:p>
      <w:pPr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>e) poskytovanie spotrebiteľských úverov</w:t>
      </w:r>
      <w:r>
        <w:rPr>
          <w:rFonts w:ascii="Times New Roman" w:hAnsi="Times New Roman" w:cs="Times New Roman"/>
          <w:szCs w:val="24"/>
          <w:vertAlign w:val="superscript"/>
        </w:rPr>
        <w:t>2)</w:t>
      </w:r>
      <w:r>
        <w:rPr>
          <w:rFonts w:ascii="Times New Roman" w:hAnsi="Times New Roman" w:cs="Times New Roman"/>
          <w:szCs w:val="24"/>
        </w:rPr>
        <w:t xml:space="preserve"> zo zdrojov mimo fondu stavebného sporenia na financovanie vybavenia domácnosti,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tuzemské prevody peňažných prostriedkov a cezhraničné prevody peňažných prostriedkov,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g) poskytovanie poradenských služieb v oblasti predmetu podnikania stavebnej sporiteľne,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h) finančné sprostredkovanie,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i) poskytovanie bankových informácií,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j) vydávanie cenných papierov, účasť na vydávaní cenných papierov a poskytovanie súvisiacich služieb.”.</w:t>
      </w:r>
    </w:p>
    <w:p>
      <w:pPr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Zákon č. 258/2001 Z. z. o spotrebiteľských úveroch a o zmene a doplnení zákona Slovenskej národnej rady č. 71/1986 Zb. o Slovenskej obchodnej inšpekcii v znení neskorších predpisov, v znení zákona č. 264/2006 Z. z.“.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§ 4 znie: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4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Stavebným sporiteľom môže byť</w:t>
      </w:r>
    </w:p>
    <w:p>
      <w:pPr>
        <w:pStyle w:val="BodyTextIndent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fyzická osoba</w:t>
      </w:r>
      <w:r>
        <w:rPr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ktorá uzatvorí so stavebnou sporiteľňou zmluvu o stavebnom sporení alebo v prospech ktorej je uzatvorená zmluva o stavebnom sporení,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spoločenstvo vlastníkov bytov zriadené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>, ktoré uzatvorí so stavebnou sporiteľňou zmluvu o stavebnom sporení alebo v prospech ktorého je uzatvorená zmluva o stavebnom sporení,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iná právnická osoba ako je uvedená v písmene b), ktorá uzatvorí so stavebnou sporiteľňou zmluvu o stavebnom sporení alebo v prospech ktorej je uzatvorená zmluva o stavebnom sporení.“.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Zákon Národnej rady Slovenskej republiky č. 182/1993 Z. z. o vlastníctve bytov a nebytových priestorov v znení neskorších predpisov.“.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 § 5a ods. 3 sa odkaz 3a nahrádza odkazom 3aa.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3a a 3aa znejú: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3a)</w:t>
      </w:r>
      <w:r>
        <w:rPr>
          <w:rFonts w:ascii="Times New Roman" w:hAnsi="Times New Roman" w:cs="Times New Roman"/>
          <w:sz w:val="24"/>
          <w:szCs w:val="24"/>
        </w:rPr>
        <w:tab/>
        <w:t>§ 8 až 16 zákona Národnej rady Slovenskej republiky č. 10/1996 Z. z. o kontrole v štátnej správe v znení zákona č. 502/2001 Z. z.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3aa) </w:t>
        <w:tab/>
      </w:r>
      <w:r>
        <w:rPr>
          <w:rFonts w:ascii="Times New Roman" w:hAnsi="Times New Roman" w:cs="Times New Roman"/>
          <w:sz w:val="24"/>
          <w:szCs w:val="24"/>
        </w:rPr>
        <w:t xml:space="preserve"> Zákon č. 71/1967 Zb. o správnom konaní (správny poriadok) v znení neskorších predpisov.“.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V § 6 ods. 1 sa za slová „písm. a)“ vkladajú slová „a b)“.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 § 6 ods. 2 úvodnej vete sa za slovo „desiatich“ vkladá slovo „kalendárnych“.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 §</w:t>
      </w:r>
      <w:r>
        <w:rPr>
          <w:rFonts w:ascii="Symbol" w:eastAsia="Times New Roman" w:hAnsi="Symbol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>6 ods.</w:t>
      </w:r>
      <w:r>
        <w:rPr>
          <w:rFonts w:ascii="Symbol" w:eastAsia="Times New Roman" w:hAnsi="Symbol" w:cs="Times New Roman"/>
          <w:sz w:val="24"/>
          <w:szCs w:val="24"/>
        </w:rPr>
        <w:sym w:font="Symbol" w:char="F020"/>
      </w:r>
      <w:r>
        <w:rPr>
          <w:rFonts w:ascii="Times New Roman" w:hAnsi="Times New Roman" w:cs="Times New Roman"/>
          <w:sz w:val="24"/>
          <w:szCs w:val="24"/>
        </w:rPr>
        <w:t>2 písmeno a)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„a) pri stavebnom sporiteľovi podľa</w:t>
      </w:r>
    </w:p>
    <w:p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§ 4 písm. a) meno, priezvisko, rodné číslo a adresu trvalého pobytu stavebného sporiteľa; ak nemá pridelené rodné číslo, predkladá sa dátum narodenia, </w:t>
      </w:r>
    </w:p>
    <w:p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§ 4 písm. b) názov, sídlo a identifikačné číslo spoločenstva vlastníkov bytov,“.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V § 6 odsek 3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Stavebné sporiteľne sú na účely podľa odseku 1 povinné ročne vždy do 15 kalendárnych dní po uplynutí kalendárneho roka predkladať ministerstvu údaje o nárokoch na štátnu prémiu za uplynulý kalendárny rok.“.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V § 6 ods. 4 sa slovo „polroku“ nahrádza slovami „kalendárnom roku“, vypúšťajú sa slová „v termíne“ a za číslo „15“ sa vkladá slovo „kalendárnych“.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V § 6 ods. 5 sa za slovo „sporení“ vkladajú slová „za rovnaké obdobie“ a slová „na ktoré“ sa nahrádzajú slovami „za ktoré“.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V § 7 sa odsek 1 dopĺňa písmenami f) a g), ktoré znejú: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„f) bližšiu špecifikáciu stavebných účelov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uvedených v § 11 ods. 1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spôsob a lehoty preukazovania použitia prostriedkov získaných stavebným sporením na stavebné účely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uvedené v § 11 ods. 1</w:t>
      </w:r>
      <w:r>
        <w:rPr>
          <w:rFonts w:ascii="Times New Roman" w:hAnsi="Times New Roman" w:cs="Times New Roman"/>
          <w:sz w:val="24"/>
          <w:szCs w:val="24"/>
        </w:rPr>
        <w:t>.“.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V § 7 ods. 3 písmeno b)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 úrokovú sadzbu stavebného úveru,“.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V § 8 sa vypúšťajú odseky 1 a 7.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2 až 6 a 8 sa označujú ako odseky 1 až 6.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18. V § 8 ods. 1 písm. a) sa na konci pripájajú tieto slová: „</w:t>
      </w:r>
      <w:r>
        <w:rPr>
          <w:rFonts w:ascii="Times New Roman" w:hAnsi="Times New Roman" w:cs="Times New Roman"/>
          <w:color w:val="000000"/>
          <w:szCs w:val="24"/>
        </w:rPr>
        <w:t>alebo v prospech stavebného sporiteľa“.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19. V § 8 odsek 3 znie: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„(3) Stavebný sporiteľ môže uplatniť nárok na stavebný úver, sporiť ďalej alebo vklad vybrať a použiť ho bez nároku na stavebný úver. Stavebný sporiteľ podľa § 4 písm. b) je povinný previesť tento vklad do fondu prevádzky, údržby a opráv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3)</w:t>
      </w:r>
      <w:r>
        <w:rPr>
          <w:rFonts w:ascii="Times New Roman" w:hAnsi="Times New Roman" w:cs="Times New Roman"/>
          <w:color w:val="000000"/>
          <w:szCs w:val="24"/>
        </w:rPr>
        <w:t>.“.</w:t>
      </w: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20. V § 8 ods. 4 až 6 sa slová „§ 4 písm. b)“ nahrádzajú slovami „§ 4 písm. c)“.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V § 10 ods. 1 sa na konci pripájajú tieto slová: „a b)“.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V § 10 ods. 3 sa číslo „60“ nahrádza slovami „90 kalendárnych“.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§ 10 sa dopĺňa odsekom 7, ktorý znie: </w:t>
      </w:r>
    </w:p>
    <w:p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„(7) Ak ide o stavebného sporiteľa podľa § 4 písm. b), počet nárokov na štátnu prémiu za kalendárny rok na jednu zmluvu o stavebnom sporení sa určuje podielom počtu ním spravovaných bytov a čísla 4 zaokrúhleným na celé číslo nahor.“.</w:t>
      </w:r>
      <w:r>
        <w:rPr>
          <w:rFonts w:ascii="Times New Roman" w:hAnsi="Times New Roman" w:cs="Times New Roman"/>
          <w:i/>
          <w:szCs w:val="24"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V § 10a odseky 2 a 3 znejú: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 Nárok na štátnu prémiu nezaniká, ak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stavebný sporiteľ zruší zmluvu o stavebnom sporení v čase od dvoch do šiestich rokov od jej uzatvorenia a prostriedky získané stavebným sporením preukázateľne použije na stavebné účely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uvedené v § 11 ods. 1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stavebnému sporiteľovi po šiestich rokoch od uzatvorenia zmluvy o stavebnom sporení nebol poskytnutý stavebný úver.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 dôjde k zrušeniu zmluvy o stavebnom sporení v dôsledku smrti alebo invalidity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stavebného sporiteľa uvedeného v § 4 písm. a), nárok na štátnu prémiu nezaniká, pričom  štátna prémia patrí stavebnému sporiteľovi len za obdobie, ktoré končí dňom úmrtia alebo dňom priznania invalidného dôchodku.“.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 znie: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Zákon č. 328/2002 Z. z. o sociálnom zabezpečení policajtov a vojakov a o zmene a doplnení niektorých zákonov v znení neskorších predpisov.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461/2003 Z. z. o sociálnom poistení v znení neskorších predpisov.“. 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 § 10a sa dopĺňa odsekom 4, ktorý znie: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„(4) Ak stavebný sporiteľ nedodrží podmienky podľa odseku 1, je povinný bezodkladne, prostredníctvom stavebnej sporiteľne, vrátiť štátnu prémiu do štátneho rozpočtu.“.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26. V § 10b ods. 1 sa slovo „desiatich“ nahrádza slovami „15 kalendárnych“ a za slovo „predchádzajúci“ sa vkladá slovo „kalendárny“.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27. V § 10b ods. 2 sa za slovo „predchádzajúci“ vkladá slovo „kalendárny“ a za slovo „desiatich“ vkladá slovo „kalendárnych“.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28. § 11 znie:</w:t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11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 Cieľovú sumu, ak jej súčasťou je aj poskytnutý stavebný úver, môže stavebný sporiteľ použiť na tieto stavebné účely: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nadobudnutie vlastníctva bytu, rodinného domu vrátane súvisiacich drobných stavieb</w:t>
      </w:r>
      <w:r>
        <w:rPr>
          <w:rFonts w:ascii="Times New Roman" w:hAnsi="Times New Roman" w:cs="Times New Roman"/>
          <w:szCs w:val="24"/>
          <w:vertAlign w:val="superscript"/>
        </w:rPr>
        <w:t>4b)</w:t>
      </w:r>
      <w:r>
        <w:rPr>
          <w:rFonts w:ascii="Times New Roman" w:hAnsi="Times New Roman" w:cs="Times New Roman"/>
          <w:szCs w:val="24"/>
        </w:rPr>
        <w:t>, bytového domu alebo ich častí,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výstavbu, prístavbu, nadstavbu, vstavbu, stavebné úpravy bytu, rodinného domu vrátane súvisiacich drobných stavieb, bytového domu alebo ich častí,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modernizáciu a obnovu bytu, rodinného domu vrátane súvisiacich drobných stavieb, bytového domu alebo na udržiavacie práce na nich,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 nadobudnutie vlastníctva stavebného pozemku na účel výstavby rodinného domu alebo bytového domu,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nadobudnutie vlastníctva pozemku, na ktorom sa už nachádza rodinný dom alebo bytový dom,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nadobudnutie vlastníctva nebytových priestorov v bytovom dome na účel prestavby nebytových priestorov na byt,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g) prestavbu nebytových priestorov na byt,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h) úhradu podielu bytovému družstvu na účel nadobudnutia bytu,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i) výstavbu alebo nadobudnutie zariadení využívajúcich alternatívne zdroje energie, domových čističiek odpadových vôd, vrátane ich modernizácie, obnovy a udržiavacích prác na nich,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j) prípravu stavebných pozemkov určených na výstavbu rodinných domov a bytových domov vrátane pripojenia na verejné rozvodové siete plynu, vody, elektriny, kanalizácie a iné verejné dopravné a technické vybavenia územia,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k) prípravu a vypracovanie územnej dokumentácie alebo projektovej dokumentácie na stavebné účely uvedené v písmenách b), g), i) a j),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l) získanie energetického certifikátu</w:t>
      </w:r>
      <w:r>
        <w:rPr>
          <w:rFonts w:ascii="Times New Roman" w:hAnsi="Times New Roman" w:cs="Times New Roman"/>
          <w:szCs w:val="24"/>
          <w:vertAlign w:val="superscript"/>
        </w:rPr>
        <w:t>4c)</w:t>
      </w:r>
      <w:r>
        <w:rPr>
          <w:rFonts w:ascii="Times New Roman" w:hAnsi="Times New Roman" w:cs="Times New Roman"/>
          <w:szCs w:val="24"/>
        </w:rPr>
        <w:t xml:space="preserve"> rodinného domu alebo bytového domu,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m) úhradu záväzkov súvisiacich so stavebnými účelmi uvedenými v písmenách a) až l).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Stavebným účelom pre stavebných sporiteľov podľa § 4 písm. a) nemôže byť financovanie verejných rozvodových sietí plynu, vody, elektriny, kanalizácie a iných verejných dopravných a technických vybavení územia, ktorých stavebníkom je právnická osoba.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Stavebným účelom pre stavebných sporiteľov podľa § 4 písm. b) môže byť len obnova, modernizácia alebo stavebné úpravy spoločných častí alebo spoločných zariadení bytového domu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vrátane udržiavacích prác na nich a stavebné účely uvedené v odseku 1 písm. i) a l).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Stavebný sporiteľ podľa § 4 písm. c) nemôže cieľovú sumu podľa odseku 1 použiť na stavebný účel uvedený v odseku 1 písm. h).  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Ak sú súčasťou cieľovej sumy podľa odseku 1 aj vklady od stavebného sporiteľa alebo v prospech stavebného sporiteľa, úroky a štátne prémie pripísané na účet stavebného sporiteľa za obdobie šesť a viac rokov od uzatvorenia zmluvy o stavebnom sporení, tieto vklady, úroky a štátne prémie stavebný sporiteľ nemusí použiť na stavebné účely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uvedené v odseku 1. Stavebný sporiteľ podľa § 4 písm. b) je povinný previesť túto cieľovú sumu do fondu prevádzky, údržby a opráv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color w:val="000000"/>
          <w:sz w:val="24"/>
          <w:szCs w:val="24"/>
        </w:rPr>
        <w:t>Záväzky stavebných sporiteľov vyplývajúce z poskytnutia stavebného úveru musia byť zabezpečené podľa osobitných predpisov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Poznámky pod čiarou k odkazom 4b a 4c znejú:</w:t>
      </w:r>
    </w:p>
    <w:p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4b)</w:t>
      </w:r>
      <w:r>
        <w:rPr>
          <w:rFonts w:ascii="Times New Roman" w:hAnsi="Times New Roman" w:cs="Times New Roman"/>
          <w:sz w:val="24"/>
          <w:szCs w:val="24"/>
        </w:rPr>
        <w:t xml:space="preserve"> § 139b zákona č. 50/1976 Zb. o územnom plánovaní a stavebnom poriadku (stavebný zákon) v znení neskorších predpisov.</w:t>
      </w:r>
    </w:p>
    <w:p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4c)</w:t>
      </w:r>
      <w:r>
        <w:rPr>
          <w:rFonts w:ascii="Times New Roman" w:hAnsi="Times New Roman" w:cs="Times New Roman"/>
          <w:sz w:val="24"/>
          <w:szCs w:val="24"/>
        </w:rPr>
        <w:t xml:space="preserve"> § 7 zákona č. 555/2005 Z. z. o energetickej hospodárnosti budov a o zmene a doplnení niektorých zákonov.“.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29. Za § 13g sa vkladá § 13h, ktorý vrátane nadpisu znie: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left="39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13h</w:t>
      </w:r>
    </w:p>
    <w:p>
      <w:pPr>
        <w:ind w:left="39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Prechodné ustanovenia k úpravám účinným od 1. januára 2008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Stavebné sporiteľne sú povinné prispôsobiť do 30. júna 2008 ustanoveniam tohto zákona svoje právne pomery, ktoré vyplývajú najmä zo zmlúv o stavebnom sporení alebo zmlúv o stavebných úveroch uzatvorených pred 1. januárom 2008. Na náležitosti zmlúv o stavebných úveroch podľa § 2 ods. 3 písm. d) v znení účinnom do 31. decembra 2007 sa vzťahuje § 7 ods. 3.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Stavebné sporiteľne sú povinné prispôsobiť zásady stavebného sporenia a všeobecné obchodné podmienky ustanoveniam tohto zákona do 30. júna 2008.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Bankové povolenie na vykonávanie prevodov peňažných prostriedkov súvisiacich so stavebným sporením, ktoré bolo udelené stavebnej sporiteľni pred 1. januárom 2008 a ktoré je platné k 1. januáru 2008, sa považuje za bankové povolenie podľa tohto zákona na tuzemské prevody peňažných prostriedkov a cezhraničné prevody peňažných prostriedkov. Stavebná sporiteľňa môže začať vykonávať bankové činnosti uvedené v § 2 ods. 3 v znení účinnom od 1. januára 2008, na ktoré pred 1. januárom 2008 nemá udelené bankové povolenie, až po rozšírení bankového povolenia o tieto bankové činnosti podľa osobitného predpisu</w:t>
      </w:r>
      <w:r>
        <w:rPr>
          <w:rFonts w:ascii="Times New Roman" w:hAnsi="Times New Roman" w:cs="Times New Roman"/>
          <w:szCs w:val="24"/>
          <w:vertAlign w:val="superscript"/>
        </w:rPr>
        <w:t>1)</w:t>
      </w:r>
      <w:r>
        <w:rPr>
          <w:rFonts w:ascii="Times New Roman" w:hAnsi="Times New Roman" w:cs="Times New Roman"/>
          <w:szCs w:val="24"/>
        </w:rPr>
        <w:t xml:space="preserve">.“. 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</w:t>
      </w: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Národnej rady Slovenskej republiky sa splnomocňuje, aby v Zbierke zákonov Slovenskej republiky vyhlásil úplné znenie zákona Slovenskej národnej rady č. 310/1992 Zb. o stavebnom sporení, ako vyplýva zo zmien a doplnení vykonaných zákonom Národnej rady Slovenskej republiky č. 386/1996 Z. z., zákonom č. 242/1999 Z. z., zákonom č. 443/2000 Z. z., zákonom č. 677/2002 Z. z., zákonom č. 165/2003 Z. z., zákonom č. 654/2004 Z. z., zákonom č. 624/2005 Z. z. a týmto zákonom.</w:t>
      </w: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III</w:t>
      </w:r>
    </w:p>
    <w:p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januára 2008.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Arial" w:hAnsi="Arial" w:cs="Arial"/>
        <w:sz w:val="16"/>
        <w:szCs w:val="24"/>
      </w:rPr>
    </w:pPr>
  </w:p>
  <w:p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9EA"/>
    <w:multiLevelType w:val="hybridMultilevel"/>
    <w:tmpl w:val="E43A4B8E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">
    <w:nsid w:val="077E23DF"/>
    <w:multiLevelType w:val="hybridMultilevel"/>
    <w:tmpl w:val="634857C4"/>
    <w:lvl w:ilvl="0">
      <w:start w:val="2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">
    <w:nsid w:val="0FF60C5C"/>
    <w:multiLevelType w:val="hybridMultilevel"/>
    <w:tmpl w:val="8CBC8EB4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">
    <w:nsid w:val="1C220B47"/>
    <w:multiLevelType w:val="hybridMultilevel"/>
    <w:tmpl w:val="528A12A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ascii="Arial Narrow" w:eastAsia="Times New Roman" w:hAnsi="Arial Narrow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">
    <w:nsid w:val="1C4A6989"/>
    <w:multiLevelType w:val="hybridMultilevel"/>
    <w:tmpl w:val="CEAE612A"/>
    <w:lvl w:ilvl="0">
      <w:start w:val="1"/>
      <w:numFmt w:val="decimal"/>
      <w:lvlText w:val="%1."/>
      <w:lvlJc w:val="left"/>
      <w:pPr>
        <w:tabs>
          <w:tab w:val="num" w:pos="750"/>
        </w:tabs>
        <w:ind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5">
    <w:nsid w:val="28200F68"/>
    <w:multiLevelType w:val="hybridMultilevel"/>
    <w:tmpl w:val="5EB82F54"/>
    <w:lvl w:ilvl="0">
      <w:start w:val="3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6">
    <w:nsid w:val="2A9D7E70"/>
    <w:multiLevelType w:val="hybridMultilevel"/>
    <w:tmpl w:val="4516C612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7">
    <w:nsid w:val="3BCF26A8"/>
    <w:multiLevelType w:val="hybridMultilevel"/>
    <w:tmpl w:val="4EDA6BA8"/>
    <w:lvl w:ilvl="0">
      <w:start w:val="1"/>
      <w:numFmt w:val="decimal"/>
      <w:lvlText w:val="(%1)"/>
      <w:lvlJc w:val="left"/>
      <w:pPr>
        <w:tabs>
          <w:tab w:val="num" w:pos="75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hanging="180"/>
      </w:pPr>
    </w:lvl>
  </w:abstractNum>
  <w:abstractNum w:abstractNumId="8">
    <w:nsid w:val="3D8D0594"/>
    <w:multiLevelType w:val="hybridMultilevel"/>
    <w:tmpl w:val="587E73C8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9">
    <w:nsid w:val="43EC7110"/>
    <w:multiLevelType w:val="hybridMultilevel"/>
    <w:tmpl w:val="497219D8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0">
    <w:nsid w:val="48D024F4"/>
    <w:multiLevelType w:val="hybridMultilevel"/>
    <w:tmpl w:val="F130608A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1">
    <w:nsid w:val="48D85DA5"/>
    <w:multiLevelType w:val="hybridMultilevel"/>
    <w:tmpl w:val="EE60802C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2">
    <w:nsid w:val="4C4C364E"/>
    <w:multiLevelType w:val="hybridMultilevel"/>
    <w:tmpl w:val="225C6926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13">
    <w:nsid w:val="527F1369"/>
    <w:multiLevelType w:val="hybridMultilevel"/>
    <w:tmpl w:val="AF8059BE"/>
    <w:lvl w:ilvl="0">
      <w:start w:val="14"/>
      <w:numFmt w:val="decimal"/>
      <w:lvlText w:val="%1."/>
      <w:lvlJc w:val="left"/>
      <w:pPr>
        <w:tabs>
          <w:tab w:val="num" w:pos="75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hanging="180"/>
      </w:pPr>
    </w:lvl>
  </w:abstractNum>
  <w:abstractNum w:abstractNumId="14">
    <w:nsid w:val="52BB26D5"/>
    <w:multiLevelType w:val="hybridMultilevel"/>
    <w:tmpl w:val="25EC3D66"/>
    <w:lvl w:ilvl="0">
      <w:start w:val="1"/>
      <w:numFmt w:val="lowerLetter"/>
      <w:lvlText w:val="%1)"/>
      <w:lvlJc w:val="left"/>
      <w:pPr>
        <w:tabs>
          <w:tab w:val="num" w:pos="75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hanging="180"/>
      </w:pPr>
    </w:lvl>
  </w:abstractNum>
  <w:abstractNum w:abstractNumId="15">
    <w:nsid w:val="5D031534"/>
    <w:multiLevelType w:val="hybridMultilevel"/>
    <w:tmpl w:val="F558F3E2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16">
    <w:nsid w:val="63667936"/>
    <w:multiLevelType w:val="hybridMultilevel"/>
    <w:tmpl w:val="1BA02162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7">
    <w:nsid w:val="67057030"/>
    <w:multiLevelType w:val="hybridMultilevel"/>
    <w:tmpl w:val="5DAABB1C"/>
    <w:lvl w:ilvl="0">
      <w:start w:val="12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8">
    <w:nsid w:val="67933EF6"/>
    <w:multiLevelType w:val="hybridMultilevel"/>
    <w:tmpl w:val="EA38F200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19">
    <w:nsid w:val="720D2FBF"/>
    <w:multiLevelType w:val="hybridMultilevel"/>
    <w:tmpl w:val="FF46AB90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0">
    <w:nsid w:val="72E3443D"/>
    <w:multiLevelType w:val="hybridMultilevel"/>
    <w:tmpl w:val="045A5456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21">
    <w:nsid w:val="72E50E33"/>
    <w:multiLevelType w:val="hybridMultilevel"/>
    <w:tmpl w:val="C26C35B4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2">
    <w:nsid w:val="7E124762"/>
    <w:multiLevelType w:val="hybridMultilevel"/>
    <w:tmpl w:val="9C6E956C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"/>
  </w:num>
  <w:num w:numId="10">
    <w:abstractNumId w:val="14"/>
  </w:num>
  <w:num w:numId="11">
    <w:abstractNumId w:val="21"/>
  </w:num>
  <w:num w:numId="12">
    <w:abstractNumId w:val="5"/>
  </w:num>
  <w:num w:numId="13">
    <w:abstractNumId w:val="11"/>
  </w:num>
  <w:num w:numId="14">
    <w:abstractNumId w:val="9"/>
  </w:num>
  <w:num w:numId="15">
    <w:abstractNumId w:val="10"/>
  </w:num>
  <w:num w:numId="16">
    <w:abstractNumId w:val="13"/>
  </w:num>
  <w:num w:numId="17">
    <w:abstractNumId w:val="7"/>
  </w:num>
  <w:num w:numId="18">
    <w:abstractNumId w:val="17"/>
  </w:num>
  <w:num w:numId="19">
    <w:abstractNumId w:val="12"/>
  </w:num>
  <w:num w:numId="20">
    <w:abstractNumId w:val="8"/>
  </w:num>
  <w:num w:numId="21">
    <w:abstractNumId w:val="6"/>
  </w:num>
  <w:num w:numId="22">
    <w:abstractNumId w:val="19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pBdr>
        <w:bottom w:val="single" w:sz="12" w:space="1" w:color="auto"/>
      </w:pBdr>
      <w:jc w:val="center"/>
      <w:outlineLvl w:val="0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rFonts w:ascii="Arial Narrow" w:hAnsi="Arial Narrow" w:cs="Arial Narrow"/>
      <w:b/>
      <w:sz w:val="22"/>
    </w:rPr>
  </w:style>
  <w:style w:type="paragraph" w:styleId="Heading5">
    <w:name w:val="heading 5"/>
    <w:basedOn w:val="Normal"/>
    <w:next w:val="Normal"/>
    <w:uiPriority w:val="99"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both"/>
    </w:pPr>
    <w:rPr>
      <w:rFonts w:ascii="Arial Narrow" w:hAnsi="Arial Narrow" w:cs="Arial Narrow"/>
      <w:sz w:val="22"/>
    </w:rPr>
  </w:style>
  <w:style w:type="paragraph" w:styleId="BodyTextIndent2">
    <w:name w:val="Body Text Indent 2"/>
    <w:basedOn w:val="Normal"/>
    <w:uiPriority w:val="99"/>
    <w:pPr>
      <w:spacing w:after="120"/>
      <w:ind w:firstLine="360"/>
      <w:jc w:val="both"/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uiPriority w:val="99"/>
    <w:pPr>
      <w:jc w:val="center"/>
    </w:pPr>
    <w:rPr>
      <w:rFonts w:ascii="Arial Narrow" w:hAnsi="Arial Narrow" w:cs="Arial Narrow"/>
      <w:b/>
      <w:sz w:val="2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spacing w:after="120" w:line="480" w:lineRule="auto"/>
      <w:jc w:val="left"/>
    </w:pPr>
  </w:style>
  <w:style w:type="paragraph" w:styleId="BodyTextIndent3">
    <w:name w:val="Body Text Indent 3"/>
    <w:basedOn w:val="Normal"/>
    <w:uiPriority w:val="99"/>
    <w:pPr>
      <w:ind w:left="360" w:hanging="36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paragraph" w:styleId="BodyText3">
    <w:name w:val="Body Text 3"/>
    <w:basedOn w:val="Normal"/>
    <w:uiPriority w:val="99"/>
    <w:pPr>
      <w:spacing w:after="120"/>
      <w:jc w:val="both"/>
    </w:pPr>
    <w:rPr>
      <w:sz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6</Pages>
  <Words>1860</Words>
  <Characters>10607</Characters>
  <Application>Microsoft Office Word</Application>
  <DocSecurity>0</DocSecurity>
  <Lines>0</Lines>
  <Paragraphs>0</Paragraphs>
  <ScaleCrop>false</ScaleCrop>
  <Company>MFSR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gdroba</dc:creator>
  <cp:lastModifiedBy>gdroba</cp:lastModifiedBy>
  <cp:revision>8</cp:revision>
  <cp:lastPrinted>2007-09-27T11:57:00Z</cp:lastPrinted>
  <dcterms:created xsi:type="dcterms:W3CDTF">2007-09-25T10:58:00Z</dcterms:created>
  <dcterms:modified xsi:type="dcterms:W3CDTF">2007-09-27T13:02:00Z</dcterms:modified>
</cp:coreProperties>
</file>