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 RADA  SLOVENSKEJ  REPUBLIKY</w:t>
      </w:r>
    </w:p>
    <w:p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</w:rPr>
        <w:t>IV. volebné obdobie</w:t>
      </w:r>
    </w:p>
    <w:p>
      <w:pPr>
        <w:pStyle w:val="Heading3"/>
        <w:spacing w:before="0" w:after="0"/>
        <w:rPr>
          <w:sz w:val="32"/>
        </w:rPr>
      </w:pPr>
    </w:p>
    <w:p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429</w:t>
      </w:r>
    </w:p>
    <w:p>
      <w:pPr>
        <w:pStyle w:val="Heading2"/>
        <w:spacing w:before="12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VLÁDNY NÁVRH</w:t>
      </w:r>
    </w:p>
    <w:p>
      <w:pPr>
        <w:pStyle w:val="Heading2"/>
        <w:spacing w:before="120"/>
        <w:jc w:val="center"/>
        <w:rPr>
          <w:rFonts w:ascii="Times New Roman" w:hAnsi="Times New Roman"/>
          <w:i w:val="0"/>
          <w:caps/>
          <w:color w:val="000000"/>
        </w:rPr>
      </w:pPr>
      <w:r>
        <w:rPr>
          <w:rFonts w:ascii="Times New Roman" w:hAnsi="Times New Roman"/>
          <w:i w:val="0"/>
          <w:color w:val="000000"/>
        </w:rPr>
        <w:t>Zákon</w:t>
      </w:r>
    </w:p>
    <w:p>
      <w:pPr>
        <w:spacing w:before="12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z .................. 2007</w:t>
      </w:r>
    </w:p>
    <w:p>
      <w:pPr>
        <w:spacing w:before="120"/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 podpore kombinovanej výroby založenej na dopyte po využiteľnom teple 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vnútornom trhu s energiou a o zmene a doplnení niektorých zákonov </w:t>
      </w:r>
    </w:p>
    <w:p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>
      <w:pPr>
        <w:pStyle w:val="NormalWeb"/>
        <w:spacing w:before="0" w:beforeAutospacing="0" w:after="0" w:afterAutospacing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</w:t>
      </w:r>
      <w:r>
        <w:rPr>
          <w:rFonts w:ascii="Times New Roman" w:hAnsi="Times New Roman" w:cs="Times New Roman"/>
        </w:rPr>
        <w:t>odná rada Slovenskej republiky sa uzniesla na tomto zákone:</w:t>
      </w:r>
    </w:p>
    <w:p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 úpravy</w:t>
      </w:r>
    </w:p>
    <w:p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Tento zákon ustanovuje</w:t>
      </w:r>
    </w:p>
    <w:p>
      <w:pPr>
        <w:numPr>
          <w:ilvl w:val="0"/>
          <w:numId w:val="1"/>
        </w:numPr>
        <w:tabs>
          <w:tab w:val="left" w:pos="426"/>
          <w:tab w:val="clear" w:pos="700"/>
        </w:tabs>
        <w:ind w:left="426" w:hanging="426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podmienky a spôsob </w:t>
      </w:r>
      <w:r>
        <w:rPr>
          <w:rFonts w:ascii="Times New Roman" w:hAnsi="Times New Roman" w:cs="Times New Roman"/>
        </w:rPr>
        <w:t>podpory vysoko účinnej kombinovanej výroby založenej na dopyte po využiteľnom teple na vnútornom trhu s energiou</w:t>
      </w:r>
      <w:r>
        <w:rPr>
          <w:rFonts w:ascii="Times New Roman" w:hAnsi="Times New Roman" w:cs="Times New Roman"/>
          <w:szCs w:val="28"/>
        </w:rPr>
        <w:t>,</w:t>
      </w:r>
    </w:p>
    <w:p>
      <w:pPr>
        <w:numPr>
          <w:ilvl w:val="0"/>
          <w:numId w:val="1"/>
        </w:numPr>
        <w:tabs>
          <w:tab w:val="left" w:pos="426"/>
          <w:tab w:val="clear" w:pos="700"/>
        </w:tabs>
        <w:ind w:left="426" w:hanging="426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9"/>
        </w:rPr>
        <w:t>podmienky vydania potvrdenia a uznávania potvrdenia o pôvode elektriny vyrobenej  vysoko účinnou kombinovanou výrobou založenou na dopyte po využiteľnom teple na vnútornom trhu s energiou</w:t>
      </w:r>
      <w:r>
        <w:rPr>
          <w:rFonts w:ascii="Times New Roman" w:hAnsi="Times New Roman" w:cs="Times New Roman"/>
          <w:szCs w:val="28"/>
        </w:rPr>
        <w:t>,</w:t>
      </w:r>
    </w:p>
    <w:p>
      <w:pPr>
        <w:numPr>
          <w:ilvl w:val="0"/>
          <w:numId w:val="1"/>
        </w:numPr>
        <w:tabs>
          <w:tab w:val="left" w:pos="426"/>
          <w:tab w:val="clear" w:pos="700"/>
        </w:tabs>
        <w:ind w:left="426" w:hanging="426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pôsobnosť orgánov štátnej správy a práva a povinnosti výrobcov elektriny kombinovanou výrobou a ďalších účastníkov trhu s elektrinou</w:t>
      </w:r>
      <w:r>
        <w:rPr>
          <w:rFonts w:ascii="Times New Roman" w:hAnsi="Times New Roman" w:cs="Times New Roman"/>
        </w:rPr>
        <w:t>, a</w:t>
      </w:r>
    </w:p>
    <w:p>
      <w:pPr>
        <w:numPr>
          <w:ilvl w:val="0"/>
          <w:numId w:val="1"/>
        </w:numPr>
        <w:tabs>
          <w:tab w:val="left" w:pos="426"/>
          <w:tab w:val="clear" w:pos="700"/>
        </w:tabs>
        <w:ind w:left="426" w:hanging="426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ukladanie pokút.</w:t>
      </w:r>
    </w:p>
    <w:p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Základné pojmy</w:t>
      </w:r>
    </w:p>
    <w:p>
      <w:pPr>
        <w:ind w:firstLine="567"/>
        <w:rPr>
          <w:rFonts w:ascii="Times New Roman" w:hAnsi="Times New Roman" w:cs="Times New Roman"/>
        </w:rPr>
      </w:pPr>
    </w:p>
    <w:p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účely tohto zákona sa rozumie</w:t>
      </w:r>
    </w:p>
    <w:p>
      <w:pPr>
        <w:numPr>
          <w:ilvl w:val="0"/>
          <w:numId w:val="2"/>
        </w:numPr>
        <w:tabs>
          <w:tab w:val="left" w:pos="360"/>
          <w:tab w:val="clear" w:pos="1778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kombinovanou výrobou súčasne prebiehajúca výroba tepla a elektriny alebo súčasne prebiehajúca výroba tepla a mechanickej energie alebo súčasne prebiehajúca výroba tepla, elektriny a mechanickej energie v jednom procese, </w:t>
      </w:r>
    </w:p>
    <w:p>
      <w:pPr>
        <w:numPr>
          <w:ilvl w:val="0"/>
          <w:numId w:val="2"/>
        </w:numPr>
        <w:tabs>
          <w:tab w:val="left" w:pos="360"/>
          <w:tab w:val="clear" w:pos="1778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výrobcom elektriny kombinovanou výrobou fyzická osoba alebo právnická osoba, ktorá vyrába elektrinu kombinovanou výrobou, vrátane výroby elektriny na vlastné využ</w:t>
      </w:r>
      <w:r>
        <w:rPr>
          <w:rFonts w:ascii="Times New Roman" w:hAnsi="Times New Roman" w:cs="Times New Roman"/>
        </w:rPr>
        <w:t>itie,</w:t>
      </w:r>
    </w:p>
    <w:p>
      <w:pPr>
        <w:pStyle w:val="NormalWeb"/>
        <w:numPr>
          <w:ilvl w:val="0"/>
          <w:numId w:val="2"/>
        </w:numPr>
        <w:tabs>
          <w:tab w:val="left" w:pos="360"/>
          <w:tab w:val="clear" w:pos="1778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elektrinou vyrobenou kombinovanou výrobou elektrina, ktorá bola vyrobená v procese spojenom s výrobou využiteľného tepla, a je na tento proces priamo viazaná,</w:t>
      </w:r>
    </w:p>
    <w:p>
      <w:pPr>
        <w:pStyle w:val="NormalWeb"/>
        <w:numPr>
          <w:ilvl w:val="0"/>
          <w:numId w:val="2"/>
        </w:numPr>
        <w:tabs>
          <w:tab w:val="left" w:pos="360"/>
          <w:tab w:val="clear" w:pos="1778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využiteľným teplom teplo vyrobené v procese kombinovanej výroby určené na uspokojenie ekono</w:t>
      </w:r>
      <w:r>
        <w:rPr>
          <w:rFonts w:ascii="Times New Roman" w:hAnsi="Times New Roman" w:cs="Times New Roman"/>
        </w:rPr>
        <w:t>micky zdôvodneného dopytu po teple alebo po chlade,</w:t>
      </w:r>
    </w:p>
    <w:p>
      <w:pPr>
        <w:pStyle w:val="NormalWeb"/>
        <w:numPr>
          <w:ilvl w:val="0"/>
          <w:numId w:val="2"/>
        </w:numPr>
        <w:tabs>
          <w:tab w:val="left" w:pos="360"/>
          <w:tab w:val="clear" w:pos="1778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kombinovanou výrobou veľmi malých výkonov kombinovaná výroba v zariadeniach s inštalovaným elektrickým výkonom menším ako 50 kW,</w:t>
      </w:r>
    </w:p>
    <w:p>
      <w:pPr>
        <w:pStyle w:val="NormalWeb"/>
        <w:numPr>
          <w:ilvl w:val="0"/>
          <w:numId w:val="2"/>
        </w:numPr>
        <w:tabs>
          <w:tab w:val="left" w:pos="360"/>
          <w:tab w:val="clear" w:pos="1778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kombinovanou výrobou malých výkonov kombinovaná výroba v zariadeniach s inš</w:t>
      </w:r>
      <w:r>
        <w:rPr>
          <w:rFonts w:ascii="Times New Roman" w:hAnsi="Times New Roman" w:cs="Times New Roman"/>
        </w:rPr>
        <w:t>talovaným elektrickým výkonom od 50 kW vrátane do 1 MW,</w:t>
      </w:r>
    </w:p>
    <w:p>
      <w:pPr>
        <w:pStyle w:val="NormalWeb"/>
        <w:numPr>
          <w:ilvl w:val="0"/>
          <w:numId w:val="2"/>
        </w:numPr>
        <w:tabs>
          <w:tab w:val="left" w:pos="360"/>
          <w:tab w:val="clear" w:pos="1778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zariadením na kombinovanú výrobu zariadenie, ktoré je schopné vyrábať teplo a elektrinu  alebo teplo a mechanickú energiu alebo teplo, elektrinu a mechanickú energiu v jednom výrobnom procese (ďalej l</w:t>
      </w:r>
      <w:r>
        <w:rPr>
          <w:rFonts w:ascii="Times New Roman" w:hAnsi="Times New Roman" w:cs="Times New Roman"/>
          <w:bCs/>
          <w:iCs/>
        </w:rPr>
        <w:t>en „zariadenie“),</w:t>
      </w:r>
    </w:p>
    <w:p>
      <w:pPr>
        <w:pStyle w:val="NormalWeb"/>
        <w:numPr>
          <w:ilvl w:val="0"/>
          <w:numId w:val="2"/>
        </w:numPr>
        <w:tabs>
          <w:tab w:val="left" w:pos="360"/>
          <w:tab w:val="clear" w:pos="1778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 účinnou kombinovanou výrobou kombinovaná výroba veľmi malých výkonov a  malých výkonov dosahovaná na zariadeniach uvedených v písm. g), pri ktorej vzniká úspora primárnej energie v porovnaní so samostatnou výrobou tepla a samostatn</w:t>
      </w:r>
      <w:r>
        <w:rPr>
          <w:rFonts w:ascii="Times New Roman" w:hAnsi="Times New Roman" w:cs="Times New Roman"/>
        </w:rPr>
        <w:t>ou výrobou elektriny alebo kombinovaná výroba, pri ktorej vzniká úspora primárnej energie vo výške najmenej 10 % v porovnaní so samostatnou výrobou tepla a samostatnou výrobou elektriny,</w:t>
      </w:r>
    </w:p>
    <w:p>
      <w:pPr>
        <w:pStyle w:val="NormalWeb"/>
        <w:numPr>
          <w:ilvl w:val="0"/>
          <w:numId w:val="2"/>
        </w:numPr>
        <w:tabs>
          <w:tab w:val="left" w:pos="360"/>
          <w:tab w:val="clear" w:pos="1778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technológiami kombinovanej výroby výroba prebiehajúca v spaľovacej </w:t>
      </w:r>
      <w:r>
        <w:rPr>
          <w:rFonts w:ascii="Times New Roman" w:hAnsi="Times New Roman" w:cs="Times New Roman"/>
        </w:rPr>
        <w:t>turbíne s kombi-novaným cyklom a s regeneráciou tepla, protitlakovej parnej turbíne, kondenzačnej parnej turbíne s odberom pary, spaľovacej turbíne s regeneráciou tepla, spaľovacom motore, mikroturbíne, Stirlingovom motore, palivovom článku, parnom stroji, R</w:t>
      </w:r>
      <w:r>
        <w:rPr>
          <w:rFonts w:ascii="Times New Roman" w:hAnsi="Times New Roman" w:cs="Times New Roman"/>
        </w:rPr>
        <w:t xml:space="preserve">ankinovom organickom cykle, </w:t>
      </w:r>
      <w:r>
        <w:rPr>
          <w:rFonts w:ascii="Times New Roman" w:hAnsi="Times New Roman" w:cs="Times New Roman"/>
          <w:szCs w:val="28"/>
        </w:rPr>
        <w:t>ako aj</w:t>
      </w:r>
      <w:r>
        <w:rPr>
          <w:rFonts w:ascii="Times New Roman" w:hAnsi="Times New Roman" w:cs="Times New Roman"/>
        </w:rPr>
        <w:t xml:space="preserve"> akýkoľvek iný typ technológie, alebo ich kombinácia, prostredníctvom ktorej je zabezpečená kombinovaná výroba, </w:t>
      </w:r>
    </w:p>
    <w:p>
      <w:pPr>
        <w:pStyle w:val="BodyText2"/>
        <w:numPr>
          <w:ilvl w:val="0"/>
          <w:numId w:val="2"/>
        </w:numPr>
        <w:tabs>
          <w:tab w:val="left" w:pos="360"/>
          <w:tab w:val="clear" w:pos="1778"/>
        </w:tabs>
        <w:ind w:left="360"/>
        <w:jc w:val="both"/>
        <w:rPr>
          <w:rFonts w:ascii="Times New Roman" w:hAnsi="Times New Roman" w:cs="Times New Roman"/>
          <w:b w:val="0"/>
          <w:i w:val="0"/>
          <w:color w:val="auto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Cs w:val="28"/>
        </w:rPr>
        <w:t xml:space="preserve"> </w:t>
      </w:r>
      <w:r>
        <w:rPr>
          <w:rFonts w:ascii="Times New Roman" w:hAnsi="Times New Roman" w:cs="Times New Roman"/>
          <w:b w:val="0"/>
          <w:i w:val="0"/>
          <w:iCs/>
          <w:color w:val="auto"/>
        </w:rPr>
        <w:t>účinnosťou účinnosť vypočítaná na základe výhrevnosti palív, označovaná tiež ako dolná výhrevnosť,</w:t>
      </w:r>
    </w:p>
    <w:p>
      <w:pPr>
        <w:pStyle w:val="BodyText2"/>
        <w:numPr>
          <w:ilvl w:val="0"/>
          <w:numId w:val="2"/>
        </w:numPr>
        <w:tabs>
          <w:tab w:val="left" w:pos="360"/>
          <w:tab w:val="clear" w:pos="1778"/>
        </w:tabs>
        <w:ind w:left="360"/>
        <w:jc w:val="both"/>
        <w:rPr>
          <w:rFonts w:ascii="Times New Roman" w:hAnsi="Times New Roman" w:cs="Times New Roman"/>
          <w:b w:val="0"/>
          <w:i w:val="0"/>
          <w:color w:val="auto"/>
          <w:szCs w:val="28"/>
        </w:rPr>
      </w:pPr>
      <w:r>
        <w:rPr>
          <w:rFonts w:ascii="Times New Roman" w:hAnsi="Times New Roman" w:cs="Times New Roman"/>
          <w:b w:val="0"/>
          <w:bCs/>
          <w:i w:val="0"/>
          <w:iCs/>
        </w:rPr>
        <w:t>celkovou účinnosťou ročný súčet množstva vyrobenej elektriny, využiteľného tepla a mechanickej energie delený množstvom energie paliva na vstupe použitej</w:t>
      </w:r>
      <w:r>
        <w:rPr>
          <w:rFonts w:ascii="Times New Roman" w:hAnsi="Times New Roman" w:cs="Times New Roman"/>
          <w:b w:val="0"/>
          <w:bCs/>
          <w:i w:val="0"/>
          <w:iCs/>
          <w:color w:val="0000FF"/>
        </w:rPr>
        <w:t xml:space="preserve"> </w:t>
      </w:r>
      <w:r>
        <w:rPr>
          <w:rFonts w:ascii="Times New Roman" w:hAnsi="Times New Roman" w:cs="Times New Roman"/>
          <w:b w:val="0"/>
          <w:bCs/>
          <w:i w:val="0"/>
          <w:iCs/>
        </w:rPr>
        <w:t>na výrobu tepla v kombinovanej výrobe a na hrubú výrobu elektrickej a mechanickej energie,</w:t>
      </w:r>
    </w:p>
    <w:p>
      <w:pPr>
        <w:pStyle w:val="BodyText2"/>
        <w:numPr>
          <w:ilvl w:val="0"/>
          <w:numId w:val="2"/>
        </w:numPr>
        <w:tabs>
          <w:tab w:val="left" w:pos="360"/>
          <w:tab w:val="clear" w:pos="1778"/>
        </w:tabs>
        <w:ind w:left="360"/>
        <w:jc w:val="both"/>
        <w:rPr>
          <w:rFonts w:ascii="Times New Roman" w:hAnsi="Times New Roman" w:cs="Times New Roman"/>
          <w:b w:val="0"/>
          <w:i w:val="0"/>
          <w:color w:val="auto"/>
          <w:szCs w:val="28"/>
        </w:rPr>
      </w:pPr>
      <w:r>
        <w:rPr>
          <w:rFonts w:ascii="Times New Roman" w:hAnsi="Times New Roman" w:cs="Times New Roman"/>
          <w:b w:val="0"/>
          <w:i w:val="0"/>
        </w:rPr>
        <w:t>ekonomicky zdôvodneným dopytom po využiteľnom teple alebo chlade dopyt, ktorý neprekračuje potrebu tepla alebo chladu, ktorý by bol v inom prípade ako je kombinovaná výroba uspokojený za podmienok hospodárskej súťaže inými procesmi výroby energie,</w:t>
      </w:r>
    </w:p>
    <w:p>
      <w:pPr>
        <w:pStyle w:val="BodyText2"/>
        <w:numPr>
          <w:ilvl w:val="0"/>
          <w:numId w:val="2"/>
        </w:numPr>
        <w:tabs>
          <w:tab w:val="left" w:pos="360"/>
          <w:tab w:val="clear" w:pos="1778"/>
        </w:tabs>
        <w:ind w:left="360"/>
        <w:jc w:val="both"/>
        <w:rPr>
          <w:rFonts w:ascii="Times New Roman" w:hAnsi="Times New Roman" w:cs="Times New Roman"/>
          <w:b w:val="0"/>
          <w:i w:val="0"/>
          <w:color w:val="auto"/>
          <w:szCs w:val="28"/>
        </w:rPr>
      </w:pPr>
      <w:r>
        <w:rPr>
          <w:rFonts w:ascii="Times New Roman" w:hAnsi="Times New Roman" w:cs="Times New Roman"/>
          <w:b w:val="0"/>
          <w:i w:val="0"/>
          <w:color w:val="231F20"/>
        </w:rPr>
        <w:t>ukazovateľom kombinovanej výroby je pomer množstva elektriny vyrobenej kombinovanou výrobou k množstvu využiteľného tepla v režime úplnej kombinovanej výroby využívajúci prevádzkové údaje konkrétneho zariadenia</w:t>
      </w:r>
      <w:r>
        <w:rPr>
          <w:rFonts w:ascii="Times New Roman" w:hAnsi="Times New Roman" w:cs="Times New Roman"/>
          <w:b w:val="0"/>
          <w:i w:val="0"/>
        </w:rPr>
        <w:t>.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2"/>
        <w:jc w:val="center"/>
        <w:rPr>
          <w:rFonts w:ascii="Times New Roman" w:hAnsi="Times New Roman" w:cs="Times New Roman"/>
          <w:b w:val="0"/>
          <w:i w:val="0"/>
          <w:color w:val="auto"/>
          <w:szCs w:val="28"/>
        </w:rPr>
      </w:pPr>
    </w:p>
    <w:p>
      <w:pPr>
        <w:pStyle w:val="BodyText2"/>
        <w:jc w:val="center"/>
        <w:rPr>
          <w:rFonts w:ascii="Times New Roman" w:hAnsi="Times New Roman" w:cs="Times New Roman"/>
          <w:b w:val="0"/>
          <w:i w:val="0"/>
          <w:color w:val="auto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Cs w:val="28"/>
        </w:rPr>
        <w:t>§ 3</w:t>
      </w:r>
    </w:p>
    <w:p>
      <w:pPr>
        <w:pStyle w:val="BodyText2"/>
        <w:jc w:val="center"/>
        <w:rPr>
          <w:rFonts w:ascii="Times New Roman" w:hAnsi="Times New Roman" w:cs="Times New Roman"/>
          <w:b w:val="0"/>
          <w:bCs/>
          <w:i w:val="0"/>
          <w:iCs/>
        </w:rPr>
      </w:pPr>
      <w:r>
        <w:rPr>
          <w:rFonts w:ascii="Times New Roman" w:hAnsi="Times New Roman" w:cs="Times New Roman"/>
          <w:b w:val="0"/>
          <w:bCs/>
          <w:i w:val="0"/>
          <w:iCs/>
        </w:rPr>
        <w:t>Podmienky vzniku nároku a spôsob podpory vysoko účinnej kombinovan</w:t>
      </w:r>
      <w:r>
        <w:rPr>
          <w:rFonts w:ascii="Times New Roman" w:hAnsi="Times New Roman" w:cs="Times New Roman"/>
          <w:b w:val="0"/>
          <w:bCs/>
          <w:i w:val="0"/>
          <w:iCs/>
        </w:rPr>
        <w:t xml:space="preserve">ej výroby </w:t>
      </w:r>
    </w:p>
    <w:p>
      <w:pPr>
        <w:pStyle w:val="BodyText2"/>
        <w:jc w:val="center"/>
        <w:rPr>
          <w:rFonts w:ascii="Times New Roman" w:hAnsi="Times New Roman" w:cs="Times New Roman"/>
          <w:b w:val="0"/>
          <w:bCs/>
          <w:i w:val="0"/>
          <w:iCs/>
        </w:rPr>
      </w:pPr>
      <w:r>
        <w:rPr>
          <w:rFonts w:ascii="Times New Roman" w:hAnsi="Times New Roman" w:cs="Times New Roman"/>
          <w:b w:val="0"/>
          <w:bCs/>
          <w:i w:val="0"/>
          <w:iCs/>
        </w:rPr>
        <w:t>založenej na dopyte po využiteľnom teple na vnútornom trhu s energiou</w:t>
      </w:r>
    </w:p>
    <w:p>
      <w:pPr>
        <w:pStyle w:val="BodyText2"/>
        <w:jc w:val="both"/>
        <w:rPr>
          <w:rFonts w:cs="Times New Roman"/>
          <w:color w:val="auto"/>
        </w:rPr>
      </w:pPr>
    </w:p>
    <w:p>
      <w:pPr>
        <w:autoSpaceDE/>
        <w:autoSpaceDN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(1) Výrobcovi elektriny vysoko účinnou kombinovanou výrobou možno poskytnúť  podporu na výrobu podľa tohto zákona, ak dodáva elektrinu účastníkovi trhu s elektrinou, ktorý nakupuje elektrinu na krytie strát v distribučnej sústave,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na základe </w:t>
      </w:r>
      <w:r>
        <w:rPr>
          <w:rFonts w:ascii="Times New Roman" w:hAnsi="Times New Roman" w:cs="Times New Roman"/>
          <w:szCs w:val="19"/>
        </w:rPr>
        <w:t xml:space="preserve">potvrdenia o pôvode elektriny vyrobenej vysoko účinnou kombinovanou výrobou (ďalej len „potvrdenie o pôvode“) </w:t>
      </w:r>
      <w:r>
        <w:rPr>
          <w:rFonts w:ascii="Times New Roman" w:hAnsi="Times New Roman" w:cs="Times New Roman"/>
          <w:szCs w:val="28"/>
        </w:rPr>
        <w:t>vydaného podľa § 4; podpora sa zabezpečuje formou nákupu elektriny za</w:t>
      </w:r>
      <w:r>
        <w:rPr>
          <w:rFonts w:ascii="Times New Roman" w:hAnsi="Times New Roman" w:cs="Times New Roman"/>
          <w:color w:val="FF0000"/>
          <w:szCs w:val="28"/>
        </w:rPr>
        <w:t xml:space="preserve"> </w:t>
      </w:r>
    </w:p>
    <w:p>
      <w:pPr>
        <w:pStyle w:val="BodyText2"/>
        <w:jc w:val="both"/>
        <w:rPr>
          <w:rFonts w:ascii="Times New Roman" w:hAnsi="Times New Roman" w:cs="Times New Roman"/>
          <w:b w:val="0"/>
          <w:i w:val="0"/>
          <w:vertAlign w:val="superscript"/>
        </w:rPr>
      </w:pPr>
      <w:r>
        <w:rPr>
          <w:rFonts w:ascii="Times New Roman" w:hAnsi="Times New Roman" w:cs="Times New Roman"/>
          <w:b w:val="0"/>
          <w:i w:val="0"/>
        </w:rPr>
        <w:t>a)  regulované ceny určené podľa osobitného predpisu</w:t>
      </w:r>
      <w:r>
        <w:rPr>
          <w:rFonts w:ascii="Times New Roman" w:hAnsi="Times New Roman" w:cs="Times New Roman"/>
          <w:b w:val="0"/>
          <w:i w:val="0"/>
          <w:color w:val="auto"/>
        </w:rPr>
        <w:t>,</w:t>
      </w:r>
      <w:r>
        <w:rPr>
          <w:rFonts w:ascii="Times New Roman" w:hAnsi="Times New Roman" w:cs="Times New Roman"/>
          <w:b w:val="0"/>
          <w:i w:val="0"/>
          <w:color w:val="auto"/>
          <w:vertAlign w:val="superscript"/>
        </w:rPr>
        <w:t>2)</w:t>
      </w:r>
    </w:p>
    <w:p>
      <w:pPr>
        <w:pStyle w:val="BodyText2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b)  príplat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ok </w:t>
      </w:r>
      <w:r>
        <w:rPr>
          <w:rFonts w:ascii="Times New Roman" w:hAnsi="Times New Roman" w:cs="Times New Roman"/>
          <w:b w:val="0"/>
          <w:i w:val="0"/>
        </w:rPr>
        <w:t>k regulovanej cene určenej podľa osobitného predpisu.</w:t>
      </w:r>
      <w:r>
        <w:rPr>
          <w:rFonts w:ascii="Times New Roman" w:hAnsi="Times New Roman" w:cs="Times New Roman"/>
          <w:b w:val="0"/>
          <w:i w:val="0"/>
          <w:color w:val="auto"/>
          <w:vertAlign w:val="superscript"/>
        </w:rPr>
        <w:t>3)</w:t>
      </w:r>
    </w:p>
    <w:p>
      <w:pPr>
        <w:ind w:firstLine="567"/>
        <w:jc w:val="both"/>
        <w:rPr>
          <w:rFonts w:ascii="Times New Roman" w:hAnsi="Times New Roman" w:cs="Times New Roman"/>
          <w:szCs w:val="28"/>
        </w:rPr>
      </w:pPr>
    </w:p>
    <w:p>
      <w:pPr>
        <w:pStyle w:val="BodyText2"/>
        <w:ind w:firstLine="567"/>
        <w:jc w:val="both"/>
        <w:rPr>
          <w:rFonts w:ascii="Times New Roman" w:hAnsi="Times New Roman" w:cs="Times New Roman"/>
          <w:b w:val="0"/>
          <w:i w:val="0"/>
          <w:color w:val="auto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Cs w:val="28"/>
        </w:rPr>
        <w:t xml:space="preserve">(2) Výrobca elektriny </w:t>
      </w:r>
      <w:r>
        <w:rPr>
          <w:rFonts w:ascii="Times New Roman" w:hAnsi="Times New Roman" w:cs="Times New Roman"/>
          <w:b w:val="0"/>
          <w:i w:val="0"/>
        </w:rPr>
        <w:t xml:space="preserve">vysoko účinnou </w:t>
      </w:r>
      <w:r>
        <w:rPr>
          <w:rFonts w:ascii="Times New Roman" w:hAnsi="Times New Roman" w:cs="Times New Roman"/>
          <w:b w:val="0"/>
          <w:i w:val="0"/>
          <w:color w:val="auto"/>
          <w:szCs w:val="28"/>
        </w:rPr>
        <w:t>kombinovanou výrobou, ktorý prevádzkuje zariadenie na vysoko účinnú kombinovanú výrobu s celkovým inštalovaným elektrickým výkonom menším ako 1 MW, má prednostné právo na prenos, distribúciu a dodávku elektriny vyrobenej v tomto zariadení, ak to umožňujú technické podmienky sústavy a možno mu poskytnúť podporu podľa ods. 1 písm. a) a b); to neplatí pr</w:t>
      </w:r>
      <w:r>
        <w:rPr>
          <w:rFonts w:ascii="Times New Roman" w:hAnsi="Times New Roman" w:cs="Times New Roman"/>
          <w:b w:val="0"/>
          <w:i w:val="0"/>
          <w:color w:val="auto"/>
          <w:szCs w:val="28"/>
        </w:rPr>
        <w:t xml:space="preserve">e prenos elektriny spojovacím vedením.  Prednostné  právo na  prenos,  distribúciu  a  dodávku  elektriny  vyrobenej  vysoko </w:t>
      </w:r>
    </w:p>
    <w:p>
      <w:pPr>
        <w:pStyle w:val="BodyText2"/>
        <w:jc w:val="both"/>
        <w:rPr>
          <w:rFonts w:ascii="Times New Roman" w:hAnsi="Times New Roman" w:cs="Times New Roman"/>
          <w:b w:val="0"/>
          <w:i w:val="0"/>
          <w:color w:val="auto"/>
          <w:szCs w:val="28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231F20"/>
          <w:sz w:val="20"/>
        </w:rPr>
      </w:pPr>
      <w:r>
        <w:rPr>
          <w:rFonts w:ascii="Times New Roman" w:hAnsi="Times New Roman" w:cs="Times New Roman"/>
          <w:color w:val="231F20"/>
          <w:sz w:val="20"/>
        </w:rPr>
        <w:t>____________________</w:t>
      </w:r>
    </w:p>
    <w:p>
      <w:pPr>
        <w:pStyle w:val="FootnoteText"/>
        <w:ind w:left="180" w:hanging="18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1) </w:t>
      </w:r>
      <w:r>
        <w:rPr>
          <w:rFonts w:ascii="Times New Roman" w:hAnsi="Times New Roman" w:cs="Times New Roman"/>
        </w:rPr>
        <w:t>§ 2 písm. b) body 6 a 9 zákona č. 656/2004 Z. z. o energetike a o zmene niektorých zákonov v znení neskor</w:t>
      </w:r>
      <w:r>
        <w:rPr>
          <w:rFonts w:ascii="Times New Roman" w:hAnsi="Times New Roman" w:cs="Times New Roman"/>
        </w:rPr>
        <w:t>-ších predpisov.</w:t>
      </w:r>
    </w:p>
    <w:p>
      <w:pPr>
        <w:pStyle w:val="FootnoteText"/>
        <w:ind w:left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9 nariadenia vlády Slovenskej republiky č. 317/2007 Z. z., ktorým sa ustanovujú pravidlá fungovania trhu s elektrinou.</w:t>
      </w:r>
    </w:p>
    <w:p>
      <w:pPr>
        <w:pStyle w:val="FootnoteText"/>
        <w:ind w:left="18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2)</w:t>
      </w:r>
      <w:r>
        <w:rPr>
          <w:rFonts w:ascii="Times New Roman" w:hAnsi="Times New Roman" w:cs="Times New Roman"/>
        </w:rPr>
        <w:t xml:space="preserve"> § 12 zákona č. 276/2001 Z. z.  o regulácii v sieťových odvetviach a o zmene a doplnení niektorých zákonov v znení n</w:t>
      </w:r>
      <w:r>
        <w:rPr>
          <w:rFonts w:ascii="Times New Roman" w:hAnsi="Times New Roman" w:cs="Times New Roman"/>
        </w:rPr>
        <w:t>eskorších predpisov.</w:t>
      </w:r>
    </w:p>
    <w:p>
      <w:pPr>
        <w:pStyle w:val="BodyText2"/>
        <w:jc w:val="both"/>
        <w:rPr>
          <w:rFonts w:ascii="Times New Roman" w:hAnsi="Times New Roman" w:cs="Times New Roman"/>
          <w:b w:val="0"/>
          <w:i w:val="0"/>
          <w:color w:val="auto"/>
          <w:szCs w:val="28"/>
        </w:rPr>
      </w:pPr>
      <w:r>
        <w:rPr>
          <w:rFonts w:ascii="Times New Roman" w:hAnsi="Times New Roman" w:cs="Times New Roman"/>
          <w:b w:val="0"/>
          <w:i w:val="0"/>
          <w:sz w:val="20"/>
          <w:vertAlign w:val="superscript"/>
        </w:rPr>
        <w:t>3)</w:t>
      </w:r>
      <w:r>
        <w:rPr>
          <w:rFonts w:ascii="Times New Roman" w:hAnsi="Times New Roman" w:cs="Times New Roman"/>
          <w:b w:val="0"/>
          <w:i w:val="0"/>
          <w:sz w:val="20"/>
        </w:rPr>
        <w:t xml:space="preserve"> § 5 ods. 1 písm. oo) zákona č. 276/2001 Z. z. v znení neskorších predpisov.</w:t>
      </w:r>
    </w:p>
    <w:p>
      <w:pPr>
        <w:pStyle w:val="BodyText2"/>
        <w:jc w:val="both"/>
        <w:rPr>
          <w:rFonts w:ascii="Times New Roman" w:hAnsi="Times New Roman" w:cs="Times New Roman"/>
          <w:b w:val="0"/>
          <w:i w:val="0"/>
          <w:color w:val="auto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Cs w:val="28"/>
        </w:rPr>
        <w:t>účinnou kombinovanou výrobou s celkovým inštalovaným elektrickým výkonom od 1 MW sa vzťahuje na elektrinu vyrobenú vysoko účinnou kombinovanou výrobou a výrobcovia elektriny sú držiteľmi potvrdenia o p</w:t>
      </w:r>
      <w:r>
        <w:rPr>
          <w:rFonts w:ascii="Times New Roman" w:hAnsi="Times New Roman" w:cs="Times New Roman"/>
          <w:b w:val="0"/>
          <w:i w:val="0"/>
          <w:szCs w:val="19"/>
        </w:rPr>
        <w:t xml:space="preserve">ôvode </w:t>
      </w:r>
      <w:r>
        <w:rPr>
          <w:rFonts w:ascii="Times New Roman" w:hAnsi="Times New Roman" w:cs="Times New Roman"/>
          <w:b w:val="0"/>
          <w:i w:val="0"/>
          <w:szCs w:val="28"/>
        </w:rPr>
        <w:t>vydaného podľa § 4</w:t>
      </w:r>
      <w:r>
        <w:rPr>
          <w:rFonts w:ascii="Times New Roman" w:hAnsi="Times New Roman" w:cs="Times New Roman"/>
          <w:b w:val="0"/>
          <w:i w:val="0"/>
          <w:color w:val="auto"/>
          <w:szCs w:val="28"/>
        </w:rPr>
        <w:t xml:space="preserve"> a možno im poskytnúť podporu podľa ods. 1 písm. a).</w:t>
      </w:r>
    </w:p>
    <w:p>
      <w:pPr>
        <w:pStyle w:val="BodyText2"/>
        <w:jc w:val="both"/>
        <w:rPr>
          <w:rFonts w:ascii="Times New Roman" w:hAnsi="Times New Roman" w:cs="Times New Roman"/>
          <w:b w:val="0"/>
          <w:bCs/>
          <w:i w:val="0"/>
          <w:iCs/>
          <w:color w:val="auto"/>
        </w:rPr>
      </w:pPr>
    </w:p>
    <w:p>
      <w:pPr>
        <w:pStyle w:val="BodyText2"/>
        <w:ind w:firstLine="567"/>
        <w:jc w:val="both"/>
        <w:rPr>
          <w:rFonts w:ascii="Times New Roman" w:hAnsi="Times New Roman" w:cs="Times New Roman"/>
          <w:b w:val="0"/>
          <w:bCs/>
          <w:i w:val="0"/>
          <w:iCs/>
          <w:color w:val="auto"/>
          <w:szCs w:val="24"/>
        </w:rPr>
      </w:pPr>
      <w:r>
        <w:rPr>
          <w:rFonts w:ascii="Times New Roman" w:hAnsi="Times New Roman" w:cs="Times New Roman"/>
          <w:b w:val="0"/>
          <w:bCs/>
          <w:i w:val="0"/>
          <w:iCs/>
          <w:color w:val="auto"/>
        </w:rPr>
        <w:t>(3) Účastník trhu s elektrinou, ktorý nakupuje elektrinu vyrobenú vysoko účinnou kombinovanou  výrobou na účel uvedený v odseku 1 podľa pravidiel trhu s elektrinou za regulované  ceny určené  podľa  osobitného predpisu</w:t>
      </w:r>
      <w:r>
        <w:rPr>
          <w:rFonts w:ascii="Times New Roman" w:hAnsi="Times New Roman" w:cs="Times New Roman"/>
          <w:b w:val="0"/>
          <w:bCs/>
          <w:i w:val="0"/>
          <w:iCs/>
          <w:color w:val="auto"/>
          <w:vertAlign w:val="superscript"/>
        </w:rPr>
        <w:t>2)</w:t>
      </w:r>
      <w:r>
        <w:rPr>
          <w:rFonts w:ascii="Times New Roman" w:hAnsi="Times New Roman" w:cs="Times New Roman"/>
          <w:b w:val="0"/>
          <w:bCs/>
          <w:i w:val="0"/>
          <w:iCs/>
          <w:color w:val="auto"/>
          <w:szCs w:val="24"/>
        </w:rPr>
        <w:t xml:space="preserve">, má právo na uhradenie všetkých nákladov vzniknutých nákupom elektriny vyrobenej vysoko účinnou kombinovanou výrobou. </w:t>
      </w:r>
    </w:p>
    <w:p>
      <w:pPr>
        <w:autoSpaceDE/>
        <w:autoSpaceDN/>
        <w:jc w:val="both"/>
        <w:rPr>
          <w:rFonts w:ascii="Times New Roman" w:hAnsi="Times New Roman" w:cs="Times New Roman"/>
          <w:color w:val="231F20"/>
        </w:rPr>
      </w:pPr>
    </w:p>
    <w:p>
      <w:pPr>
        <w:autoSpaceDE/>
        <w:autoSpaceDN/>
        <w:ind w:firstLine="567"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 xml:space="preserve">(4) Výrobca elektriny, ktorý vyrába elektrinu </w:t>
      </w:r>
      <w:r>
        <w:rPr>
          <w:rFonts w:ascii="Times New Roman" w:hAnsi="Times New Roman" w:cs="Times New Roman"/>
        </w:rPr>
        <w:t>vysoko účinnou kombinovanou výrobou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a ktorý dodáva elektrinu </w:t>
      </w:r>
      <w:r>
        <w:rPr>
          <w:rFonts w:ascii="Times New Roman" w:hAnsi="Times New Roman" w:cs="Times New Roman"/>
        </w:rPr>
        <w:t>za regulovanú cenu, dodáva celý objem takto vyrobenej elektriny alebo jeho časť iba jednému účastníkovi trhu s elektrinou, ktorý nakupuje elektrinu na účel uvedený v odseku 1, s výnimkou regulačnej</w:t>
      </w:r>
      <w:r>
        <w:rPr>
          <w:rFonts w:ascii="Times New Roman" w:hAnsi="Times New Roman" w:cs="Times New Roman"/>
        </w:rPr>
        <w:t xml:space="preserve"> elektriny,</w:t>
      </w:r>
      <w:r>
        <w:rPr>
          <w:rFonts w:ascii="Times New Roman" w:hAnsi="Times New Roman" w:cs="Times New Roman"/>
          <w:vertAlign w:val="superscript"/>
        </w:rPr>
        <w:t>4)</w:t>
      </w:r>
      <w:r>
        <w:rPr>
          <w:rFonts w:ascii="Times New Roman" w:hAnsi="Times New Roman" w:cs="Times New Roman"/>
        </w:rPr>
        <w:t xml:space="preserve"> dodanej pre potreby prevádzkovateľa prenosovej sústavy.</w:t>
      </w:r>
      <w:r>
        <w:rPr>
          <w:rFonts w:ascii="Times New Roman" w:hAnsi="Times New Roman" w:cs="Times New Roman"/>
          <w:vertAlign w:val="superscript"/>
        </w:rPr>
        <w:t>5)</w:t>
      </w:r>
    </w:p>
    <w:p>
      <w:pPr>
        <w:autoSpaceDE/>
        <w:autoSpaceDN/>
        <w:ind w:firstLine="567"/>
        <w:jc w:val="both"/>
        <w:rPr>
          <w:rFonts w:ascii="Times New Roman" w:hAnsi="Times New Roman" w:cs="Times New Roman"/>
        </w:rPr>
      </w:pPr>
    </w:p>
    <w:p>
      <w:pPr>
        <w:autoSpaceDE/>
        <w:autoSpaceDN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 xml:space="preserve">(5) Výrobca elektriny, ktorý prevádzkuje zariadenie na vysoko účinnú kombinovanú výrobu, má právo na </w:t>
      </w:r>
      <w:r>
        <w:rPr>
          <w:rFonts w:ascii="Times New Roman" w:hAnsi="Times New Roman" w:cs="Times New Roman"/>
        </w:rPr>
        <w:t>používanie regulovanej ceny</w:t>
      </w:r>
      <w:r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a príplatku k regulovanej cene podľa odseku 1 na obdob</w:t>
      </w:r>
      <w:r>
        <w:rPr>
          <w:rFonts w:ascii="Times New Roman" w:hAnsi="Times New Roman" w:cs="Times New Roman"/>
          <w:szCs w:val="28"/>
        </w:rPr>
        <w:t xml:space="preserve">ia </w:t>
      </w:r>
      <w:r>
        <w:rPr>
          <w:rFonts w:ascii="Times New Roman" w:hAnsi="Times New Roman" w:cs="Times New Roman"/>
        </w:rPr>
        <w:t xml:space="preserve"> </w:t>
      </w:r>
    </w:p>
    <w:p>
      <w:pPr>
        <w:numPr>
          <w:ilvl w:val="0"/>
          <w:numId w:val="6"/>
        </w:numPr>
        <w:tabs>
          <w:tab w:val="left" w:pos="360"/>
        </w:tabs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šesť kalendárnych rokov pre existujúce zariadenia,</w:t>
      </w:r>
    </w:p>
    <w:p>
      <w:pPr>
        <w:numPr>
          <w:ilvl w:val="0"/>
          <w:numId w:val="6"/>
        </w:numPr>
        <w:tabs>
          <w:tab w:val="left" w:pos="360"/>
        </w:tabs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osem rokov pre zariadenia zrekonštruované po 1. januári 2008, pri ktorých sa dosiahne celkové zvýšenie účinnosti minimálne o 2 %; ak elektrina vyrobená vysoko účinnou  kombinovanou výrobou bola z rekonštruovaného zariadenia vykupovaná pred rekonštrukciou podľa písmena a), toto obdobie sa odčíta od obdobia uvedeného v prvej časti vety,</w:t>
      </w:r>
    </w:p>
    <w:p>
      <w:pPr>
        <w:numPr>
          <w:ilvl w:val="0"/>
          <w:numId w:val="6"/>
        </w:numPr>
        <w:tabs>
          <w:tab w:val="left" w:pos="360"/>
        </w:tabs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desať rokov pre nové zariadenia uvedené do prevádzky po 1. januári 2008.</w:t>
      </w:r>
    </w:p>
    <w:p>
      <w:pPr>
        <w:autoSpaceDE/>
        <w:autoSpaceDN/>
        <w:jc w:val="both"/>
        <w:rPr>
          <w:rFonts w:ascii="Times New Roman" w:hAnsi="Times New Roman" w:cs="Times New Roman"/>
        </w:rPr>
      </w:pPr>
    </w:p>
    <w:p>
      <w:pPr>
        <w:pStyle w:val="BodyText2"/>
        <w:ind w:firstLine="567"/>
        <w:jc w:val="both"/>
        <w:rPr>
          <w:rFonts w:ascii="Times New Roman" w:hAnsi="Times New Roman" w:cs="Times New Roman"/>
          <w:b w:val="0"/>
          <w:i w:val="0"/>
          <w:color w:val="auto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color w:val="auto"/>
          <w:szCs w:val="28"/>
        </w:rPr>
        <w:t xml:space="preserve">(6) Podpora investícií pre nové a rekonštruované zariadenia vyrábajúce elektrinu vysoko účinnou kombinovanou výrobou sa poskytne z podporných programov financovaných z prostriedkov štátneho rozpočtu a </w:t>
      </w:r>
      <w:r>
        <w:rPr>
          <w:rFonts w:ascii="Times New Roman" w:hAnsi="Times New Roman" w:cs="Times New Roman"/>
          <w:b w:val="0"/>
          <w:i w:val="0"/>
          <w:color w:val="auto"/>
        </w:rPr>
        <w:t>fondov Európskej únie, ak investor, ktorý sa o takúto podporu uchádza, splní podmienky stanovené v </w:t>
      </w:r>
      <w:r>
        <w:rPr>
          <w:rFonts w:ascii="Times New Roman" w:hAnsi="Times New Roman" w:cs="Times New Roman"/>
          <w:b w:val="0"/>
          <w:i w:val="0"/>
          <w:color w:val="auto"/>
        </w:rPr>
        <w:t>podporných programoch</w:t>
      </w:r>
      <w:r>
        <w:rPr>
          <w:rFonts w:ascii="Times New Roman" w:hAnsi="Times New Roman" w:cs="Times New Roman"/>
          <w:b w:val="0"/>
          <w:i w:val="0"/>
          <w:color w:val="auto"/>
          <w:szCs w:val="28"/>
        </w:rPr>
        <w:t xml:space="preserve">. </w:t>
      </w:r>
    </w:p>
    <w:p>
      <w:pPr>
        <w:pStyle w:val="BodyText2"/>
        <w:jc w:val="both"/>
        <w:rPr>
          <w:rFonts w:ascii="Times New Roman" w:hAnsi="Times New Roman" w:cs="Times New Roman"/>
          <w:b w:val="0"/>
          <w:i w:val="0"/>
          <w:color w:val="auto"/>
          <w:szCs w:val="28"/>
        </w:rPr>
      </w:pPr>
    </w:p>
    <w:p>
      <w:pPr>
        <w:pStyle w:val="BodyText2"/>
        <w:ind w:firstLine="567"/>
        <w:jc w:val="both"/>
        <w:rPr>
          <w:rFonts w:ascii="Times New Roman" w:hAnsi="Times New Roman" w:cs="Times New Roman"/>
          <w:b w:val="0"/>
          <w:i w:val="0"/>
          <w:color w:val="auto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Cs w:val="28"/>
        </w:rPr>
        <w:t xml:space="preserve">(7)  Ak sa poskytne podpora podľa odseku 6, nie je nárok na podporu podľa odsekov 1 a 5.   </w:t>
      </w:r>
    </w:p>
    <w:p>
      <w:pPr>
        <w:pStyle w:val="BodyTextIndent"/>
        <w:adjustRightInd/>
        <w:rPr>
          <w:rFonts w:ascii="Times New Roman" w:hAnsi="Times New Roman" w:cs="Times New Roman"/>
          <w:bCs/>
          <w:iCs/>
          <w:szCs w:val="28"/>
        </w:rPr>
      </w:pPr>
    </w:p>
    <w:p>
      <w:pPr>
        <w:pStyle w:val="BodyTextIndent"/>
        <w:adjustRightInd/>
        <w:rPr>
          <w:rFonts w:ascii="Times New Roman" w:hAnsi="Times New Roman" w:cs="Times New Roman"/>
          <w:bCs/>
          <w:iCs/>
          <w:color w:val="231F20"/>
          <w:szCs w:val="28"/>
        </w:rPr>
      </w:pPr>
      <w:r>
        <w:rPr>
          <w:rFonts w:ascii="Times New Roman" w:hAnsi="Times New Roman" w:cs="Times New Roman"/>
          <w:bCs/>
          <w:iCs/>
          <w:szCs w:val="28"/>
        </w:rPr>
        <w:t>(8) Ministerstvo hospodárstva Slovenskej republiky (ďalej len „ministerstvo“) môže vo všeobecnom hospodárskom záujme</w:t>
      </w:r>
      <w:r>
        <w:rPr>
          <w:rFonts w:ascii="Times New Roman" w:hAnsi="Times New Roman" w:cs="Times New Roman"/>
          <w:bCs/>
          <w:iCs/>
          <w:szCs w:val="28"/>
          <w:vertAlign w:val="superscript"/>
        </w:rPr>
        <w:t>6)</w:t>
      </w:r>
      <w:r>
        <w:rPr>
          <w:rFonts w:ascii="Times New Roman" w:hAnsi="Times New Roman" w:cs="Times New Roman"/>
          <w:bCs/>
          <w:iCs/>
          <w:szCs w:val="28"/>
        </w:rPr>
        <w:t xml:space="preserve"> uložiť povinnosť prednostného prístupu, pripojenia, prenosu a distribúcie elektriny a dodávky elektriny vyrobenej vysoko účinnou kombinovanou výrobou na vymedzenom území.</w:t>
      </w:r>
    </w:p>
    <w:p>
      <w:pPr>
        <w:jc w:val="both"/>
        <w:rPr>
          <w:rFonts w:ascii="Times New Roman" w:hAnsi="Times New Roman" w:cs="Times New Roman"/>
          <w:color w:val="231F20"/>
        </w:rPr>
      </w:pPr>
    </w:p>
    <w:p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(9) Ministerstvo v rozhodnutí určí podmienky prístupu, pripojenia, prenosu elektriny, distribúcie elektriny a dodávky elektriny vyrobenej vysoko účinnou kombinovanou výrobou.</w:t>
      </w:r>
    </w:p>
    <w:p>
      <w:pPr>
        <w:pStyle w:val="BodyText2"/>
        <w:rPr>
          <w:rFonts w:ascii="Times New Roman" w:hAnsi="Times New Roman" w:cs="Times New Roman"/>
          <w:b w:val="0"/>
          <w:i w:val="0"/>
          <w:color w:val="auto"/>
          <w:szCs w:val="28"/>
        </w:rPr>
      </w:pPr>
    </w:p>
    <w:p>
      <w:pPr>
        <w:pStyle w:val="BodyText2"/>
        <w:jc w:val="center"/>
        <w:rPr>
          <w:rFonts w:ascii="Times New Roman" w:hAnsi="Times New Roman" w:cs="Times New Roman"/>
          <w:b w:val="0"/>
          <w:i w:val="0"/>
          <w:color w:val="auto"/>
          <w:szCs w:val="28"/>
        </w:rPr>
      </w:pPr>
    </w:p>
    <w:p>
      <w:pPr>
        <w:pStyle w:val="BodyText2"/>
        <w:jc w:val="center"/>
        <w:rPr>
          <w:rFonts w:ascii="Times New Roman" w:hAnsi="Times New Roman" w:cs="Times New Roman"/>
          <w:b w:val="0"/>
          <w:i w:val="0"/>
          <w:color w:val="auto"/>
          <w:szCs w:val="28"/>
        </w:rPr>
      </w:pPr>
    </w:p>
    <w:p>
      <w:pPr>
        <w:pStyle w:val="BodyText2"/>
        <w:jc w:val="center"/>
        <w:rPr>
          <w:rFonts w:ascii="Times New Roman" w:hAnsi="Times New Roman" w:cs="Times New Roman"/>
          <w:b w:val="0"/>
          <w:i w:val="0"/>
          <w:color w:val="auto"/>
          <w:szCs w:val="28"/>
        </w:rPr>
      </w:pPr>
    </w:p>
    <w:p>
      <w:pPr>
        <w:pStyle w:val="BodyText3"/>
        <w:autoSpaceDE/>
        <w:autoSpaceDN/>
        <w:rPr>
          <w:rFonts w:ascii="Times New Roman" w:hAnsi="Times New Roman" w:cs="Times New Roman"/>
          <w:szCs w:val="19"/>
        </w:rPr>
      </w:pPr>
    </w:p>
    <w:p>
      <w:pPr>
        <w:pStyle w:val="BodyText3"/>
        <w:autoSpaceDE/>
        <w:autoSpaceDN/>
        <w:rPr>
          <w:rFonts w:ascii="Times New Roman" w:hAnsi="Times New Roman" w:cs="Times New Roman"/>
          <w:szCs w:val="19"/>
        </w:rPr>
      </w:pPr>
    </w:p>
    <w:p>
      <w:pPr>
        <w:pStyle w:val="BodyText2"/>
        <w:jc w:val="both"/>
        <w:rPr>
          <w:rFonts w:ascii="Times New Roman" w:hAnsi="Times New Roman" w:cs="Times New Roman"/>
          <w:b w:val="0"/>
          <w:i w:val="0"/>
          <w:color w:val="auto"/>
          <w:sz w:val="20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0"/>
          <w:szCs w:val="28"/>
        </w:rPr>
        <w:t>____________________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vertAlign w:val="superscript"/>
        </w:rPr>
        <w:t>4)</w:t>
      </w:r>
      <w:r>
        <w:rPr>
          <w:rFonts w:ascii="Times New Roman" w:hAnsi="Times New Roman" w:cs="Times New Roman"/>
          <w:sz w:val="20"/>
        </w:rPr>
        <w:t xml:space="preserve"> § 2 ods. 2 písm. b) bod 29 zákona č. 656/2004 Z. z. v znení neskorších predpisov.</w:t>
      </w:r>
    </w:p>
    <w:p>
      <w:pPr>
        <w:pStyle w:val="BodyText2"/>
        <w:jc w:val="both"/>
        <w:rPr>
          <w:rFonts w:ascii="Times New Roman" w:hAnsi="Times New Roman" w:cs="Times New Roman"/>
          <w:b w:val="0"/>
          <w:bCs/>
          <w:i w:val="0"/>
          <w:iCs/>
          <w:color w:val="auto"/>
          <w:sz w:val="20"/>
          <w:vertAlign w:val="superscript"/>
        </w:rPr>
      </w:pPr>
      <w:r>
        <w:rPr>
          <w:rFonts w:ascii="Times New Roman" w:hAnsi="Times New Roman" w:cs="Times New Roman"/>
          <w:b w:val="0"/>
          <w:bCs/>
          <w:i w:val="0"/>
          <w:iCs/>
          <w:color w:val="auto"/>
          <w:sz w:val="20"/>
          <w:vertAlign w:val="superscript"/>
        </w:rPr>
        <w:t>5)</w:t>
      </w:r>
      <w:r>
        <w:rPr>
          <w:rFonts w:ascii="Times New Roman" w:hAnsi="Times New Roman" w:cs="Times New Roman"/>
          <w:b w:val="0"/>
          <w:bCs/>
          <w:i w:val="0"/>
          <w:iCs/>
          <w:color w:val="auto"/>
          <w:sz w:val="20"/>
        </w:rPr>
        <w:t xml:space="preserve">  § 2 ods. 2 písm. b) bod 7 zákona č. 656/2004 Z. z. v znení neskorších predpisov.</w:t>
      </w:r>
    </w:p>
    <w:p>
      <w:pPr>
        <w:pStyle w:val="BodyText2"/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</w:rPr>
      </w:pPr>
      <w:r>
        <w:rPr>
          <w:rFonts w:ascii="Times New Roman" w:hAnsi="Times New Roman" w:cs="Times New Roman"/>
          <w:b w:val="0"/>
          <w:bCs/>
          <w:i w:val="0"/>
          <w:iCs/>
          <w:sz w:val="20"/>
          <w:vertAlign w:val="superscript"/>
        </w:rPr>
        <w:t>6)</w:t>
      </w:r>
      <w:r>
        <w:rPr>
          <w:rFonts w:ascii="Times New Roman" w:hAnsi="Times New Roman" w:cs="Times New Roman"/>
          <w:b w:val="0"/>
          <w:bCs/>
          <w:i w:val="0"/>
          <w:iCs/>
          <w:sz w:val="20"/>
        </w:rPr>
        <w:t xml:space="preserve"> § 15 ods. 1 zákona č. 656/2004 Z. z. v znení neskorších predpisov.</w:t>
      </w:r>
    </w:p>
    <w:p>
      <w:pPr>
        <w:pStyle w:val="BodyText2"/>
        <w:rPr>
          <w:rFonts w:ascii="Times New Roman" w:hAnsi="Times New Roman" w:cs="Times New Roman"/>
          <w:b w:val="0"/>
          <w:i w:val="0"/>
          <w:color w:val="auto"/>
          <w:szCs w:val="28"/>
        </w:rPr>
      </w:pPr>
    </w:p>
    <w:p>
      <w:pPr>
        <w:pStyle w:val="BodyText2"/>
        <w:jc w:val="center"/>
        <w:rPr>
          <w:rFonts w:ascii="Times New Roman" w:hAnsi="Times New Roman" w:cs="Times New Roman"/>
          <w:b w:val="0"/>
          <w:i w:val="0"/>
          <w:color w:val="auto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Cs w:val="28"/>
        </w:rPr>
        <w:t>§ 4</w:t>
      </w:r>
    </w:p>
    <w:p>
      <w:pPr>
        <w:autoSpaceDE/>
        <w:autoSpaceDN/>
        <w:jc w:val="center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 xml:space="preserve">Potvrdenie o pôvode elektriny vyrobenej vysoko </w:t>
      </w:r>
    </w:p>
    <w:p>
      <w:pPr>
        <w:autoSpaceDE/>
        <w:autoSpaceDN/>
        <w:jc w:val="center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účinnou kombinovanou výrobou</w:t>
      </w:r>
    </w:p>
    <w:p>
      <w:pPr>
        <w:autoSpaceDE/>
        <w:autoSpaceDN/>
        <w:rPr>
          <w:rFonts w:ascii="Times New Roman" w:hAnsi="Times New Roman" w:cs="Times New Roman"/>
          <w:szCs w:val="19"/>
        </w:rPr>
      </w:pPr>
    </w:p>
    <w:p>
      <w:pPr>
        <w:pStyle w:val="BodyTextInden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(1) Ministerstvo môže výrobcovi elektriny, ktorý vyrába elektrinu vysoko účinnou kombinovanou  výrobou (ďalej len „žiadateľ“)  na základe  písomnej  žiadosti žiadateľa vydať </w:t>
      </w:r>
    </w:p>
    <w:p>
      <w:pPr>
        <w:pStyle w:val="BodyTextIndent"/>
        <w:ind w:firstLine="0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potvrdenie o pôvode; potvrdenie o pôvode preukazuje, že elektrina, na ktorú sa potvrdenie vzťahuje, je vyrobená vysoko účinnou kombinovanou výrobou. Samotné potvrdenie o pôvode neposkytuje právo požívať prospech z podpory vysoko účinnej kombinovanej výroby. </w:t>
      </w:r>
    </w:p>
    <w:p>
      <w:pPr>
        <w:pStyle w:val="BodyText3"/>
        <w:autoSpaceDE/>
        <w:autoSpaceDN/>
        <w:rPr>
          <w:rFonts w:ascii="Times New Roman" w:hAnsi="Times New Roman" w:cs="Times New Roman"/>
          <w:szCs w:val="19"/>
        </w:rPr>
      </w:pPr>
    </w:p>
    <w:p>
      <w:pPr>
        <w:pStyle w:val="BodyText3"/>
        <w:autoSpaceDE/>
        <w:autoSpaceDN/>
        <w:ind w:firstLine="567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 xml:space="preserve">(2) V žiadosti o vydanie potvrdenia o pôvode žiadateľ uvedie </w:t>
      </w:r>
    </w:p>
    <w:p>
      <w:pPr>
        <w:pStyle w:val="BodyText3"/>
        <w:numPr>
          <w:ilvl w:val="0"/>
          <w:numId w:val="11"/>
        </w:numPr>
        <w:tabs>
          <w:tab w:val="clear" w:pos="360"/>
        </w:tabs>
        <w:autoSpaceDE/>
        <w:autoSpaceDN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meno, priezvisko, trvalý pobyt a miesto podnikania, ak je žiadateľom fyzická osoba; názov, sídlo alebo organizačnú jednotku, ak je žiadateľom právnická osoba,</w:t>
      </w:r>
    </w:p>
    <w:p>
      <w:pPr>
        <w:pStyle w:val="BodyText3"/>
        <w:numPr>
          <w:ilvl w:val="0"/>
          <w:numId w:val="11"/>
        </w:numPr>
        <w:tabs>
          <w:tab w:val="clear" w:pos="360"/>
        </w:tabs>
        <w:autoSpaceDE/>
        <w:autoSpaceDN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technológiu kombinovanej výroby,</w:t>
      </w:r>
    </w:p>
    <w:p>
      <w:pPr>
        <w:pStyle w:val="BodyText3"/>
        <w:numPr>
          <w:ilvl w:val="0"/>
          <w:numId w:val="11"/>
        </w:numPr>
        <w:tabs>
          <w:tab w:val="clear" w:pos="360"/>
        </w:tabs>
        <w:autoSpaceDE/>
        <w:autoSpaceDN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množstvo a výhrevnosť použitého paliva,</w:t>
      </w:r>
    </w:p>
    <w:p>
      <w:pPr>
        <w:pStyle w:val="BodyText3"/>
        <w:numPr>
          <w:ilvl w:val="0"/>
          <w:numId w:val="11"/>
        </w:numPr>
        <w:tabs>
          <w:tab w:val="clear" w:pos="360"/>
        </w:tabs>
        <w:autoSpaceDE/>
        <w:autoSpaceDN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množstvo druhu vyrobenej energie,</w:t>
      </w:r>
    </w:p>
    <w:p>
      <w:pPr>
        <w:pStyle w:val="BodyText3"/>
        <w:numPr>
          <w:ilvl w:val="0"/>
          <w:numId w:val="11"/>
        </w:numPr>
        <w:tabs>
          <w:tab w:val="clear" w:pos="360"/>
        </w:tabs>
        <w:autoSpaceDE/>
        <w:autoSpaceDN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</w:rPr>
        <w:t>vplyv výroby na prevádzku zariadení iných subjektov, vrátane príslušných výpočtov.</w:t>
      </w:r>
    </w:p>
    <w:p>
      <w:pPr>
        <w:pStyle w:val="BodyText3"/>
        <w:autoSpaceDE/>
        <w:autoSpaceDN/>
        <w:rPr>
          <w:rFonts w:ascii="Times New Roman" w:hAnsi="Times New Roman" w:cs="Times New Roman"/>
        </w:rPr>
      </w:pPr>
    </w:p>
    <w:p>
      <w:pPr>
        <w:autoSpaceDE/>
        <w:autoSpaceDN/>
        <w:ind w:firstLine="567"/>
        <w:jc w:val="both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(3) Súčasťou žiadosti o vydanie potvrdenia o pôvode sú aj údaje o</w:t>
      </w:r>
    </w:p>
    <w:p>
      <w:pPr>
        <w:numPr>
          <w:ilvl w:val="0"/>
          <w:numId w:val="8"/>
        </w:numPr>
        <w:tabs>
          <w:tab w:val="clear" w:pos="360"/>
        </w:tabs>
        <w:autoSpaceDE/>
        <w:autoSpaceDN/>
        <w:jc w:val="both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 xml:space="preserve">množstve a výhrevnosti paliva, z ktorého bola elektrina vyrobená vysoko účinnou kombinovanou výrobou, </w:t>
      </w:r>
    </w:p>
    <w:p>
      <w:pPr>
        <w:numPr>
          <w:ilvl w:val="0"/>
          <w:numId w:val="8"/>
        </w:numPr>
        <w:tabs>
          <w:tab w:val="clear" w:pos="360"/>
        </w:tabs>
        <w:autoSpaceDE/>
        <w:autoSpaceDN/>
        <w:jc w:val="both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spôsobe využitia využiteľného tepla vyrobeného spoločne s elektrinou vyrobenou vysoko účinnou kombinovanou výrobou,</w:t>
      </w:r>
    </w:p>
    <w:p>
      <w:pPr>
        <w:numPr>
          <w:ilvl w:val="0"/>
          <w:numId w:val="8"/>
        </w:numPr>
        <w:tabs>
          <w:tab w:val="clear" w:pos="360"/>
        </w:tabs>
        <w:autoSpaceDE/>
        <w:autoSpaceDN/>
        <w:jc w:val="both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období a mieste výroby elektriny vyrobenej vysoko účinnou kombinovanou výrobou,</w:t>
      </w:r>
    </w:p>
    <w:p>
      <w:pPr>
        <w:numPr>
          <w:ilvl w:val="0"/>
          <w:numId w:val="8"/>
        </w:numPr>
        <w:tabs>
          <w:tab w:val="clear" w:pos="360"/>
        </w:tabs>
        <w:autoSpaceDE/>
        <w:autoSpaceDN/>
        <w:jc w:val="both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množstve využiteľného tepla,</w:t>
      </w:r>
    </w:p>
    <w:p>
      <w:pPr>
        <w:numPr>
          <w:ilvl w:val="0"/>
          <w:numId w:val="8"/>
        </w:numPr>
        <w:tabs>
          <w:tab w:val="clear" w:pos="360"/>
        </w:tabs>
        <w:autoSpaceDE/>
        <w:autoSpaceDN/>
        <w:jc w:val="both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výpočte úspor primárnej energie,</w:t>
      </w:r>
    </w:p>
    <w:p>
      <w:pPr>
        <w:numPr>
          <w:ilvl w:val="0"/>
          <w:numId w:val="8"/>
        </w:numPr>
        <w:tabs>
          <w:tab w:val="clear" w:pos="360"/>
        </w:tabs>
        <w:autoSpaceDE/>
        <w:autoSpaceDN/>
        <w:jc w:val="both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 xml:space="preserve">výpočte množstva elektriny vyrobenej vysoko účinnou kombinovanou výrobou, na ktoré  sa potvrdenie o pôvode vyžaduje. </w:t>
      </w:r>
    </w:p>
    <w:p>
      <w:pPr>
        <w:tabs>
          <w:tab w:val="left" w:pos="360"/>
        </w:tabs>
        <w:autoSpaceDE/>
        <w:autoSpaceDN/>
        <w:jc w:val="both"/>
        <w:rPr>
          <w:rFonts w:ascii="Times New Roman" w:hAnsi="Times New Roman" w:cs="Times New Roman"/>
          <w:szCs w:val="19"/>
        </w:rPr>
      </w:pPr>
    </w:p>
    <w:p>
      <w:pPr>
        <w:autoSpaceDE/>
        <w:autoSpaceDN/>
        <w:ind w:firstLine="567"/>
        <w:jc w:val="both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(4) Ak žiadosť o vydanie potvrdenia o pôvode nie je úplná, ministerstvo vyzve žiadateľa, aby v ním určenej lehote žiadosť doplnil. Ak žiadateľ žiadosť v určenej lehote nedoplní, ministerstvo konanie o vydanie potvrdenia o pôvode zastaví.</w:t>
      </w:r>
    </w:p>
    <w:p>
      <w:pPr>
        <w:tabs>
          <w:tab w:val="left" w:pos="720"/>
        </w:tabs>
        <w:autoSpaceDE/>
        <w:autoSpaceDN/>
        <w:jc w:val="both"/>
        <w:rPr>
          <w:rFonts w:ascii="Times New Roman" w:hAnsi="Times New Roman" w:cs="Times New Roman"/>
          <w:szCs w:val="19"/>
        </w:rPr>
      </w:pPr>
    </w:p>
    <w:p>
      <w:pPr>
        <w:autoSpaceDE/>
        <w:autoSpaceDN/>
        <w:ind w:firstLine="567"/>
        <w:jc w:val="both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(5) Ak je žiadosť o vydanie potvrdenia o pôvode úplná, ministerstvo</w:t>
      </w:r>
      <w:r>
        <w:rPr>
          <w:rFonts w:ascii="Times New Roman" w:hAnsi="Times New Roman" w:cs="Times New Roman"/>
          <w:color w:val="FF0000"/>
          <w:szCs w:val="19"/>
        </w:rPr>
        <w:t xml:space="preserve"> </w:t>
      </w:r>
      <w:r>
        <w:rPr>
          <w:rFonts w:ascii="Times New Roman" w:hAnsi="Times New Roman" w:cs="Times New Roman"/>
          <w:szCs w:val="19"/>
        </w:rPr>
        <w:t>údaje uvedené v žiadosti preskúma a vyhodnotí výpočty</w:t>
      </w:r>
    </w:p>
    <w:p>
      <w:pPr>
        <w:numPr>
          <w:ilvl w:val="0"/>
          <w:numId w:val="9"/>
        </w:numPr>
        <w:tabs>
          <w:tab w:val="clear" w:pos="360"/>
        </w:tabs>
        <w:autoSpaceDE/>
        <w:autoSpaceDN/>
        <w:jc w:val="both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</w:rPr>
        <w:t>množstva elektriny vyrobenej kombinovanou výrobou</w:t>
      </w:r>
      <w:r>
        <w:rPr>
          <w:rFonts w:ascii="Times New Roman" w:hAnsi="Times New Roman" w:cs="Times New Roman"/>
          <w:szCs w:val="19"/>
        </w:rPr>
        <w:t>,</w:t>
      </w:r>
    </w:p>
    <w:p>
      <w:pPr>
        <w:numPr>
          <w:ilvl w:val="0"/>
          <w:numId w:val="9"/>
        </w:numPr>
        <w:tabs>
          <w:tab w:val="clear" w:pos="360"/>
        </w:tabs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úspory primárnej energie,</w:t>
      </w:r>
      <w:r>
        <w:rPr>
          <w:rFonts w:ascii="Times New Roman" w:hAnsi="Times New Roman" w:cs="Times New Roman"/>
          <w:szCs w:val="19"/>
          <w:vertAlign w:val="superscript"/>
        </w:rPr>
        <w:t xml:space="preserve"> </w:t>
      </w:r>
    </w:p>
    <w:p>
      <w:pPr>
        <w:numPr>
          <w:ilvl w:val="0"/>
          <w:numId w:val="9"/>
        </w:numPr>
        <w:tabs>
          <w:tab w:val="clear" w:pos="360"/>
        </w:tabs>
        <w:autoSpaceDE/>
        <w:autoSpaceDN/>
        <w:jc w:val="both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</w:rPr>
        <w:t xml:space="preserve">množstva elektriny vyrobenej vysoko účinnou kombinovanou výrobou, na ktoré </w:t>
      </w:r>
      <w:r>
        <w:rPr>
          <w:rFonts w:ascii="Times New Roman" w:hAnsi="Times New Roman" w:cs="Times New Roman"/>
          <w:szCs w:val="19"/>
        </w:rPr>
        <w:t>potvrdenie o pôvode žiadateľ požaduje.</w:t>
      </w:r>
    </w:p>
    <w:p>
      <w:pPr>
        <w:pStyle w:val="Odstavec"/>
        <w:tabs>
          <w:tab w:val="clear" w:pos="567"/>
        </w:tabs>
        <w:overflowPunct/>
        <w:spacing w:before="0" w:line="240" w:lineRule="auto"/>
        <w:textAlignment w:val="auto"/>
        <w:rPr>
          <w:rFonts w:ascii="Times New Roman" w:hAnsi="Times New Roman" w:cs="Times New Roman"/>
          <w:szCs w:val="19"/>
          <w:lang w:eastAsia="sk-SK"/>
        </w:rPr>
      </w:pPr>
    </w:p>
    <w:p>
      <w:pPr>
        <w:pStyle w:val="BodyText3"/>
        <w:autoSpaceDE/>
        <w:autoSpaceDN/>
        <w:ind w:firstLine="567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(6) Ministerstvo</w:t>
      </w:r>
      <w:r>
        <w:rPr>
          <w:rFonts w:ascii="Times New Roman" w:hAnsi="Times New Roman" w:cs="Times New Roman"/>
          <w:color w:val="FF0000"/>
          <w:szCs w:val="19"/>
        </w:rPr>
        <w:t xml:space="preserve"> </w:t>
      </w:r>
      <w:r>
        <w:rPr>
          <w:rFonts w:ascii="Times New Roman" w:hAnsi="Times New Roman" w:cs="Times New Roman"/>
          <w:szCs w:val="19"/>
        </w:rPr>
        <w:t xml:space="preserve">potvrdenie o pôvode vydá do 30 dní odo dňa doručenia úplnej žiadosti, ak sa vyhodnotením údajov predložených podľa odsekov 2, 3 a 5 preukáže, že ide o elektrinu vyrobenú vysoko účinnou kombinovanou výrobou. Potvrdenie o pôvode obsahuje </w:t>
      </w:r>
    </w:p>
    <w:p>
      <w:pPr>
        <w:pStyle w:val="BodyText3"/>
        <w:numPr>
          <w:ilvl w:val="1"/>
          <w:numId w:val="9"/>
        </w:numPr>
        <w:tabs>
          <w:tab w:val="clear" w:pos="360"/>
        </w:tabs>
        <w:autoSpaceDE/>
        <w:autoSpaceDN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identifikačné údaje žiadateľa, ktorému sa potvrdenie vydáva,</w:t>
      </w:r>
    </w:p>
    <w:p>
      <w:pPr>
        <w:pStyle w:val="BodyText3"/>
        <w:numPr>
          <w:ilvl w:val="1"/>
          <w:numId w:val="9"/>
        </w:numPr>
        <w:tabs>
          <w:tab w:val="clear" w:pos="360"/>
        </w:tabs>
        <w:autoSpaceDE/>
        <w:autoSpaceDN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popis technológie vysoko účinnej kombinovanej výroby,</w:t>
      </w:r>
    </w:p>
    <w:p>
      <w:pPr>
        <w:pStyle w:val="BodyText3"/>
        <w:numPr>
          <w:ilvl w:val="1"/>
          <w:numId w:val="9"/>
        </w:numPr>
        <w:tabs>
          <w:tab w:val="clear" w:pos="360"/>
        </w:tabs>
        <w:autoSpaceDE/>
        <w:autoSpaceDN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množstvo a výhrevnosť paliva, z ktorého bola elektrina vyrobená vysoko účinnou kombinovanou výrobou,</w:t>
      </w:r>
    </w:p>
    <w:p>
      <w:pPr>
        <w:pStyle w:val="BodyText3"/>
        <w:numPr>
          <w:ilvl w:val="1"/>
          <w:numId w:val="9"/>
        </w:numPr>
        <w:tabs>
          <w:tab w:val="clear" w:pos="360"/>
        </w:tabs>
        <w:autoSpaceDE/>
        <w:autoSpaceDN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spôsob využitia tepla využiteľného tepla vyrobeného spoločne s elektrinou vyrobenou vysoko účinnou kombinovanou výrobou,</w:t>
      </w:r>
    </w:p>
    <w:p>
      <w:pPr>
        <w:pStyle w:val="BodyText3"/>
        <w:numPr>
          <w:ilvl w:val="1"/>
          <w:numId w:val="9"/>
        </w:numPr>
        <w:tabs>
          <w:tab w:val="clear" w:pos="360"/>
        </w:tabs>
        <w:autoSpaceDE/>
        <w:autoSpaceDN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obdobie a miesto výroby elektriny vyrobenej vysoko účinnou kombinovanou výrobou,</w:t>
      </w:r>
    </w:p>
    <w:p>
      <w:pPr>
        <w:pStyle w:val="BodyText3"/>
        <w:numPr>
          <w:ilvl w:val="1"/>
          <w:numId w:val="9"/>
        </w:numPr>
        <w:tabs>
          <w:tab w:val="clear" w:pos="360"/>
        </w:tabs>
        <w:autoSpaceDE/>
        <w:autoSpaceDN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množstvo elektriny vyrobenej vysoko účinnou kombinovanou výrobou, na ktoré sa potvrdenie o pôvode vydáva,</w:t>
      </w:r>
    </w:p>
    <w:p>
      <w:pPr>
        <w:pStyle w:val="BodyText3"/>
        <w:numPr>
          <w:ilvl w:val="1"/>
          <w:numId w:val="9"/>
        </w:numPr>
        <w:tabs>
          <w:tab w:val="clear" w:pos="360"/>
        </w:tabs>
        <w:autoSpaceDE/>
        <w:autoSpaceDN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úspory primárnej energie.</w:t>
      </w:r>
    </w:p>
    <w:p>
      <w:pPr>
        <w:pStyle w:val="NormalWeb"/>
        <w:tabs>
          <w:tab w:val="left" w:pos="0"/>
        </w:tabs>
        <w:autoSpaceDE/>
        <w:autoSpaceDN/>
        <w:spacing w:before="0" w:beforeAutospacing="0" w:after="0" w:afterAutospacing="0"/>
        <w:jc w:val="both"/>
        <w:rPr>
          <w:rFonts w:ascii="Times New Roman" w:hAnsi="Times New Roman" w:cs="Times New Roman"/>
          <w:szCs w:val="19"/>
        </w:rPr>
      </w:pPr>
    </w:p>
    <w:p>
      <w:pPr>
        <w:pStyle w:val="NormalWeb"/>
        <w:tabs>
          <w:tab w:val="left" w:pos="0"/>
        </w:tabs>
        <w:autoSpaceDE/>
        <w:autoSpaceDN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19"/>
        </w:rPr>
        <w:tab/>
      </w:r>
      <w:r>
        <w:rPr>
          <w:rFonts w:ascii="Times New Roman" w:hAnsi="Times New Roman" w:cs="Times New Roman"/>
        </w:rPr>
        <w:t xml:space="preserve">(7) Potvrdenie o pôvode alebo iná záruka pôvodu elektriny, ktoré boli vydané v inej členskej krajine Európskej únie, sa môže uznať ako platné aj v Slovenskej republike. </w:t>
      </w:r>
    </w:p>
    <w:p>
      <w:pPr>
        <w:pStyle w:val="NormalWeb"/>
        <w:tabs>
          <w:tab w:val="left" w:pos="0"/>
        </w:tabs>
        <w:autoSpaceDE/>
        <w:autoSpaceDN/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</w:rPr>
      </w:pPr>
    </w:p>
    <w:p>
      <w:pPr>
        <w:pStyle w:val="NormalWeb"/>
        <w:tabs>
          <w:tab w:val="left" w:pos="0"/>
        </w:tabs>
        <w:autoSpaceDE/>
        <w:autoSpaceDN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</w:rPr>
        <w:t>(8) Ak Európska komisia (ďalej len „Komisia) po odmietnutí uznania potvrdenia o pôvode alebo inej záruky pôvodu elektriny uzná potvrdenie o pôvode alebo inú záruku pôvodu elektriny, rozhodnutie Komisie je pre ministerstvo záväzné.</w:t>
      </w:r>
    </w:p>
    <w:p>
      <w:pPr>
        <w:pStyle w:val="Odstavec"/>
        <w:tabs>
          <w:tab w:val="clear" w:pos="567"/>
        </w:tabs>
        <w:overflowPunct/>
        <w:spacing w:before="0" w:line="240" w:lineRule="auto"/>
        <w:textAlignment w:val="auto"/>
        <w:rPr>
          <w:rFonts w:ascii="Times New Roman" w:hAnsi="Times New Roman" w:cs="Times New Roman"/>
          <w:szCs w:val="19"/>
          <w:lang w:eastAsia="sk-SK"/>
        </w:rPr>
      </w:pPr>
    </w:p>
    <w:p>
      <w:pPr>
        <w:pStyle w:val="Odstavec"/>
        <w:tabs>
          <w:tab w:val="clear" w:pos="567"/>
        </w:tabs>
        <w:overflowPunct/>
        <w:spacing w:before="0" w:line="240" w:lineRule="auto"/>
        <w:textAlignment w:val="auto"/>
        <w:rPr>
          <w:rFonts w:ascii="Times New Roman" w:hAnsi="Times New Roman" w:cs="Times New Roman"/>
          <w:szCs w:val="19"/>
          <w:lang w:eastAsia="sk-SK"/>
        </w:rPr>
      </w:pPr>
      <w:r>
        <w:rPr>
          <w:rFonts w:ascii="Times New Roman" w:hAnsi="Times New Roman" w:cs="Times New Roman"/>
          <w:szCs w:val="19"/>
          <w:lang w:eastAsia="sk-SK"/>
        </w:rPr>
        <w:tab/>
        <w:t>(9) Žiadateľ o potvrdenie o pôvode je pri zmene technického a technologického zariadenia vysoko účinnej kombinovanej výroby povinný   požiadať  o vydanie   nového   potvrdenia o pôvode do troch mesiacov odo dňa vykonania zmeny zariadenia. K žiadosti doloží náležitosti uvedené v odsekoch 2 a 3.</w:t>
      </w:r>
    </w:p>
    <w:p>
      <w:pPr>
        <w:pStyle w:val="BodyText3"/>
        <w:autoSpaceDE/>
        <w:autoSpaceDN/>
        <w:rPr>
          <w:rFonts w:ascii="Times New Roman" w:hAnsi="Times New Roman" w:cs="Times New Roman"/>
        </w:rPr>
      </w:pPr>
    </w:p>
    <w:p>
      <w:pPr>
        <w:tabs>
          <w:tab w:val="left" w:pos="0"/>
        </w:tabs>
        <w:autoSpaceDE/>
        <w:autoSpaceDN/>
        <w:rPr>
          <w:rFonts w:ascii="Times New Roman" w:hAnsi="Times New Roman" w:cs="Times New Roman"/>
          <w:szCs w:val="20"/>
        </w:rPr>
      </w:pPr>
    </w:p>
    <w:p>
      <w:pPr>
        <w:tabs>
          <w:tab w:val="left" w:pos="0"/>
        </w:tabs>
        <w:autoSpaceDE/>
        <w:autoSpaceDN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§ 5</w:t>
      </w:r>
    </w:p>
    <w:p>
      <w:pPr>
        <w:tabs>
          <w:tab w:val="left" w:pos="0"/>
        </w:tabs>
        <w:autoSpaceDE/>
        <w:autoSpaceDN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Konanie o námietkach</w:t>
      </w:r>
    </w:p>
    <w:p>
      <w:pPr>
        <w:tabs>
          <w:tab w:val="left" w:pos="0"/>
        </w:tabs>
        <w:autoSpaceDE/>
        <w:autoSpaceDN/>
        <w:jc w:val="center"/>
        <w:rPr>
          <w:rFonts w:ascii="Times New Roman" w:hAnsi="Times New Roman" w:cs="Times New Roman"/>
          <w:szCs w:val="20"/>
        </w:rPr>
      </w:pPr>
    </w:p>
    <w:p>
      <w:pPr>
        <w:pStyle w:val="NormalWeb"/>
        <w:tabs>
          <w:tab w:val="left" w:pos="0"/>
        </w:tabs>
        <w:autoSpaceDE/>
        <w:autoSpaceDN/>
        <w:spacing w:before="0" w:beforeAutospacing="0" w:after="0" w:afterAutospacing="0"/>
        <w:jc w:val="both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ab/>
        <w:t xml:space="preserve">(1) Ak ministerstvo potvrdenie nevydá, žiadateľ má právo proti jeho postupu podať písomné námietky do 15 dní, ak nie je dohodnutá dlhšia lehota, odo dňa doručenia oznámenia o nevydaní potvrdenia. Námietky sa podávajú ministrovi a nemajú odkladný účinok.  </w:t>
      </w:r>
    </w:p>
    <w:p>
      <w:pPr>
        <w:pStyle w:val="NormalWeb"/>
        <w:tabs>
          <w:tab w:val="left" w:pos="0"/>
        </w:tabs>
        <w:autoSpaceDE/>
        <w:autoSpaceDN/>
        <w:spacing w:before="0" w:beforeAutospacing="0" w:after="0" w:afterAutospacing="0"/>
        <w:rPr>
          <w:rFonts w:ascii="Times New Roman" w:hAnsi="Times New Roman" w:cs="Times New Roman"/>
          <w:szCs w:val="19"/>
        </w:rPr>
      </w:pPr>
    </w:p>
    <w:p>
      <w:pPr>
        <w:pStyle w:val="NormalWeb"/>
        <w:tabs>
          <w:tab w:val="left" w:pos="0"/>
        </w:tabs>
        <w:autoSpaceDE/>
        <w:autoSpaceDN/>
        <w:spacing w:before="0" w:beforeAutospacing="0" w:after="0" w:afterAutospacing="0"/>
        <w:jc w:val="both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ab/>
        <w:t>(2) Minister sa neodkladne zaoberá námietkami a preskúma napadnutý postup alebo úkon a najneskôr do 60 dní rozhodne o uplatnených námietkach.</w:t>
      </w:r>
    </w:p>
    <w:p>
      <w:pPr>
        <w:pStyle w:val="NormalWeb"/>
        <w:tabs>
          <w:tab w:val="left" w:pos="0"/>
        </w:tabs>
        <w:autoSpaceDE/>
        <w:autoSpaceDN/>
        <w:spacing w:before="0" w:beforeAutospacing="0" w:after="0" w:afterAutospacing="0"/>
        <w:jc w:val="both"/>
        <w:rPr>
          <w:rFonts w:ascii="Times New Roman" w:hAnsi="Times New Roman" w:cs="Times New Roman"/>
          <w:szCs w:val="19"/>
        </w:rPr>
      </w:pPr>
    </w:p>
    <w:p>
      <w:pPr>
        <w:pStyle w:val="NormalWeb"/>
        <w:tabs>
          <w:tab w:val="left" w:pos="0"/>
        </w:tabs>
        <w:autoSpaceDE/>
        <w:autoSpaceDN/>
        <w:spacing w:before="0" w:beforeAutospacing="0" w:after="0" w:afterAutospacing="0"/>
        <w:jc w:val="both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ab/>
        <w:t xml:space="preserve">(3) Ak minister zistí opodstatnenosť námietok, zabezpečí odstránenie nedostatkov na náklady toho, kto spôsobil tento nedostatok. Odstránenie nedostatku do troch dní písomne oznámi žiadateľovi. </w:t>
      </w:r>
    </w:p>
    <w:p>
      <w:pPr>
        <w:pStyle w:val="NormalWeb"/>
        <w:tabs>
          <w:tab w:val="left" w:pos="0"/>
        </w:tabs>
        <w:autoSpaceDE/>
        <w:autoSpaceDN/>
        <w:spacing w:before="0" w:beforeAutospacing="0" w:after="0" w:afterAutospacing="0"/>
        <w:jc w:val="both"/>
        <w:rPr>
          <w:rFonts w:ascii="Times New Roman" w:hAnsi="Times New Roman" w:cs="Times New Roman"/>
          <w:szCs w:val="19"/>
        </w:rPr>
      </w:pPr>
    </w:p>
    <w:p>
      <w:pPr>
        <w:pStyle w:val="BodyText3"/>
        <w:tabs>
          <w:tab w:val="left" w:pos="0"/>
        </w:tabs>
        <w:autoSpaceDE/>
        <w:autoSpaceDN/>
        <w:rPr>
          <w:rFonts w:ascii="Times New Roman" w:hAnsi="Times New Roman" w:cs="Times New Roman"/>
          <w:color w:val="FF0000"/>
          <w:szCs w:val="19"/>
        </w:rPr>
      </w:pPr>
      <w:r>
        <w:rPr>
          <w:rFonts w:ascii="Times New Roman" w:hAnsi="Times New Roman" w:cs="Times New Roman"/>
          <w:szCs w:val="19"/>
        </w:rPr>
        <w:tab/>
        <w:t>(4) Ak minister zistí neopodstatnenosť námietok, písomne to oznámi žiadateľovi do troch dní od skončenia preskúmavania námietok a poučí žiadateľa, že sa žiadateľ môže         so svojou sťažnosťou obrátiť na Komisiu.</w:t>
      </w:r>
    </w:p>
    <w:p>
      <w:pPr>
        <w:tabs>
          <w:tab w:val="left" w:pos="0"/>
        </w:tabs>
        <w:autoSpaceDE/>
        <w:autoSpaceDN/>
        <w:rPr>
          <w:rFonts w:ascii="Times New Roman" w:hAnsi="Times New Roman" w:cs="Times New Roman"/>
          <w:szCs w:val="20"/>
        </w:rPr>
      </w:pPr>
    </w:p>
    <w:p>
      <w:pPr>
        <w:tabs>
          <w:tab w:val="left" w:pos="0"/>
        </w:tabs>
        <w:autoSpaceDE/>
        <w:autoSpaceDN/>
        <w:rPr>
          <w:rFonts w:ascii="Times New Roman" w:hAnsi="Times New Roman" w:cs="Times New Roman"/>
          <w:szCs w:val="20"/>
        </w:rPr>
      </w:pPr>
    </w:p>
    <w:p>
      <w:pPr>
        <w:tabs>
          <w:tab w:val="left" w:pos="0"/>
        </w:tabs>
        <w:autoSpaceDE/>
        <w:autoSpaceDN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Pôsobnosť ministerstva</w:t>
      </w:r>
    </w:p>
    <w:p>
      <w:pPr>
        <w:tabs>
          <w:tab w:val="left" w:pos="0"/>
        </w:tabs>
        <w:autoSpaceDE/>
        <w:autoSpaceDN/>
        <w:jc w:val="center"/>
        <w:rPr>
          <w:rFonts w:ascii="Times New Roman" w:hAnsi="Times New Roman" w:cs="Times New Roman"/>
          <w:szCs w:val="20"/>
        </w:rPr>
      </w:pPr>
    </w:p>
    <w:p>
      <w:pPr>
        <w:tabs>
          <w:tab w:val="left" w:pos="0"/>
        </w:tabs>
        <w:autoSpaceDE/>
        <w:autoSpaceDN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§ 6</w:t>
      </w:r>
    </w:p>
    <w:p>
      <w:pPr>
        <w:jc w:val="both"/>
        <w:rPr>
          <w:rFonts w:ascii="Times New Roman" w:hAnsi="Times New Roman" w:cs="Times New Roman"/>
        </w:rPr>
      </w:pPr>
    </w:p>
    <w:p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Ministerstvo </w:t>
      </w:r>
    </w:p>
    <w:p>
      <w:pPr>
        <w:numPr>
          <w:ilvl w:val="0"/>
          <w:numId w:val="17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posudzuje a analyzuje právne predpisy a regulačný rámec národného potenciálu vysoko účinnej kombinovanej výroby, v rámci ktorého vyhodnocuje</w:t>
      </w:r>
    </w:p>
    <w:p>
      <w:pPr>
        <w:numPr>
          <w:ilvl w:val="0"/>
          <w:numId w:val="15"/>
        </w:numPr>
        <w:tabs>
          <w:tab w:val="left" w:pos="7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potenciál trhu s elektrinou pre dopyt po využiteľnom teple vhodný pre uplatnenie vysoko účinnej kombinovanej výroby,</w:t>
      </w:r>
    </w:p>
    <w:p>
      <w:pPr>
        <w:numPr>
          <w:ilvl w:val="0"/>
          <w:numId w:val="15"/>
        </w:numPr>
        <w:tabs>
          <w:tab w:val="left" w:pos="7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dostupnosť palív a iných energetických zdrojov, ktoré sa môžu využiť pri vysoko účinnej kombinovanej výrobe, a </w:t>
      </w:r>
    </w:p>
    <w:p>
      <w:pPr>
        <w:numPr>
          <w:ilvl w:val="0"/>
          <w:numId w:val="15"/>
        </w:numPr>
        <w:tabs>
          <w:tab w:val="left" w:pos="7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prekážky, ktoré môžu brániť realizácii vysoko účinnej kombinovanej výroby, </w:t>
      </w:r>
    </w:p>
    <w:p>
      <w:pPr>
        <w:numPr>
          <w:ilvl w:val="1"/>
          <w:numId w:val="15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zabezpečuje, aby vysoko účinná kombinovaná výroba u všetkých výrobcov sa vykonávala nediskriminačne a plne zohľadňovala zvláštnosti rôznych technológií výroby,</w:t>
      </w:r>
    </w:p>
    <w:p>
      <w:pPr>
        <w:numPr>
          <w:ilvl w:val="1"/>
          <w:numId w:val="15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uverejňuje na svojej internetovej stránke každé štyri roky správu o výsledku posúdenia zvýšenia podielu vysoko účinnej kombinovanej výroby na trhu s energiami,</w:t>
      </w:r>
    </w:p>
    <w:p>
      <w:pPr>
        <w:numPr>
          <w:ilvl w:val="1"/>
          <w:numId w:val="15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predkladá na požiadanie Komisie správu o výsledku posúdenia národného potenciálu pre vysoko účinnú kombinovanú výrobu,</w:t>
      </w:r>
    </w:p>
    <w:p>
      <w:pPr>
        <w:numPr>
          <w:ilvl w:val="1"/>
          <w:numId w:val="15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rozhoduje o splnení povinnosti uvedenej v § 3 ods. 8,</w:t>
      </w:r>
    </w:p>
    <w:p>
      <w:pPr>
        <w:numPr>
          <w:ilvl w:val="1"/>
          <w:numId w:val="15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plní povinnosti uvedené v osobitných predpisoch.</w:t>
      </w:r>
      <w:r>
        <w:rPr>
          <w:rFonts w:ascii="Times New Roman" w:hAnsi="Times New Roman" w:cs="Times New Roman"/>
          <w:vertAlign w:val="superscript"/>
        </w:rPr>
        <w:t>7)</w:t>
      </w:r>
    </w:p>
    <w:p>
      <w:pPr>
        <w:pStyle w:val="BodyText2"/>
        <w:jc w:val="both"/>
        <w:rPr>
          <w:rFonts w:ascii="Times New Roman" w:hAnsi="Times New Roman" w:cs="Times New Roman"/>
          <w:b w:val="0"/>
          <w:i w:val="0"/>
          <w:color w:val="auto"/>
          <w:sz w:val="20"/>
          <w:szCs w:val="28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</w:t>
      </w:r>
    </w:p>
    <w:p>
      <w:pPr>
        <w:jc w:val="both"/>
        <w:rPr>
          <w:rFonts w:ascii="Times New Roman" w:hAnsi="Times New Roman" w:cs="Times New Roman"/>
        </w:rPr>
      </w:pPr>
    </w:p>
    <w:p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Ministerstvo vypracúva analýzu národného potenciálu vysoko účinnej kombinovanej výroby z </w:t>
      </w:r>
    </w:p>
    <w:p>
      <w:pPr>
        <w:numPr>
          <w:ilvl w:val="0"/>
          <w:numId w:val="4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vyhodnotenia dopytu po využiteľnom teple a chlade, ktorý je vhodný na uplatnenie vysoko účinnej kombinovanej výroby,</w:t>
      </w:r>
    </w:p>
    <w:p>
      <w:pPr>
        <w:numPr>
          <w:ilvl w:val="0"/>
          <w:numId w:val="4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posúdenia dostupnosti palív a iných energetických zdrojov, ktoré sa môžu využiť pri kombinovanej výrobe,</w:t>
      </w:r>
    </w:p>
    <w:p>
      <w:pPr>
        <w:numPr>
          <w:ilvl w:val="0"/>
          <w:numId w:val="4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návrhu riešenia, ktorým sa zvýši podiel vysoko účinnej kombinovanej výroby na trhu s energiami,</w:t>
      </w:r>
    </w:p>
    <w:p>
      <w:pPr>
        <w:numPr>
          <w:ilvl w:val="0"/>
          <w:numId w:val="4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analýzy prekážok, ktoré zabraňujú realizácii národného potenciálu vysoko účinnej kombinovanej výroby,</w:t>
      </w:r>
    </w:p>
    <w:p>
      <w:pPr>
        <w:numPr>
          <w:ilvl w:val="0"/>
          <w:numId w:val="4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analýzy typu palív, ktoré môžu byť použité pri výrobe energie kombinovanou výrobou, vrátane možného potenciálu využívania obnoviteľných zdrojov energie a iných typov zariadení na kombinovanú výrobu podľa § 2 písm. i) a z rozdelenia potenciálu výroby medzi doteraz využívanými technológiami kombinovanej výroby a výstavbou nových technológií kombinovanej výroby podľa § 3 ods. 5,</w:t>
      </w:r>
    </w:p>
    <w:p>
      <w:pPr>
        <w:numPr>
          <w:ilvl w:val="0"/>
          <w:numId w:val="4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analýzy</w:t>
      </w:r>
      <w:r>
        <w:rPr>
          <w:rFonts w:ascii="Times New Roman" w:hAnsi="Times New Roman" w:cs="Times New Roman"/>
        </w:rPr>
        <w:t xml:space="preserve"> národného potenciálu kombinovanej výroby vo vzťahu k časovým rámcom do roku 2010, 2015 a 2020; v prípade realizovateľnosti analýza bude obsahovať pre každý z týchto časových rámcov vhodné odhady nákladov, a</w:t>
      </w:r>
    </w:p>
    <w:p>
      <w:pPr>
        <w:numPr>
          <w:ilvl w:val="0"/>
          <w:numId w:val="4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efektívnosti vynaloženia nákladov zohľadňujúcich aj národné záväzky prijaté v súvislosti so záväzkami týkajúcimi sa klimatických zmien, ktoré prijalo spoločenstvo podľa Kjótskeho protokolu k Rámcovému dohovoru Organizácie spojených národov o klimatickej zmene.                                    </w:t>
      </w:r>
    </w:p>
    <w:p>
      <w:pPr>
        <w:jc w:val="both"/>
        <w:rPr>
          <w:rFonts w:ascii="Times New Roman" w:hAnsi="Times New Roman" w:cs="Times New Roman"/>
          <w:color w:val="231F20"/>
        </w:rPr>
      </w:pPr>
    </w:p>
    <w:p>
      <w:pPr>
        <w:jc w:val="center"/>
        <w:rPr>
          <w:rFonts w:ascii="Times New Roman" w:hAnsi="Times New Roman" w:cs="Times New Roman"/>
          <w:color w:val="231F20"/>
        </w:rPr>
      </w:pPr>
    </w:p>
    <w:p>
      <w:pPr>
        <w:jc w:val="center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§ 8</w:t>
      </w:r>
    </w:p>
    <w:p>
      <w:pPr>
        <w:jc w:val="center"/>
        <w:rPr>
          <w:rFonts w:ascii="Times New Roman" w:hAnsi="Times New Roman" w:cs="Times New Roman"/>
          <w:color w:val="231F20"/>
        </w:rPr>
      </w:pPr>
    </w:p>
    <w:p>
      <w:pPr>
        <w:pStyle w:val="BodyText2"/>
        <w:ind w:firstLine="567"/>
        <w:jc w:val="both"/>
        <w:rPr>
          <w:rFonts w:ascii="Times New Roman" w:hAnsi="Times New Roman" w:cs="Times New Roman"/>
          <w:b w:val="0"/>
          <w:bCs/>
          <w:i w:val="0"/>
          <w:color w:val="auto"/>
        </w:rPr>
      </w:pPr>
      <w:r>
        <w:rPr>
          <w:rFonts w:ascii="Times New Roman" w:hAnsi="Times New Roman" w:cs="Times New Roman"/>
          <w:b w:val="0"/>
          <w:bCs/>
          <w:i w:val="0"/>
          <w:color w:val="auto"/>
        </w:rPr>
        <w:t>Ministerstvo všeobecne záväzným právnym predpisom ustanoví</w:t>
      </w:r>
    </w:p>
    <w:p>
      <w:pPr>
        <w:pStyle w:val="BodyText2"/>
        <w:numPr>
          <w:ilvl w:val="0"/>
          <w:numId w:val="7"/>
        </w:numPr>
        <w:tabs>
          <w:tab w:val="clear" w:pos="360"/>
        </w:tabs>
        <w:jc w:val="both"/>
        <w:rPr>
          <w:rFonts w:ascii="Times New Roman" w:hAnsi="Times New Roman" w:cs="Times New Roman"/>
          <w:b w:val="0"/>
          <w:i w:val="0"/>
          <w:color w:val="auto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Cs w:val="28"/>
        </w:rPr>
        <w:t xml:space="preserve">kritériá pre vysoko účinnú kombinovanú výrobu, </w:t>
      </w:r>
    </w:p>
    <w:p>
      <w:pPr>
        <w:pStyle w:val="BodyText2"/>
        <w:numPr>
          <w:ilvl w:val="0"/>
          <w:numId w:val="7"/>
        </w:numPr>
        <w:tabs>
          <w:tab w:val="clear" w:pos="360"/>
        </w:tabs>
        <w:jc w:val="both"/>
        <w:rPr>
          <w:rFonts w:ascii="Times New Roman" w:hAnsi="Times New Roman" w:cs="Times New Roman"/>
          <w:b w:val="0"/>
          <w:i w:val="0"/>
          <w:color w:val="auto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Cs w:val="28"/>
        </w:rPr>
        <w:t>spôsob výpočtu množstva elektriny vyrobenej kombinovanou výrobou,</w:t>
      </w:r>
    </w:p>
    <w:p>
      <w:pPr>
        <w:pStyle w:val="BodyText2"/>
        <w:numPr>
          <w:ilvl w:val="0"/>
          <w:numId w:val="7"/>
        </w:numPr>
        <w:tabs>
          <w:tab w:val="clear" w:pos="360"/>
        </w:tabs>
        <w:jc w:val="both"/>
        <w:rPr>
          <w:rFonts w:ascii="Times New Roman" w:hAnsi="Times New Roman" w:cs="Times New Roman"/>
          <w:b w:val="0"/>
          <w:i w:val="0"/>
          <w:color w:val="auto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Cs w:val="28"/>
        </w:rPr>
        <w:t>spôsob výpočtu úspor primárnej energie,</w:t>
      </w:r>
    </w:p>
    <w:p>
      <w:pPr>
        <w:pStyle w:val="BodyText2"/>
        <w:numPr>
          <w:ilvl w:val="0"/>
          <w:numId w:val="7"/>
        </w:numPr>
        <w:tabs>
          <w:tab w:val="clear" w:pos="360"/>
        </w:tabs>
        <w:jc w:val="both"/>
        <w:rPr>
          <w:rFonts w:ascii="Times New Roman" w:hAnsi="Times New Roman" w:cs="Times New Roman"/>
          <w:b w:val="0"/>
          <w:i w:val="0"/>
          <w:color w:val="auto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Cs w:val="28"/>
        </w:rPr>
        <w:t>spôsob určenia účinnosti kombinovanej výroby,</w:t>
      </w:r>
    </w:p>
    <w:p>
      <w:pPr>
        <w:pStyle w:val="BodyText2"/>
        <w:numPr>
          <w:ilvl w:val="0"/>
          <w:numId w:val="7"/>
        </w:numPr>
        <w:tabs>
          <w:tab w:val="clear" w:pos="360"/>
        </w:tabs>
        <w:jc w:val="both"/>
        <w:rPr>
          <w:rFonts w:ascii="Times New Roman" w:hAnsi="Times New Roman" w:cs="Times New Roman"/>
          <w:b w:val="0"/>
          <w:i w:val="0"/>
          <w:color w:val="auto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Cs w:val="28"/>
        </w:rPr>
        <w:t>hraničné a harmonizované referenčné hodnoty pre výpočet množstva elektriny vyrobenej kombinovanou výrobou,</w:t>
      </w:r>
    </w:p>
    <w:p>
      <w:pPr>
        <w:pStyle w:val="BodyText2"/>
        <w:numPr>
          <w:ilvl w:val="0"/>
          <w:numId w:val="7"/>
        </w:numPr>
        <w:tabs>
          <w:tab w:val="clear" w:pos="360"/>
        </w:tabs>
        <w:jc w:val="both"/>
        <w:rPr>
          <w:rFonts w:ascii="Times New Roman" w:hAnsi="Times New Roman" w:cs="Times New Roman"/>
          <w:b w:val="0"/>
          <w:i w:val="0"/>
          <w:color w:val="auto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Cs w:val="28"/>
        </w:rPr>
        <w:t xml:space="preserve">harmonizované referenčné hodnoty pre výpočet účinnosti kombinovanej výroby a pre výpočet úspor primárnej energie pri kombinovanej výrobe, </w:t>
      </w:r>
    </w:p>
    <w:p>
      <w:pPr>
        <w:pStyle w:val="BodyText2"/>
        <w:numPr>
          <w:ilvl w:val="0"/>
          <w:numId w:val="7"/>
        </w:numPr>
        <w:tabs>
          <w:tab w:val="clear" w:pos="360"/>
        </w:tabs>
        <w:jc w:val="both"/>
        <w:rPr>
          <w:rFonts w:ascii="Times New Roman" w:hAnsi="Times New Roman" w:cs="Times New Roman"/>
          <w:b w:val="0"/>
          <w:i w:val="0"/>
          <w:color w:val="auto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Cs w:val="28"/>
        </w:rPr>
        <w:t xml:space="preserve">spôsob </w:t>
      </w:r>
      <w:r>
        <w:rPr>
          <w:rFonts w:ascii="Times New Roman" w:hAnsi="Times New Roman" w:cs="Times New Roman"/>
          <w:b w:val="0"/>
          <w:i w:val="0"/>
          <w:color w:val="auto"/>
          <w:szCs w:val="28"/>
        </w:rPr>
        <w:t>určenia pomeru vyrobenej elektriny a tepla pri zariadeniach na vysoko účinnú kombinovanú výrobu,</w:t>
      </w:r>
    </w:p>
    <w:p>
      <w:pPr>
        <w:pStyle w:val="BodyText2"/>
        <w:numPr>
          <w:ilvl w:val="0"/>
          <w:numId w:val="7"/>
        </w:numPr>
        <w:tabs>
          <w:tab w:val="clear" w:pos="360"/>
        </w:tabs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vzor žiadosti o vydanie potvrdenia,</w:t>
      </w:r>
    </w:p>
    <w:p>
      <w:pPr>
        <w:pStyle w:val="BodyText2"/>
        <w:numPr>
          <w:ilvl w:val="0"/>
          <w:numId w:val="7"/>
        </w:numPr>
        <w:tabs>
          <w:tab w:val="clear" w:pos="360"/>
        </w:tabs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vzor potvrdenia.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BodyText2"/>
        <w:jc w:val="both"/>
        <w:rPr>
          <w:rFonts w:ascii="Times New Roman" w:hAnsi="Times New Roman" w:cs="Times New Roman"/>
          <w:b w:val="0"/>
          <w:i w:val="0"/>
          <w:color w:val="auto"/>
          <w:sz w:val="20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0"/>
          <w:szCs w:val="28"/>
        </w:rPr>
        <w:t>____________________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vertAlign w:val="superscript"/>
        </w:rPr>
        <w:t>7)</w:t>
      </w:r>
      <w:r>
        <w:rPr>
          <w:rFonts w:ascii="Times New Roman" w:hAnsi="Times New Roman" w:cs="Times New Roman"/>
          <w:sz w:val="20"/>
        </w:rPr>
        <w:t xml:space="preserve"> Zákon č. 656/2004 Z. z. v znení neskorších predpisov.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</w:rPr>
        <w:t>Zákon č. 657/2004 Z. z. v znení neskorších predpisov.</w:t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9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Súčinnosť orgánov štátnej správy a tretích osôb pri zabezpečení podkladov, 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ktoré slúžia na vypracovanie správ 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BodyText3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zabezpečenie vypracovania správ podľa § 6 písm. d) je ministerstvo oprávnené žiadať od príslušných ministerstiev a iných orgánov štátnej správy, ktoré vedú evidenciu o výrobcoch elektriny kombinovanou výrobou a evidenciu o emisných hodnotách uvoľňovaných do ovzdušia údaje potrebné na vypracovanie správ a tieto sú im povinné požadované informácie poskytnúť.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Povinnosti výrobcu elektriny kombinovanou výrobou</w:t>
      </w:r>
    </w:p>
    <w:p>
      <w:pPr>
        <w:tabs>
          <w:tab w:val="left" w:pos="284"/>
        </w:tabs>
        <w:autoSpaceDE/>
        <w:autoSpaceDN/>
        <w:jc w:val="both"/>
        <w:rPr>
          <w:rFonts w:ascii="Times New Roman" w:hAnsi="Times New Roman" w:cs="Times New Roman"/>
          <w:color w:val="231F20"/>
        </w:rPr>
      </w:pPr>
    </w:p>
    <w:p>
      <w:pPr>
        <w:autoSpaceDE/>
        <w:autoSpaceDN/>
        <w:ind w:firstLine="567"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(1) Výrobca elektriny kombinovanou výrobou vykonáva mesačnú bilanciu výroby a dodávky elektriny a výroby a dodávky tepla.</w:t>
      </w:r>
      <w:r>
        <w:rPr>
          <w:rFonts w:ascii="Times New Roman" w:hAnsi="Times New Roman" w:cs="Times New Roman"/>
          <w:color w:val="231F20"/>
          <w:vertAlign w:val="superscript"/>
        </w:rPr>
        <w:t>8)</w:t>
      </w:r>
      <w:r>
        <w:rPr>
          <w:rFonts w:ascii="Times New Roman" w:hAnsi="Times New Roman" w:cs="Times New Roman"/>
          <w:color w:val="231F20"/>
        </w:rPr>
        <w:t xml:space="preserve"> V bilancii výroby elektriny a tepla vyhodnocuje</w:t>
      </w:r>
    </w:p>
    <w:p>
      <w:pPr>
        <w:numPr>
          <w:ilvl w:val="0"/>
          <w:numId w:val="5"/>
        </w:numPr>
        <w:tabs>
          <w:tab w:val="clear" w:pos="360"/>
        </w:tabs>
        <w:autoSpaceDE/>
        <w:autoSpaceDN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spotrebu primárneho pali</w:t>
      </w:r>
      <w:r>
        <w:rPr>
          <w:rFonts w:ascii="Times New Roman" w:hAnsi="Times New Roman" w:cs="Times New Roman"/>
          <w:color w:val="231F20"/>
        </w:rPr>
        <w:t>va rozčlenenú podľa druhu a parametrov paliva,</w:t>
      </w:r>
    </w:p>
    <w:p>
      <w:pPr>
        <w:numPr>
          <w:ilvl w:val="0"/>
          <w:numId w:val="5"/>
        </w:numPr>
        <w:tabs>
          <w:tab w:val="clear" w:pos="360"/>
        </w:tabs>
        <w:autoSpaceDE/>
        <w:autoSpaceDN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sumárnu výrobu elektriny na svorkách generátorov,</w:t>
      </w:r>
    </w:p>
    <w:p>
      <w:pPr>
        <w:numPr>
          <w:ilvl w:val="0"/>
          <w:numId w:val="5"/>
        </w:numPr>
        <w:tabs>
          <w:tab w:val="clear" w:pos="360"/>
        </w:tabs>
        <w:autoSpaceDE/>
        <w:autoSpaceDN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vlastnú spotrebu elektriny,</w:t>
      </w:r>
    </w:p>
    <w:p>
      <w:pPr>
        <w:numPr>
          <w:ilvl w:val="0"/>
          <w:numId w:val="5"/>
        </w:numPr>
        <w:tabs>
          <w:tab w:val="clear" w:pos="360"/>
        </w:tabs>
        <w:autoSpaceDE/>
        <w:autoSpaceDN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sumárnu výrobu tepla vo všetkých zariadeniach a zariadeniach na oddelenú výrobu elektriny a tepla,</w:t>
      </w:r>
    </w:p>
    <w:p>
      <w:pPr>
        <w:numPr>
          <w:ilvl w:val="0"/>
          <w:numId w:val="5"/>
        </w:numPr>
        <w:tabs>
          <w:tab w:val="clear" w:pos="360"/>
        </w:tabs>
        <w:autoSpaceDE/>
        <w:autoSpaceDN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vlastnú spotrebu tepla,</w:t>
      </w:r>
    </w:p>
    <w:p>
      <w:pPr>
        <w:numPr>
          <w:ilvl w:val="0"/>
          <w:numId w:val="5"/>
        </w:numPr>
        <w:tabs>
          <w:tab w:val="clear" w:pos="360"/>
        </w:tabs>
        <w:autoSpaceDE/>
        <w:autoSpaceDN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množstvo využiteľného tepla,</w:t>
      </w:r>
    </w:p>
    <w:p>
      <w:pPr>
        <w:numPr>
          <w:ilvl w:val="0"/>
          <w:numId w:val="5"/>
        </w:numPr>
        <w:tabs>
          <w:tab w:val="clear" w:pos="360"/>
        </w:tabs>
        <w:autoSpaceDE/>
        <w:autoSpaceDN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sumárnu výrobu elektriny vyrobenej kombinovanou výrobou na svorkách generátorov,</w:t>
      </w:r>
    </w:p>
    <w:p>
      <w:pPr>
        <w:numPr>
          <w:ilvl w:val="0"/>
          <w:numId w:val="5"/>
        </w:numPr>
        <w:tabs>
          <w:tab w:val="clear" w:pos="360"/>
        </w:tabs>
        <w:autoSpaceDE/>
        <w:autoSpaceDN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sumárnu výrobu elektriny vyrobenej vysoko účinnou kombinovanou výrobou na svorkách generátorov,</w:t>
      </w:r>
    </w:p>
    <w:p>
      <w:pPr>
        <w:numPr>
          <w:ilvl w:val="0"/>
          <w:numId w:val="5"/>
        </w:numPr>
        <w:tabs>
          <w:tab w:val="clear" w:pos="360"/>
        </w:tabs>
        <w:autoSpaceDE/>
        <w:autoSpaceDN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celkovú účinnosť zariadení.</w:t>
      </w:r>
    </w:p>
    <w:p>
      <w:pPr>
        <w:autoSpaceDE/>
        <w:autoSpaceDN/>
        <w:jc w:val="both"/>
        <w:rPr>
          <w:rFonts w:ascii="Times New Roman" w:hAnsi="Times New Roman" w:cs="Times New Roman"/>
          <w:color w:val="231F20"/>
        </w:rPr>
      </w:pPr>
    </w:p>
    <w:p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Výrobca elektriny kombino</w:t>
      </w:r>
      <w:r>
        <w:rPr>
          <w:rFonts w:ascii="Times New Roman" w:hAnsi="Times New Roman" w:cs="Times New Roman"/>
        </w:rPr>
        <w:t>vanou výrobou prevádzkujúci zariadenie s elektrickým výkonom od 1 MW okrem skutočností uvedených v odseku 2 vo svojej bilancii vyhodnocuje pre každé zariadenie aj</w:t>
      </w:r>
    </w:p>
    <w:p>
      <w:pPr>
        <w:numPr>
          <w:ilvl w:val="1"/>
          <w:numId w:val="5"/>
        </w:numPr>
        <w:tabs>
          <w:tab w:val="clear" w:pos="360"/>
        </w:tabs>
        <w:autoSpaceDE/>
        <w:autoSpaceDN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výrobu elektriny na svorkách jednotlivých generátorov,</w:t>
      </w:r>
    </w:p>
    <w:p>
      <w:pPr>
        <w:numPr>
          <w:ilvl w:val="1"/>
          <w:numId w:val="5"/>
        </w:numPr>
        <w:tabs>
          <w:tab w:val="clear" w:pos="360"/>
        </w:tabs>
        <w:autoSpaceDE/>
        <w:autoSpaceDN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celkovú účinnosť jednotlivých zariadení,</w:t>
      </w:r>
    </w:p>
    <w:p>
      <w:pPr>
        <w:numPr>
          <w:ilvl w:val="1"/>
          <w:numId w:val="5"/>
        </w:numPr>
        <w:tabs>
          <w:tab w:val="clear" w:pos="360"/>
        </w:tabs>
        <w:autoSpaceDE/>
        <w:autoSpaceDN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ukazovateľ kombinovanej výroby jednotlivých zariadení.</w:t>
      </w:r>
    </w:p>
    <w:p>
      <w:pPr>
        <w:autoSpaceDE/>
        <w:autoSpaceDN/>
        <w:jc w:val="both"/>
        <w:rPr>
          <w:rFonts w:ascii="Times New Roman" w:hAnsi="Times New Roman" w:cs="Times New Roman"/>
          <w:color w:val="231F20"/>
        </w:rPr>
      </w:pPr>
    </w:p>
    <w:p>
      <w:pPr>
        <w:autoSpaceDE/>
        <w:autoSpaceDN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 xml:space="preserve">(3) Výrobca elektriny kombinovanou výrobou predloží sumárne ročné údaje získané     z mesačných bilancií podľa odsekov 1 a 2 </w:t>
      </w:r>
      <w:r>
        <w:rPr>
          <w:rFonts w:ascii="Times New Roman" w:hAnsi="Times New Roman" w:cs="Times New Roman"/>
        </w:rPr>
        <w:t xml:space="preserve">ministerstvu </w:t>
      </w:r>
      <w:r>
        <w:rPr>
          <w:rFonts w:ascii="Times New Roman" w:hAnsi="Times New Roman" w:cs="Times New Roman"/>
          <w:color w:val="231F20"/>
        </w:rPr>
        <w:t>najneskôr do 25. januára za uplynulý rok.</w:t>
      </w:r>
    </w:p>
    <w:p>
      <w:pPr>
        <w:ind w:firstLine="708"/>
        <w:jc w:val="both"/>
        <w:rPr>
          <w:rFonts w:ascii="Times New Roman" w:hAnsi="Times New Roman" w:cs="Times New Roman"/>
        </w:rPr>
      </w:pPr>
    </w:p>
    <w:p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>(4) Výrobca elek</w:t>
      </w:r>
      <w:r>
        <w:rPr>
          <w:rFonts w:ascii="Times New Roman" w:hAnsi="Times New Roman" w:cs="Times New Roman"/>
          <w:color w:val="231F20"/>
        </w:rPr>
        <w:t xml:space="preserve">triny, ktorý vyrába elektrinu </w:t>
      </w:r>
      <w:r>
        <w:rPr>
          <w:rFonts w:ascii="Times New Roman" w:hAnsi="Times New Roman" w:cs="Times New Roman"/>
        </w:rPr>
        <w:t>vysoko účinnou kombinovanou výrobou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so súčtovým elektrickým výkonom inštalovaných zariadení vyšším ako 1 MW a ktorý  využije svoje právo na dodávku elektriny za regulované ceny, oznámi túto skutočnosť vrátane predpokladaného množstva dodanej elektriny každoročne do 15. augusta Úradu pre reguláciu </w:t>
      </w:r>
      <w:r>
        <w:rPr>
          <w:rFonts w:ascii="Times New Roman" w:hAnsi="Times New Roman" w:cs="Times New Roman"/>
        </w:rPr>
        <w:t xml:space="preserve">sieťových odvetví a účastníkovi trhu s elektrinou, ktorý nakupuje elektrinu na pokrytie strát v prenosovej sústave. </w:t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231F20"/>
        </w:rPr>
      </w:pPr>
    </w:p>
    <w:p>
      <w:pPr>
        <w:autoSpaceDE/>
        <w:autoSpaceDN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vertAlign w:val="superscript"/>
        </w:rPr>
        <w:t>8)</w:t>
      </w:r>
      <w:r>
        <w:rPr>
          <w:rFonts w:ascii="Times New Roman" w:hAnsi="Times New Roman" w:cs="Times New Roman"/>
          <w:sz w:val="20"/>
        </w:rPr>
        <w:t xml:space="preserve"> § 18 ods. 3 písm. b) zákona č. 657/2004 Z. z. o tepelnej energetike v znení zákona č. 99/2007 Z. z.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Štátny dozor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  <w:t>Štátny dozor nad dodržiavaním ustanovení tohto zákona vykonáva Štátna energetická inšpekcia (ďalej len „inšpekcia“) podľa osobitného predpisu.</w:t>
      </w:r>
      <w:r>
        <w:rPr>
          <w:rFonts w:ascii="Times New Roman" w:hAnsi="Times New Roman" w:cs="Times New Roman"/>
          <w:vertAlign w:val="superscript"/>
        </w:rPr>
        <w:t>9)</w:t>
      </w:r>
      <w:r>
        <w:rPr>
          <w:rFonts w:ascii="Times New Roman" w:hAnsi="Times New Roman" w:cs="Times New Roman"/>
          <w:color w:val="FF0000"/>
        </w:rPr>
        <w:t xml:space="preserve"> </w:t>
      </w:r>
    </w:p>
    <w:p>
      <w:pPr>
        <w:rPr>
          <w:rFonts w:ascii="Times New Roman" w:hAnsi="Times New Roman" w:cs="Times New Roman"/>
          <w:color w:val="FF0000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Priestupky a iné správne de</w:t>
      </w:r>
      <w:r>
        <w:rPr>
          <w:rFonts w:ascii="Times New Roman" w:hAnsi="Times New Roman" w:cs="Times New Roman"/>
        </w:rPr>
        <w:t>likty a ukladanie pokút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Priestupky</w:t>
      </w:r>
    </w:p>
    <w:p>
      <w:pPr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 xml:space="preserve">(1) Priestupku podľa tohto zákona sa dopustí fyzická osoba, ktorá vyrába elektrinu kombinovanou výrobou a ktorá nedodrží povinnosti a nepredloží sumárne ročné údaje získané z mesačných bilancií ministerstvu podľa § 10 ods. 3. 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(2) Za priestupok uvedený v odseku 1 </w:t>
      </w:r>
      <w:r>
        <w:rPr>
          <w:rFonts w:ascii="Times New Roman" w:hAnsi="Times New Roman" w:cs="Times New Roman"/>
        </w:rPr>
        <w:t>inšpekcia uloží pokutu do 50 000 Sk.</w:t>
      </w:r>
      <w:r>
        <w:rPr>
          <w:rFonts w:ascii="Times New Roman" w:hAnsi="Times New Roman" w:cs="Times New Roman"/>
          <w:color w:val="000000"/>
        </w:rPr>
        <w:t xml:space="preserve"> 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  <w:vertAlign w:val="superscript"/>
        </w:rPr>
      </w:pPr>
      <w:r>
        <w:rPr>
          <w:rFonts w:ascii="Times New Roman" w:hAnsi="Times New Roman" w:cs="Times New Roman"/>
          <w:color w:val="000000"/>
        </w:rPr>
        <w:tab/>
        <w:t>(3) Na konanie o priestupkoch sa vzťahuje osobitný predpis.</w:t>
      </w:r>
      <w:r>
        <w:rPr>
          <w:rFonts w:ascii="Times New Roman" w:hAnsi="Times New Roman" w:cs="Times New Roman"/>
          <w:color w:val="000000"/>
          <w:vertAlign w:val="superscript"/>
        </w:rPr>
        <w:t>10)</w:t>
      </w:r>
    </w:p>
    <w:p>
      <w:pPr>
        <w:jc w:val="center"/>
        <w:rPr>
          <w:rFonts w:ascii="Times New Roman" w:hAnsi="Times New Roman" w:cs="Times New Roman"/>
          <w:color w:val="000000"/>
        </w:rPr>
      </w:pPr>
    </w:p>
    <w:p>
      <w:pPr>
        <w:jc w:val="center"/>
        <w:rPr>
          <w:rFonts w:ascii="Times New Roman" w:hAnsi="Times New Roman" w:cs="Times New Roman"/>
          <w:color w:val="000000"/>
        </w:rPr>
      </w:pPr>
    </w:p>
    <w:p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13</w:t>
      </w:r>
    </w:p>
    <w:p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Správne delikty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 xml:space="preserve">(1) Správneho deliktu podľa tohto zákona sa dopustí výrobca elektriny, ktorý vyrába elektrinu vysoko účinnou kombinovanou výrobou a nesplnil oznamovaciu povinnosť podľa   § 10 ods. 4.  </w:t>
      </w:r>
    </w:p>
    <w:p>
      <w:pPr>
        <w:pStyle w:val="Odstavec"/>
        <w:tabs>
          <w:tab w:val="clear" w:pos="567"/>
        </w:tabs>
        <w:overflowPunct/>
        <w:adjustRightInd/>
        <w:spacing w:before="0" w:line="240" w:lineRule="auto"/>
        <w:textAlignment w:val="auto"/>
        <w:rPr>
          <w:rFonts w:ascii="Times New Roman" w:hAnsi="Times New Roman" w:cs="Times New Roman"/>
          <w:szCs w:val="24"/>
          <w:lang w:eastAsia="sk-SK"/>
        </w:rPr>
      </w:pPr>
    </w:p>
    <w:p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  <w:t>(2) Správneho deliktu sa dopustí aj ten, kto znemožní prednostný prístup, pripojenie, prenos, distribúciu a dodávku elektriny podľa § 3 ods. 8.</w:t>
      </w:r>
      <w:r>
        <w:rPr>
          <w:rFonts w:ascii="Times New Roman" w:hAnsi="Times New Roman" w:cs="Times New Roman"/>
          <w:color w:val="FF0000"/>
        </w:rPr>
        <w:t xml:space="preserve">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(3) Pokutu za správne delikty uvedené v odsekoch 1 a 2 inšpekcia uloží vo výške od   10 000 Sk do 1 000 000 Sk.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14</w:t>
      </w:r>
    </w:p>
    <w:p>
      <w:pPr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  <w:strike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(1) Pokuty za priestupky a pokuty za správne delikty možno uložiť do jedného roka odo dňa, keď inšpekcia zistila porušenie zákonom ustanovených povinností fyzickými alebo právnickými osobami,  najneskôr však do troch rokov od ich porušenia. 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(2) Pri určení výšky pokuty </w:t>
      </w:r>
      <w:r>
        <w:rPr>
          <w:rFonts w:ascii="Times New Roman" w:hAnsi="Times New Roman" w:cs="Times New Roman"/>
        </w:rPr>
        <w:t xml:space="preserve">inšpekcia </w:t>
      </w:r>
      <w:r>
        <w:rPr>
          <w:rFonts w:ascii="Times New Roman" w:hAnsi="Times New Roman" w:cs="Times New Roman"/>
          <w:color w:val="000000"/>
        </w:rPr>
        <w:t>prihliada na závažnosť, význam a dobu trvania protiprávneho konania a na rozsah spôsobených následkov.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(3) Pokutu inšpekcia uloží rozhodnutím.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(4) Výnosy z pokút sú príjmom štátneho rozpočtu.</w:t>
      </w:r>
    </w:p>
    <w:p>
      <w:pPr>
        <w:rPr>
          <w:rFonts w:ascii="Times New Roman" w:hAnsi="Times New Roman" w:cs="Times New Roman"/>
          <w:color w:val="000000"/>
        </w:rPr>
      </w:pPr>
    </w:p>
    <w:p>
      <w:pPr>
        <w:jc w:val="center"/>
        <w:rPr>
          <w:rFonts w:ascii="Times New Roman" w:hAnsi="Times New Roman" w:cs="Times New Roman"/>
          <w:color w:val="000000"/>
        </w:rPr>
      </w:pPr>
    </w:p>
    <w:p>
      <w:pPr>
        <w:autoSpaceDE/>
        <w:autoSpaceDN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</w:t>
      </w:r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0"/>
          <w:vertAlign w:val="superscript"/>
        </w:rPr>
        <w:t>9)</w:t>
      </w:r>
      <w:r>
        <w:rPr>
          <w:rFonts w:ascii="Times New Roman" w:hAnsi="Times New Roman" w:cs="Times New Roman"/>
          <w:sz w:val="20"/>
        </w:rPr>
        <w:t xml:space="preserve"> § 65 zákona č. 656/2004 Z. z. v znení neskorších predpisov.</w:t>
      </w:r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0"/>
          <w:vertAlign w:val="superscript"/>
        </w:rPr>
        <w:t>10)</w:t>
      </w:r>
      <w:r>
        <w:rPr>
          <w:rFonts w:ascii="Times New Roman" w:hAnsi="Times New Roman" w:cs="Times New Roman"/>
          <w:sz w:val="20"/>
        </w:rPr>
        <w:t xml:space="preserve">  Zákon Slovenskej národnej rady č. 372/1990 Zb. o priestupkoch v znení neskorších predpisov.</w:t>
      </w:r>
    </w:p>
    <w:p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15</w:t>
      </w:r>
    </w:p>
    <w:p>
      <w:pPr>
        <w:jc w:val="center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  <w:vertAlign w:val="superscript"/>
        </w:rPr>
      </w:pPr>
      <w:r>
        <w:rPr>
          <w:rFonts w:ascii="Times New Roman" w:hAnsi="Times New Roman" w:cs="Times New Roman"/>
          <w:color w:val="000000"/>
        </w:rPr>
        <w:tab/>
        <w:t>Na vydanie potvrdenia o pôvode elektriny podľa § 4 ods. 6 a na konanie o námietkach podľa § 5 sa nevzťahuje všeobecný predpis o správnom konaní.</w:t>
      </w:r>
      <w:r>
        <w:rPr>
          <w:rFonts w:ascii="Times New Roman" w:hAnsi="Times New Roman" w:cs="Times New Roman"/>
          <w:color w:val="000000"/>
          <w:vertAlign w:val="superscript"/>
        </w:rPr>
        <w:t>11)</w:t>
      </w:r>
    </w:p>
    <w:p>
      <w:pPr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cs="Times New Roman"/>
          <w:color w:val="000000"/>
        </w:rPr>
      </w:pPr>
    </w:p>
    <w:p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16</w:t>
      </w:r>
    </w:p>
    <w:p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Prechodné ustanovenie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(1) Na účely tohto zákona sa pod existujúcim zariadením podľa § 3 ods. 5 rozumie zariadenie uvedené do prevádzky pred 1. januárom 2008.</w:t>
      </w:r>
    </w:p>
    <w:p>
      <w:pPr>
        <w:jc w:val="both"/>
        <w:rPr>
          <w:rFonts w:ascii="Times New Roman" w:hAnsi="Times New Roman" w:cs="Times New Roman"/>
        </w:rPr>
      </w:pPr>
    </w:p>
    <w:p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Ministerstvo prvú správu podľa § 6 ods. 1 písm. d) uverejní do 30. júna 2008.</w:t>
      </w:r>
    </w:p>
    <w:p>
      <w:pPr>
        <w:jc w:val="center"/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cs="Times New Roman"/>
          <w:color w:val="000000"/>
        </w:rPr>
      </w:pPr>
    </w:p>
    <w:p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17</w:t>
      </w:r>
    </w:p>
    <w:p>
      <w:pPr>
        <w:jc w:val="center"/>
        <w:rPr>
          <w:rFonts w:ascii="Times New Roman" w:hAnsi="Times New Roman" w:cs="Times New Roman"/>
          <w:color w:val="000000"/>
        </w:rPr>
      </w:pPr>
    </w:p>
    <w:p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Týmto zákonom sa preberá právny akt Európskych spoločenstiev a Európskej únie uvedený v prílohe.</w:t>
      </w:r>
    </w:p>
    <w:p>
      <w:pPr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cs="Times New Roman"/>
          <w:color w:val="000000"/>
        </w:rPr>
      </w:pPr>
    </w:p>
    <w:p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Čl. II</w:t>
      </w:r>
    </w:p>
    <w:p>
      <w:pPr>
        <w:autoSpaceDE/>
        <w:autoSpaceDN/>
        <w:ind w:firstLine="567"/>
        <w:jc w:val="both"/>
        <w:rPr>
          <w:rFonts w:ascii="Times New Roman" w:hAnsi="Times New Roman" w:cs="Times New Roman"/>
        </w:rPr>
      </w:pPr>
    </w:p>
    <w:p>
      <w:pPr>
        <w:autoSpaceDE/>
        <w:autoSpaceDN/>
        <w:ind w:firstLine="567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 xml:space="preserve">Zákon </w:t>
      </w:r>
      <w:r>
        <w:rPr>
          <w:rFonts w:ascii="Times New Roman" w:hAnsi="Times New Roman" w:cs="Times New Roman"/>
          <w:lang w:eastAsia="cs-CZ"/>
        </w:rPr>
        <w:t xml:space="preserve">č. 276/2001 Z. z. o regulácii v sieťových odvetviach a o zmene a doplnení niektorých zákonov v znení zákona č. 397/2002 Z. z., zákona č. 442/2002 Z. z., zákona         č. 656/2004 Z. z., zákona č. 658/2004 Z. z., zákona č. 107/2007 Z. z. a zákona č. .../2007 Z. z. sa dopĺňa takto: 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§ 5 sa odsek 1 dopĺňa písmenom oo), ktoré znie: </w:t>
      </w:r>
    </w:p>
    <w:p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„oo) určuje </w:t>
      </w:r>
      <w:r>
        <w:rPr>
          <w:rFonts w:ascii="Times New Roman" w:hAnsi="Times New Roman" w:cs="Times New Roman"/>
          <w:color w:val="000000"/>
        </w:rPr>
        <w:t xml:space="preserve">cenu </w:t>
      </w:r>
      <w:r>
        <w:rPr>
          <w:rFonts w:ascii="Times New Roman" w:hAnsi="Times New Roman" w:cs="Times New Roman"/>
        </w:rPr>
        <w:t>elektriny vyrobenej vysoko účinnou kombinovanou výrobou a výšku príplatku k cene elektriny podľa osobitného predpisu,</w:t>
      </w:r>
      <w:r>
        <w:rPr>
          <w:rFonts w:ascii="Times New Roman" w:hAnsi="Times New Roman" w:cs="Times New Roman"/>
          <w:vertAlign w:val="superscript"/>
        </w:rPr>
        <w:t>1nc)“</w:t>
      </w:r>
      <w:r>
        <w:rPr>
          <w:rFonts w:ascii="Times New Roman" w:hAnsi="Times New Roman" w:cs="Times New Roman"/>
        </w:rPr>
        <w:t xml:space="preserve">.     </w:t>
      </w:r>
      <w:r>
        <w:rPr>
          <w:rFonts w:ascii="Times New Roman" w:hAnsi="Times New Roman" w:cs="Times New Roman"/>
        </w:rPr>
        <w:t xml:space="preserve">         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Poznámka pod čiarou k odkazu 1nc znie:  </w:t>
      </w:r>
    </w:p>
    <w:p>
      <w:pPr>
        <w:ind w:left="540" w:hanging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vertAlign w:val="superscript"/>
        </w:rPr>
        <w:t>„1nc)</w:t>
      </w:r>
      <w:r>
        <w:rPr>
          <w:rFonts w:ascii="Times New Roman" w:hAnsi="Times New Roman" w:cs="Times New Roman"/>
        </w:rPr>
        <w:t xml:space="preserve"> Zákon č. .../2007 Z. z. </w:t>
      </w:r>
      <w:r>
        <w:rPr>
          <w:rFonts w:ascii="Times New Roman" w:hAnsi="Times New Roman" w:cs="Times New Roman"/>
          <w:bCs/>
        </w:rPr>
        <w:t>o podpore kombinovanej výroby založenej na dopyte po využiteľnom teple na vnútornom trhu s energiou a o zmene a doplnení niektorých zákonov.“.</w:t>
      </w:r>
    </w:p>
    <w:p>
      <w:pPr>
        <w:rPr>
          <w:rFonts w:ascii="Times New Roman" w:hAnsi="Times New Roman" w:cs="Times New Roman"/>
          <w:color w:val="000000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III</w:t>
      </w:r>
    </w:p>
    <w:p>
      <w:pPr>
        <w:jc w:val="center"/>
        <w:rPr>
          <w:rFonts w:ascii="Times New Roman" w:hAnsi="Times New Roman" w:cs="Times New Roman"/>
          <w:color w:val="FF0000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Zákon č. 656/2004 Z. z. o energetike v znení zákona č. 555/2005 Z. z., zákona č. 238/2006 Z. z., zákona č. 107/2007 Z. z. a zákona č. .../2007 Z. z. sa dopĺňa takto: </w:t>
      </w: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8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65 odsek 1 sa vypúšťajú slová „druhej časti“.</w:t>
      </w:r>
    </w:p>
    <w:p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8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65 ods. 1 sa slová „osobitného predpisu“ nahrádzaj</w:t>
      </w:r>
      <w:r>
        <w:rPr>
          <w:rFonts w:ascii="Times New Roman" w:hAnsi="Times New Roman" w:cs="Times New Roman"/>
        </w:rPr>
        <w:t xml:space="preserve">ú slovami „osobitných predpisov“.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vertAlign w:val="superscript"/>
        </w:rPr>
        <w:t>11)</w:t>
      </w:r>
      <w:r>
        <w:rPr>
          <w:rFonts w:ascii="Times New Roman" w:hAnsi="Times New Roman" w:cs="Times New Roman"/>
          <w:sz w:val="20"/>
        </w:rPr>
        <w:t xml:space="preserve">  Zákon č. 71/1967 Zb. o správnom konaní (správny poriadok) v znení neskorších predpisov.</w:t>
      </w:r>
    </w:p>
    <w:p>
      <w:pPr>
        <w:numPr>
          <w:ilvl w:val="0"/>
          <w:numId w:val="18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poznámke pod čiarou k odkazu 19 sa citácia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„Tretia a štvrtá časť zákona č. 657/2004   Z. z. o tepelnej energetike“ nahrádza citáciou: </w:t>
      </w:r>
    </w:p>
    <w:p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„Zákon č. 657/2004 Z. z. o tepelnej energetike. </w:t>
      </w:r>
    </w:p>
    <w:p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10 zákona č. 555/2005 Z. z. o energetickej hospodárnosti budov a o zmene a doplnení niektorých zákonov. </w:t>
      </w:r>
    </w:p>
    <w:p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č. 17/2007 Z. z. o pravidelnej kontrole kotlov a klimatizačných systémov a doplnení zákona č. 455/1991 Zb. o živnostenskom podnikaní (živnostenský zákon) v znení neskorších predpisov. </w:t>
      </w:r>
    </w:p>
    <w:p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Nariadenie vlády Slovenskej republiky č. 246/2006 Z. z. o minimálnom množstve pohonných látok vyrobených z obnoviteľných zdrojov v sortimente motorových benzínov a motorovej nafty uvádzaných na trh Slovenskej republiky.“.</w:t>
      </w:r>
    </w:p>
    <w:p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18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65 ods. 1 písm. a) bod 6. znie:</w:t>
      </w:r>
    </w:p>
    <w:p>
      <w:pPr>
        <w:ind w:firstLine="36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„6. zabezpečiť rozvoj a prevádzkyschopnosť sústavy a siete,“.</w:t>
      </w:r>
    </w:p>
    <w:p>
      <w:pPr>
        <w:pStyle w:val="BodyText"/>
        <w:ind w:left="360"/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8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66 sa ods. 1 písm. b) dopĺňa bodom 5., ktorý znie: </w:t>
      </w:r>
    </w:p>
    <w:p>
      <w:pPr>
        <w:ind w:firstLine="36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„5. zabez</w:t>
      </w:r>
      <w:r>
        <w:rPr>
          <w:rFonts w:ascii="Times New Roman" w:hAnsi="Times New Roman" w:cs="Times New Roman"/>
        </w:rPr>
        <w:t>pečiť rozvoj a prevádzkyschopnosť sústavy a siete,“.</w:t>
      </w:r>
    </w:p>
    <w:p>
      <w:pPr>
        <w:jc w:val="both"/>
        <w:outlineLvl w:val="0"/>
        <w:rPr>
          <w:rFonts w:ascii="Times New Roman" w:hAnsi="Times New Roman" w:cs="Times New Roman"/>
          <w:b/>
          <w:highlight w:val="lightGray"/>
        </w:rPr>
      </w:pPr>
    </w:p>
    <w:p>
      <w:pPr>
        <w:numPr>
          <w:ilvl w:val="0"/>
          <w:numId w:val="18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66 sa odsek 1 dopĺňa písmenom d), ktoré znie:</w:t>
      </w:r>
    </w:p>
    <w:p>
      <w:pPr>
        <w:pStyle w:val="BodyText2"/>
        <w:ind w:left="720" w:hanging="363"/>
        <w:jc w:val="both"/>
        <w:rPr>
          <w:rFonts w:ascii="Times New Roman" w:hAnsi="Times New Roman" w:cs="Times New Roman"/>
          <w:b w:val="0"/>
          <w:bCs/>
          <w:i w:val="0"/>
          <w:iCs/>
        </w:rPr>
      </w:pPr>
      <w:r>
        <w:rPr>
          <w:rFonts w:ascii="Times New Roman" w:hAnsi="Times New Roman" w:cs="Times New Roman"/>
          <w:b w:val="0"/>
          <w:bCs/>
          <w:i w:val="0"/>
          <w:iCs/>
        </w:rPr>
        <w:t>„d) od 50 000 Sk do 10 mil. Sk za nesplnenie uložených opatrení podľa § 65 ods. 7 písm. b) a § 65 ods. 8 písm. b) a za porušenie povinností podľa osobitných predpisov</w:t>
      </w:r>
      <w:r>
        <w:rPr>
          <w:rFonts w:ascii="Times New Roman" w:hAnsi="Times New Roman" w:cs="Times New Roman"/>
          <w:b w:val="0"/>
          <w:bCs/>
          <w:i w:val="0"/>
          <w:iCs/>
          <w:vertAlign w:val="superscript"/>
        </w:rPr>
        <w:t>1k)</w:t>
      </w:r>
      <w:r>
        <w:rPr>
          <w:rFonts w:ascii="Times New Roman" w:hAnsi="Times New Roman" w:cs="Times New Roman"/>
          <w:b w:val="0"/>
          <w:bCs/>
          <w:i w:val="0"/>
          <w:iCs/>
        </w:rPr>
        <w:t>.“.</w:t>
      </w:r>
    </w:p>
    <w:p>
      <w:pPr>
        <w:jc w:val="both"/>
        <w:rPr>
          <w:rFonts w:ascii="Times New Roman" w:hAnsi="Times New Roman" w:cs="Times New Roman"/>
        </w:rPr>
      </w:pPr>
    </w:p>
    <w:p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1k znie:</w:t>
      </w:r>
    </w:p>
    <w:p>
      <w:pPr>
        <w:ind w:left="900" w:hanging="90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„</w:t>
      </w:r>
      <w:r>
        <w:rPr>
          <w:rFonts w:ascii="Times New Roman" w:hAnsi="Times New Roman" w:cs="Times New Roman"/>
          <w:vertAlign w:val="superscript"/>
        </w:rPr>
        <w:t>1k)</w:t>
      </w:r>
      <w:r>
        <w:rPr>
          <w:rFonts w:ascii="Times New Roman" w:hAnsi="Times New Roman" w:cs="Times New Roman"/>
        </w:rPr>
        <w:t xml:space="preserve">  Nariadenie vlády Slovenskej republiky č. 246/2006 Z. z. o minimálnom množstve pohonných látok vyrobených z obnoviteľných zdrojov v sortimente motorových benzínov a motorovej nafty uvádzaných na trh Slovenskej republiky.“.</w:t>
      </w:r>
    </w:p>
    <w:p>
      <w:pPr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cs="Times New Roman"/>
          <w:color w:val="000000"/>
        </w:rPr>
      </w:pPr>
    </w:p>
    <w:p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Čl. </w:t>
      </w:r>
      <w:r>
        <w:rPr>
          <w:rFonts w:ascii="Times New Roman" w:hAnsi="Times New Roman" w:cs="Times New Roman"/>
        </w:rPr>
        <w:t>IV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Tento zákon nadobúda účinnosť 1. januára 2008. 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pStyle w:val="BodyText"/>
        <w:spacing w:after="0"/>
        <w:ind w:left="680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highlight w:val="yellow"/>
        </w:rPr>
        <w:br w:type="page"/>
      </w:r>
      <w:r>
        <w:rPr>
          <w:rFonts w:ascii="Times New Roman" w:hAnsi="Times New Roman" w:cs="Times New Roman"/>
          <w:sz w:val="22"/>
        </w:rPr>
        <w:t xml:space="preserve">Príloha </w:t>
      </w:r>
    </w:p>
    <w:p>
      <w:pPr>
        <w:pStyle w:val="BodyText3"/>
        <w:ind w:left="6237" w:firstLine="56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k zákonu č. .../2007 Z. z.</w:t>
      </w: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Zoznam preberaných právnych aktov </w:t>
      </w:r>
    </w:p>
    <w:p>
      <w:pPr>
        <w:pStyle w:val="BodyText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Európskych spoločenstiev a Európskej únie</w:t>
      </w:r>
    </w:p>
    <w:p>
      <w:pPr>
        <w:pStyle w:val="BodyText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spacing w:after="0"/>
        <w:ind w:left="360"/>
        <w:rPr>
          <w:rFonts w:ascii="Times New Roman" w:hAnsi="Times New Roman" w:cs="Times New Roman"/>
          <w:b/>
          <w:bCs/>
        </w:rPr>
      </w:pPr>
    </w:p>
    <w:p>
      <w:pPr>
        <w:pStyle w:val="BodyText"/>
        <w:spacing w:after="0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Smernica Európskeho parlamentu a Rady 20</w:t>
      </w:r>
      <w:r>
        <w:rPr>
          <w:rFonts w:ascii="Times New Roman" w:hAnsi="Times New Roman" w:cs="Times New Roman"/>
        </w:rPr>
        <w:t xml:space="preserve">04/8/ES zo dňa 11. februára 2004 o podpore kogenerácie založenej na dopyte po využiteľnom teple na vnútornom trhu s energiou a ktorou sa mení a dopĺňa smernica 92/42/EHS </w:t>
      </w:r>
      <w:r>
        <w:rPr>
          <w:rFonts w:ascii="Times New Roman" w:hAnsi="Times New Roman" w:cs="Times New Roman"/>
          <w:szCs w:val="20"/>
        </w:rPr>
        <w:t>(Mimoriadne vydanie Ú. v. EÚ 12/zv.003, str. 3).</w:t>
      </w:r>
    </w:p>
    <w:p>
      <w:pPr>
        <w:pStyle w:val="BodyText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pStyle w:val="List"/>
        <w:rPr>
          <w:rFonts w:ascii="Times New Roman" w:hAnsi="Times New Roman" w:cs="Times New Roman"/>
        </w:rPr>
      </w:pPr>
    </w:p>
    <w:p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>
      <w:pPr>
        <w:autoSpaceDE/>
        <w:autoSpaceDN/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134" w:right="1418" w:bottom="1247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jc w:val="center"/>
      <w:rPr>
        <w:rStyle w:val="PageNumber"/>
        <w:rFonts w:ascii="Times New Roman" w:hAnsi="Times New Roman" w:cs="Times New Roman"/>
        <w:sz w:val="22"/>
      </w:rPr>
    </w:pPr>
    <w:r>
      <w:rPr>
        <w:rStyle w:val="PageNumber"/>
        <w:rFonts w:ascii="Times New Roman" w:hAnsi="Times New Roman" w:cs="Times New Roman"/>
        <w:sz w:val="22"/>
      </w:rPr>
      <w:fldChar w:fldCharType="begin"/>
    </w:r>
    <w:r>
      <w:rPr>
        <w:rStyle w:val="PageNumber"/>
        <w:rFonts w:ascii="Times New Roman" w:hAnsi="Times New Roman" w:cs="Times New Roman"/>
        <w:sz w:val="22"/>
      </w:rPr>
      <w:instrText xml:space="preserve">PAGE  </w:instrText>
    </w:r>
    <w:r>
      <w:rPr>
        <w:rStyle w:val="PageNumber"/>
        <w:rFonts w:ascii="Times New Roman" w:hAnsi="Times New Roman" w:cs="Times New Roman"/>
        <w:sz w:val="22"/>
      </w:rPr>
      <w:fldChar w:fldCharType="separate"/>
    </w:r>
    <w:r>
      <w:rPr>
        <w:rStyle w:val="PageNumber"/>
        <w:rFonts w:ascii="Times New Roman" w:hAnsi="Times New Roman" w:cs="Times New Roman"/>
        <w:noProof/>
        <w:sz w:val="22"/>
      </w:rPr>
      <w:t>3</w:t>
    </w:r>
    <w:r>
      <w:rPr>
        <w:rStyle w:val="PageNumber"/>
        <w:rFonts w:ascii="Times New Roman" w:hAnsi="Times New Roman" w:cs="Times New Roman"/>
        <w:sz w:val="22"/>
      </w:rPr>
      <w:fldChar w:fldCharType="end"/>
    </w:r>
  </w:p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  <w:sz w:val="22"/>
      </w:rPr>
    </w:pPr>
  </w:p>
  <w:p>
    <w:pPr>
      <w:pStyle w:val="Footer"/>
      <w:jc w:val="both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4FFC"/>
    <w:multiLevelType w:val="hybridMultilevel"/>
    <w:tmpl w:val="4A505F54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E873AB"/>
    <w:multiLevelType w:val="hybridMultilevel"/>
    <w:tmpl w:val="692AF4C4"/>
    <w:lvl w:ilvl="0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</w:lvl>
    <w:lvl w:ilvl="1">
      <w:start w:val="2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42F05"/>
    <w:multiLevelType w:val="hybridMultilevel"/>
    <w:tmpl w:val="345C26C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055737"/>
    <w:multiLevelType w:val="hybridMultilevel"/>
    <w:tmpl w:val="6450E99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E06928"/>
    <w:multiLevelType w:val="hybridMultilevel"/>
    <w:tmpl w:val="EA9E3254"/>
    <w:lvl w:ilvl="0">
      <w:start w:val="0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  <w:rtl w:val="0"/>
      </w:rPr>
    </w:lvl>
  </w:abstractNum>
  <w:abstractNum w:abstractNumId="5">
    <w:nsid w:val="2E3A156E"/>
    <w:multiLevelType w:val="hybridMultilevel"/>
    <w:tmpl w:val="850470C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C143B3"/>
    <w:multiLevelType w:val="hybridMultilevel"/>
    <w:tmpl w:val="E8E063C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5872D1"/>
    <w:multiLevelType w:val="hybridMultilevel"/>
    <w:tmpl w:val="2666876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943535"/>
    <w:multiLevelType w:val="hybridMultilevel"/>
    <w:tmpl w:val="C35AD5F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663AC7"/>
    <w:multiLevelType w:val="hybridMultilevel"/>
    <w:tmpl w:val="C4A235A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(%2)"/>
      <w:lvlJc w:val="left"/>
      <w:pPr>
        <w:tabs>
          <w:tab w:val="num" w:pos="1995"/>
        </w:tabs>
        <w:ind w:left="1995" w:hanging="91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C21200"/>
    <w:multiLevelType w:val="hybridMultilevel"/>
    <w:tmpl w:val="9C50370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B853B5"/>
    <w:multiLevelType w:val="hybridMultilevel"/>
    <w:tmpl w:val="0032BC3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1E5375"/>
    <w:multiLevelType w:val="hybridMultilevel"/>
    <w:tmpl w:val="C73C00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866C41"/>
    <w:multiLevelType w:val="hybridMultilevel"/>
    <w:tmpl w:val="B524B28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4037FB"/>
    <w:multiLevelType w:val="hybridMultilevel"/>
    <w:tmpl w:val="BB02B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5744D0"/>
    <w:multiLevelType w:val="hybridMultilevel"/>
    <w:tmpl w:val="76EA586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BA3F61"/>
    <w:multiLevelType w:val="hybridMultilevel"/>
    <w:tmpl w:val="4F48F9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552FEF"/>
    <w:multiLevelType w:val="hybridMultilevel"/>
    <w:tmpl w:val="201C545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CE0323"/>
    <w:multiLevelType w:val="hybridMultilevel"/>
    <w:tmpl w:val="2AF4520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EE2EE8"/>
    <w:multiLevelType w:val="hybridMultilevel"/>
    <w:tmpl w:val="676633C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16"/>
  </w:num>
  <w:num w:numId="9">
    <w:abstractNumId w:val="13"/>
  </w:num>
  <w:num w:numId="10">
    <w:abstractNumId w:val="2"/>
  </w:num>
  <w:num w:numId="11">
    <w:abstractNumId w:val="18"/>
  </w:num>
  <w:num w:numId="12">
    <w:abstractNumId w:val="10"/>
  </w:num>
  <w:num w:numId="13">
    <w:abstractNumId w:val="11"/>
  </w:num>
  <w:num w:numId="14">
    <w:abstractNumId w:val="4"/>
  </w:num>
  <w:num w:numId="15">
    <w:abstractNumId w:val="1"/>
  </w:num>
  <w:num w:numId="16">
    <w:abstractNumId w:val="12"/>
  </w:num>
  <w:num w:numId="17">
    <w:abstractNumId w:val="7"/>
  </w:num>
  <w:num w:numId="18">
    <w:abstractNumId w:val="14"/>
  </w:num>
  <w:num w:numId="19">
    <w:abstractNumId w:val="17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pPr>
      <w:jc w:val="left"/>
    </w:pPr>
    <w:rPr>
      <w:rFonts w:ascii="Arial" w:hAnsi="Arial"/>
      <w:b/>
      <w:i/>
      <w:color w:val="000000"/>
      <w:szCs w:val="20"/>
    </w:rPr>
  </w:style>
  <w:style w:type="paragraph" w:styleId="BodyText3">
    <w:name w:val="Body Text 3"/>
    <w:basedOn w:val="Normal"/>
    <w:pPr>
      <w:jc w:val="both"/>
    </w:pPr>
    <w:rPr>
      <w:szCs w:val="28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List">
    <w:name w:val="List"/>
    <w:basedOn w:val="Normal"/>
    <w:pPr>
      <w:ind w:left="283" w:hanging="283"/>
      <w:jc w:val="left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Zoznamodsadeny1">
    <w:name w:val="Zoznam odsadeny 1"/>
    <w:basedOn w:val="List"/>
    <w:pPr>
      <w:tabs>
        <w:tab w:val="left" w:pos="993"/>
      </w:tabs>
      <w:overflowPunct w:val="0"/>
      <w:autoSpaceDE/>
      <w:autoSpaceDN/>
      <w:spacing w:before="60" w:line="360" w:lineRule="auto"/>
      <w:ind w:left="1276" w:hanging="425"/>
      <w:jc w:val="both"/>
      <w:textAlignment w:val="baseline"/>
    </w:pPr>
    <w:rPr>
      <w:szCs w:val="20"/>
    </w:rPr>
  </w:style>
  <w:style w:type="paragraph" w:customStyle="1" w:styleId="Odstavec">
    <w:name w:val="Odstavec"/>
    <w:basedOn w:val="Normal"/>
    <w:pPr>
      <w:tabs>
        <w:tab w:val="left" w:pos="567"/>
      </w:tabs>
      <w:overflowPunct w:val="0"/>
      <w:autoSpaceDE/>
      <w:autoSpaceDN/>
      <w:spacing w:before="180" w:line="360" w:lineRule="auto"/>
      <w:jc w:val="both"/>
      <w:textAlignment w:val="baseline"/>
    </w:pPr>
    <w:rPr>
      <w:szCs w:val="20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autoSpaceDE/>
      <w:autoSpaceDN/>
      <w:ind w:firstLine="567"/>
      <w:jc w:val="both"/>
    </w:pPr>
    <w:rPr>
      <w:szCs w:val="19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BodyTextIndent2">
    <w:name w:val="Body Text Indent 2"/>
    <w:basedOn w:val="Normal"/>
    <w:pPr>
      <w:autoSpaceDE/>
      <w:autoSpaceDN/>
      <w:ind w:firstLine="567"/>
      <w:jc w:val="both"/>
    </w:pPr>
    <w:rPr>
      <w:color w:val="231F20"/>
    </w:rPr>
  </w:style>
  <w:style w:type="paragraph" w:styleId="Title">
    <w:name w:val="Title"/>
    <w:basedOn w:val="Normal"/>
    <w:uiPriority w:val="10"/>
    <w:qFormat/>
    <w:pPr>
      <w:jc w:val="center"/>
      <w:outlineLvl w:val="0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241</TotalTime>
  <Pages>1</Pages>
  <Words>3402</Words>
  <Characters>19394</Characters>
  <Application>Microsoft Office Word</Application>
  <DocSecurity>0</DocSecurity>
  <Lines>0</Lines>
  <Paragraphs>0</Paragraphs>
  <ScaleCrop>false</ScaleCrop>
  <Company>SEA Banská Bystrica</Company>
  <LinksUpToDate>false</LinksUpToDate>
  <CharactersWithSpaces>23817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Dubnicka</dc:creator>
  <cp:lastModifiedBy>Talapkova</cp:lastModifiedBy>
  <cp:revision>263</cp:revision>
  <cp:lastPrinted>2007-08-10T06:18:00Z</cp:lastPrinted>
  <dcterms:created xsi:type="dcterms:W3CDTF">2007-07-30T07:04:00Z</dcterms:created>
  <dcterms:modified xsi:type="dcterms:W3CDTF">2007-09-26T14:08:00Z</dcterms:modified>
</cp:coreProperties>
</file>