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4051" w:rsidP="00EC4051">
      <w:pPr>
        <w:jc w:val="center"/>
        <w:rPr>
          <w:rFonts w:ascii="Times New Roman" w:hAnsi="Times New Roman" w:cs="Arial"/>
          <w:b/>
          <w:sz w:val="26"/>
          <w:szCs w:val="22"/>
        </w:rPr>
      </w:pPr>
      <w:r>
        <w:rPr>
          <w:rFonts w:ascii="Times New Roman" w:hAnsi="Times New Roman" w:cs="Arial"/>
          <w:b/>
          <w:sz w:val="26"/>
          <w:szCs w:val="22"/>
        </w:rPr>
        <w:t>NÁRODNÁ RADA SLOVENSKEJ REPUBLIKY</w:t>
      </w:r>
    </w:p>
    <w:p w:rsidR="00EC4051" w:rsidP="00EC4051">
      <w:pPr>
        <w:pBdr>
          <w:bottom w:val="single" w:sz="12" w:space="1" w:color="auto"/>
        </w:pBdr>
        <w:jc w:val="center"/>
        <w:rPr>
          <w:rFonts w:ascii="Times New Roman" w:hAnsi="Times New Roman" w:cs="Arial"/>
          <w:b/>
        </w:rPr>
      </w:pPr>
      <w:r w:rsidRPr="00EC4051">
        <w:rPr>
          <w:rFonts w:ascii="Times New Roman" w:hAnsi="Times New Roman" w:cs="Arial"/>
          <w:b/>
        </w:rPr>
        <w:t>IV. volebné obdobie</w:t>
      </w:r>
    </w:p>
    <w:p w:rsidR="00AE0B54" w:rsidP="00EC4051">
      <w:pPr>
        <w:spacing w:before="120" w:line="360" w:lineRule="auto"/>
        <w:jc w:val="center"/>
        <w:rPr>
          <w:rFonts w:ascii="Times New Roman" w:hAnsi="Times New Roman" w:cs="Times New Roman"/>
          <w:b/>
        </w:rPr>
      </w:pPr>
    </w:p>
    <w:p w:rsidR="00AE0B54" w:rsidP="00EC4051">
      <w:pPr>
        <w:spacing w:before="12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438</w:t>
      </w:r>
    </w:p>
    <w:p w:rsidR="00415D77" w:rsidRPr="00EC4051" w:rsidP="00EC4051">
      <w:pPr>
        <w:spacing w:before="120" w:line="360" w:lineRule="auto"/>
        <w:jc w:val="center"/>
        <w:rPr>
          <w:rFonts w:ascii="Times New Roman" w:hAnsi="Times New Roman" w:cs="Arial"/>
          <w:b/>
          <w:sz w:val="26"/>
          <w:szCs w:val="22"/>
        </w:rPr>
      </w:pPr>
      <w:r w:rsidRPr="00EC4051" w:rsidR="00EC4051">
        <w:rPr>
          <w:rFonts w:ascii="Times New Roman" w:hAnsi="Times New Roman" w:cs="Times New Roman"/>
          <w:b/>
        </w:rPr>
        <w:t>VLÁDNY NÁVRH</w:t>
      </w:r>
      <w:r w:rsidRPr="00EC4051">
        <w:rPr>
          <w:rFonts w:ascii="Times New Roman" w:hAnsi="Times New Roman" w:cs="Times New Roman"/>
          <w:b/>
        </w:rPr>
        <w:t xml:space="preserve"> </w:t>
      </w:r>
    </w:p>
    <w:p w:rsidR="00415D77">
      <w:pPr>
        <w:spacing w:before="120" w:line="360" w:lineRule="auto"/>
        <w:jc w:val="center"/>
        <w:rPr>
          <w:rFonts w:ascii="Times New Roman" w:hAnsi="Times New Roman" w:cs="Arial"/>
          <w:b/>
          <w:sz w:val="26"/>
          <w:szCs w:val="22"/>
        </w:rPr>
      </w:pPr>
      <w:r>
        <w:rPr>
          <w:rFonts w:ascii="Times New Roman" w:hAnsi="Times New Roman" w:cs="Arial"/>
          <w:b/>
          <w:sz w:val="26"/>
          <w:szCs w:val="22"/>
        </w:rPr>
        <w:t xml:space="preserve">ZÁKON </w:t>
      </w:r>
    </w:p>
    <w:p w:rsidR="00415D77">
      <w:pPr>
        <w:spacing w:before="120" w:line="360" w:lineRule="auto"/>
        <w:jc w:val="center"/>
        <w:rPr>
          <w:rFonts w:ascii="Times New Roman" w:hAnsi="Times New Roman" w:cs="Arial"/>
          <w:b/>
          <w:sz w:val="26"/>
          <w:szCs w:val="22"/>
        </w:rPr>
      </w:pPr>
      <w:r>
        <w:rPr>
          <w:rFonts w:ascii="Times New Roman" w:hAnsi="Times New Roman" w:cs="Arial"/>
          <w:b/>
          <w:sz w:val="26"/>
          <w:szCs w:val="22"/>
        </w:rPr>
        <w:t xml:space="preserve">z ............................ 2007, </w:t>
      </w:r>
    </w:p>
    <w:p w:rsidR="00415D77">
      <w:pPr>
        <w:pStyle w:val="Title"/>
        <w:spacing w:before="0" w:beforeAutospacing="0" w:after="0" w:afterAutospacing="0"/>
        <w:jc w:val="center"/>
        <w:rPr>
          <w:rFonts w:ascii="Times New Roman" w:hAnsi="Times New Roman" w:cs="Arial"/>
          <w:b/>
          <w:bCs/>
        </w:rPr>
      </w:pPr>
      <w:r>
        <w:rPr>
          <w:rStyle w:val="Strong"/>
          <w:rFonts w:ascii="Times New Roman" w:hAnsi="Times New Roman" w:cs="Arial"/>
        </w:rPr>
        <w:t>ktorým sa mení a dopĺňa zákon Národnej rady Slovenskej republiky č. 152/1994 Z. z</w:t>
      </w:r>
      <w:r>
        <w:rPr>
          <w:rFonts w:ascii="Times New Roman" w:hAnsi="Times New Roman" w:cs="Arial"/>
        </w:rPr>
        <w:t xml:space="preserve">. </w:t>
      </w:r>
      <w:r w:rsidR="00722D3F">
        <w:rPr>
          <w:rFonts w:ascii="Times New Roman" w:hAnsi="Times New Roman" w:cs="Arial"/>
        </w:rPr>
        <w:t xml:space="preserve">    </w:t>
      </w:r>
      <w:r>
        <w:rPr>
          <w:rFonts w:ascii="Times New Roman" w:hAnsi="Times New Roman" w:cs="Arial"/>
          <w:b/>
          <w:bCs/>
        </w:rPr>
        <w:t xml:space="preserve">o sociálnom fonde a o zmene a doplnení zákona č. 286/1992 Zb. o daniach z príjmov </w:t>
      </w:r>
      <w:r w:rsidR="00722D3F">
        <w:rPr>
          <w:rFonts w:ascii="Times New Roman" w:hAnsi="Times New Roman" w:cs="Arial"/>
          <w:b/>
          <w:bCs/>
        </w:rPr>
        <w:t xml:space="preserve">      </w:t>
      </w:r>
      <w:r>
        <w:rPr>
          <w:rFonts w:ascii="Times New Roman" w:hAnsi="Times New Roman" w:cs="Arial"/>
          <w:b/>
          <w:bCs/>
        </w:rPr>
        <w:t xml:space="preserve">v znení neskorších predpisov v znení neskorších predpisov </w:t>
      </w:r>
    </w:p>
    <w:p w:rsidR="00415D77">
      <w:pPr>
        <w:pStyle w:val="NormalWeb"/>
        <w:spacing w:before="0" w:beforeAutospacing="0" w:after="0" w:afterAutospacing="0"/>
        <w:rPr>
          <w:rFonts w:ascii="Times New Roman" w:hAnsi="Times New Roman" w:cs="Arial"/>
          <w:b/>
          <w:bCs/>
        </w:rPr>
      </w:pPr>
    </w:p>
    <w:p w:rsidR="00415D77">
      <w:pPr>
        <w:pStyle w:val="NormalWeb"/>
        <w:spacing w:before="0" w:beforeAutospacing="0" w:after="0" w:afterAutospacing="0" w:line="360" w:lineRule="auto"/>
        <w:rPr>
          <w:rFonts w:ascii="Times New Roman" w:hAnsi="Times New Roman" w:cs="Arial"/>
          <w:b/>
          <w:sz w:val="26"/>
          <w:szCs w:val="22"/>
        </w:rPr>
      </w:pPr>
      <w:r>
        <w:rPr>
          <w:rFonts w:ascii="Times New Roman" w:hAnsi="Times New Roman" w:cs="Arial"/>
          <w:b/>
          <w:sz w:val="26"/>
          <w:szCs w:val="22"/>
        </w:rPr>
        <w:t> </w:t>
      </w:r>
    </w:p>
    <w:p w:rsidR="00415D77">
      <w:pPr>
        <w:spacing w:before="120" w:line="360" w:lineRule="auto"/>
        <w:ind w:firstLine="708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Národná rada Slovenskej republiky sa uzniesla na tomto zákone: </w:t>
      </w:r>
    </w:p>
    <w:p w:rsidR="00415D77">
      <w:pPr>
        <w:pStyle w:val="NormalWeb"/>
        <w:spacing w:before="0" w:beforeAutospacing="0" w:after="0" w:afterAutospacing="0" w:line="360" w:lineRule="auto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 </w:t>
      </w:r>
    </w:p>
    <w:p w:rsidR="00415D77">
      <w:pPr>
        <w:spacing w:before="120" w:line="360" w:lineRule="auto"/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 xml:space="preserve">Čl. I </w:t>
      </w:r>
    </w:p>
    <w:p w:rsidR="00415D77">
      <w:pPr>
        <w:pStyle w:val="BodyText2"/>
        <w:spacing w:before="120" w:beforeAutospacing="0" w:after="0" w:afterAutospacing="0"/>
        <w:ind w:firstLine="708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Zákon Národnej rady Slovenskej republiky č. 152/1994 Z. z. o sociálnom fonde a </w:t>
      </w:r>
      <w:r w:rsidR="00235FAD">
        <w:rPr>
          <w:rFonts w:ascii="Times New Roman" w:hAnsi="Times New Roman" w:cs="Arial"/>
        </w:rPr>
        <w:t xml:space="preserve">     </w:t>
      </w:r>
      <w:r w:rsidR="00235FAD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o zmene a doplnení zákona č. 286/1992 Zb. o daniach z príjmov v znení neskorších predpisov v znení </w:t>
      </w:r>
      <w:r>
        <w:rPr>
          <w:rFonts w:ascii="Times New Roman" w:hAnsi="Times New Roman" w:cs="Arial"/>
        </w:rPr>
        <w:t>zákona Národnej rady Slovenskej republiky č. 280/1995 Z. z.</w:t>
      </w:r>
      <w:r>
        <w:rPr>
          <w:rFonts w:ascii="Times New Roman" w:hAnsi="Times New Roman" w:cs="Arial"/>
        </w:rPr>
        <w:t>,</w:t>
      </w:r>
      <w:r>
        <w:rPr>
          <w:rFonts w:ascii="Times New Roman" w:hAnsi="Times New Roman" w:cs="Arial"/>
        </w:rPr>
        <w:t xml:space="preserve"> zákona Národnej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rady Slovenskej republiky č. 375/1996 Z. z.</w:t>
      </w:r>
      <w:r>
        <w:rPr>
          <w:rFonts w:ascii="Times New Roman" w:hAnsi="Times New Roman" w:cs="Arial"/>
        </w:rPr>
        <w:t xml:space="preserve"> a zákona č. 313/2005 Z. z. sa mení a dopĺňa takto: </w:t>
      </w:r>
    </w:p>
    <w:p w:rsidR="00415D77">
      <w:pPr>
        <w:spacing w:before="120" w:line="360" w:lineRule="auto"/>
        <w:jc w:val="both"/>
        <w:rPr>
          <w:rFonts w:ascii="Times New Roman" w:hAnsi="Times New Roman" w:cs="Arial"/>
        </w:rPr>
      </w:pPr>
    </w:p>
    <w:p w:rsidR="00415D77" w:rsidP="00175A54">
      <w:pPr>
        <w:numPr>
          <w:ilvl w:val="0"/>
          <w:numId w:val="3"/>
        </w:numPr>
        <w:tabs>
          <w:tab w:val="left" w:pos="360"/>
        </w:tabs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 § 2 odsek 2 znie:</w:t>
      </w:r>
    </w:p>
    <w:p w:rsidR="00415D77">
      <w:pPr>
        <w:ind w:left="720"/>
        <w:rPr>
          <w:rFonts w:ascii="Times New Roman" w:hAnsi="Times New Roman" w:cs="Arial"/>
        </w:rPr>
      </w:pPr>
    </w:p>
    <w:p w:rsidR="00415D77" w:rsidP="00175A54">
      <w:pPr>
        <w:ind w:left="360" w:firstLine="708"/>
        <w:jc w:val="both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>„</w:t>
      </w:r>
      <w:r>
        <w:rPr>
          <w:rFonts w:ascii="Times New Roman" w:hAnsi="Times New Roman" w:cs="Arial"/>
          <w:color w:val="000000"/>
        </w:rPr>
        <w:t xml:space="preserve">(2) Zamestnávateľ na účely tohto zákona </w:t>
      </w:r>
      <w:r>
        <w:rPr>
          <w:rFonts w:ascii="Times New Roman" w:hAnsi="Times New Roman" w:cs="Arial"/>
          <w:color w:val="000000"/>
        </w:rPr>
        <w:t>je právnická osoba so sídlom na území Slovenskej republiky alebo fyzická osoba s miestom trvalého pobytu alebo miestom podnikania na území Slovenskej republiky, ktorá zamestnáv</w:t>
      </w:r>
      <w:r>
        <w:rPr>
          <w:rFonts w:ascii="Times New Roman" w:hAnsi="Times New Roman" w:cs="Arial"/>
          <w:color w:val="000000"/>
        </w:rPr>
        <w:t xml:space="preserve">a zamestnanca v pracovnom pomere alebo v obdobnom pracovnom </w:t>
      </w:r>
      <w:r>
        <w:rPr>
          <w:rFonts w:ascii="Times New Roman" w:hAnsi="Times New Roman" w:cs="Arial"/>
          <w:color w:val="000000"/>
        </w:rPr>
        <w:t>vzťahu</w:t>
      </w:r>
      <w:r w:rsidR="00C37A33">
        <w:rPr>
          <w:rFonts w:ascii="Times New Roman" w:hAnsi="Times New Roman" w:cs="Arial"/>
          <w:color w:val="000000"/>
        </w:rPr>
        <w:t>.</w:t>
      </w:r>
      <w:r>
        <w:rPr>
          <w:rFonts w:ascii="Times New Roman" w:hAnsi="Times New Roman" w:cs="Arial"/>
          <w:color w:val="000000"/>
          <w:vertAlign w:val="superscript"/>
        </w:rPr>
        <w:t>1)</w:t>
      </w:r>
      <w:r w:rsidR="00C37A33">
        <w:rPr>
          <w:rFonts w:ascii="Times New Roman" w:hAnsi="Times New Roman" w:cs="Arial"/>
          <w:color w:val="000000"/>
          <w:vertAlign w:val="superscript"/>
        </w:rPr>
        <w:t>“</w:t>
      </w:r>
      <w:r>
        <w:rPr>
          <w:rFonts w:ascii="Times New Roman" w:hAnsi="Times New Roman" w:cs="Arial"/>
          <w:color w:val="000000"/>
        </w:rPr>
        <w:t>.</w:t>
      </w:r>
    </w:p>
    <w:p w:rsidR="00415D77" w:rsidP="00175A54">
      <w:pPr>
        <w:ind w:left="360"/>
        <w:jc w:val="both"/>
        <w:rPr>
          <w:rFonts w:ascii="Times New Roman" w:hAnsi="Times New Roman" w:cs="Arial"/>
          <w:color w:val="000000"/>
        </w:rPr>
      </w:pPr>
    </w:p>
    <w:p w:rsidR="00C37A33" w:rsidP="00175A54">
      <w:pPr>
        <w:jc w:val="both"/>
        <w:rPr>
          <w:rFonts w:ascii="Times New Roman" w:hAnsi="Times New Roman" w:cs="Arial"/>
          <w:color w:val="000000"/>
        </w:rPr>
      </w:pPr>
      <w:r w:rsidR="00175A54">
        <w:rPr>
          <w:rFonts w:ascii="Times New Roman" w:hAnsi="Times New Roman" w:cs="Arial"/>
          <w:color w:val="000000"/>
        </w:rPr>
        <w:t xml:space="preserve">      </w:t>
      </w:r>
      <w:r>
        <w:rPr>
          <w:rFonts w:ascii="Times New Roman" w:hAnsi="Times New Roman" w:cs="Arial"/>
          <w:color w:val="000000"/>
        </w:rPr>
        <w:t>Poznámka pod čiarou k odkazu 1 znie:</w:t>
      </w:r>
    </w:p>
    <w:p w:rsidR="00C37A33" w:rsidP="00175A54">
      <w:pPr>
        <w:pStyle w:val="BodyTextIndent"/>
        <w:ind w:left="720" w:hanging="360"/>
        <w:rPr>
          <w:rFonts w:ascii="Times New Roman" w:hAnsi="Times New Roman" w:cs="Arial"/>
          <w:color w:val="000000"/>
          <w:sz w:val="24"/>
        </w:rPr>
      </w:pPr>
      <w:r w:rsidR="00175A54">
        <w:rPr>
          <w:rFonts w:ascii="Times New Roman" w:hAnsi="Times New Roman" w:cs="Arial"/>
          <w:color w:val="000000"/>
          <w:sz w:val="24"/>
        </w:rPr>
        <w:t xml:space="preserve">„1) </w:t>
      </w:r>
      <w:r>
        <w:rPr>
          <w:rFonts w:ascii="Times New Roman" w:hAnsi="Times New Roman" w:cs="Arial"/>
          <w:color w:val="000000"/>
          <w:sz w:val="24"/>
        </w:rPr>
        <w:t xml:space="preserve">Napríklad zákon č. 73/1998 Z. z. o štátnej službe príslušníkov Policajného zboru, Slovenskej informačnej služby, Zboru väzenskej a justičnej stráže Slovenskej republiky a Železničnej polície v znení neskorších predpisov, zákon č. 200/1998 Z. z. o štátnej službe colníkov a o zmene a doplnení niektorých ďalších zákonov v znení neskorších predpisov, </w:t>
      </w:r>
      <w:r w:rsidR="00722D3F">
        <w:rPr>
          <w:rFonts w:ascii="Times New Roman" w:hAnsi="Times New Roman" w:cs="Arial"/>
          <w:color w:val="000000"/>
          <w:sz w:val="24"/>
        </w:rPr>
        <w:t xml:space="preserve">zákon č. 385/2000 Z. z. o sudcoch a prísediacich a o zmene a doplnení niektorých zákonov v znení neskorších predpisov, </w:t>
      </w:r>
      <w:r>
        <w:rPr>
          <w:rFonts w:ascii="Times New Roman" w:hAnsi="Times New Roman" w:cs="Arial"/>
          <w:color w:val="000000"/>
          <w:sz w:val="24"/>
        </w:rPr>
        <w:t xml:space="preserve">zákon č. 312/2001 Z. z. </w:t>
      </w:r>
      <w:r w:rsidR="00235FAD">
        <w:rPr>
          <w:rFonts w:ascii="Times New Roman" w:hAnsi="Times New Roman" w:cs="Arial"/>
          <w:color w:val="000000"/>
          <w:sz w:val="24"/>
        </w:rPr>
        <w:t xml:space="preserve">   </w:t>
      </w:r>
      <w:r>
        <w:rPr>
          <w:rFonts w:ascii="Times New Roman" w:hAnsi="Times New Roman" w:cs="Arial"/>
          <w:color w:val="000000"/>
          <w:sz w:val="24"/>
        </w:rPr>
        <w:t xml:space="preserve">o štátnej službe a o zmene a doplnení niektorých zákonov v znení neskorších predpisov, </w:t>
      </w:r>
      <w:r w:rsidR="00235FAD">
        <w:rPr>
          <w:rFonts w:ascii="Times New Roman" w:hAnsi="Times New Roman" w:cs="Arial"/>
          <w:color w:val="000000"/>
          <w:sz w:val="24"/>
        </w:rPr>
        <w:t xml:space="preserve">zákon </w:t>
      </w:r>
      <w:r w:rsidR="00722D3F">
        <w:rPr>
          <w:rFonts w:ascii="Times New Roman" w:hAnsi="Times New Roman" w:cs="Arial"/>
          <w:color w:val="000000"/>
          <w:sz w:val="24"/>
        </w:rPr>
        <w:t>č. 315/2001 Z. z. o Hasičskom a záchrannom zbore v znení neskorších predpisov</w:t>
      </w:r>
      <w:r w:rsidR="00F316B7">
        <w:rPr>
          <w:rFonts w:ascii="Times New Roman" w:hAnsi="Times New Roman" w:cs="Arial"/>
          <w:color w:val="000000"/>
          <w:sz w:val="24"/>
        </w:rPr>
        <w:t>,</w:t>
      </w:r>
      <w:r w:rsidR="00722D3F">
        <w:rPr>
          <w:rFonts w:ascii="Times New Roman" w:hAnsi="Times New Roman" w:cs="Arial"/>
          <w:color w:val="000000"/>
          <w:sz w:val="24"/>
        </w:rPr>
        <w:t xml:space="preserve"> </w:t>
      </w:r>
      <w:r>
        <w:rPr>
          <w:rFonts w:ascii="Times New Roman" w:hAnsi="Times New Roman" w:cs="Arial"/>
          <w:color w:val="000000"/>
          <w:sz w:val="24"/>
        </w:rPr>
        <w:t>zákon č. 346/2005 Z. z. o štátnej službe profesionálnych vojakov ozbrojených síl Slovenskej republiky a o zmene a doplnení niektorých zákonov.“.</w:t>
      </w:r>
    </w:p>
    <w:p w:rsidR="00C37A33" w:rsidP="00175A54">
      <w:pPr>
        <w:jc w:val="both"/>
        <w:rPr>
          <w:rFonts w:ascii="Times New Roman" w:hAnsi="Times New Roman" w:cs="Arial"/>
          <w:color w:val="000000"/>
        </w:rPr>
      </w:pPr>
    </w:p>
    <w:p w:rsidR="00415D77">
      <w:pPr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 § 3 ods. 1 písm. b) sa slová „prídelu vo výške“ nahrádzajú slovami „ďalšieho prídelu vo výške“.</w:t>
      </w:r>
    </w:p>
    <w:p w:rsidR="00BC281C" w:rsidP="00BC281C">
      <w:pPr>
        <w:ind w:left="720"/>
        <w:jc w:val="both"/>
        <w:rPr>
          <w:rFonts w:ascii="Times New Roman" w:hAnsi="Times New Roman" w:cs="Arial"/>
        </w:rPr>
      </w:pPr>
    </w:p>
    <w:p w:rsidR="00BC281C">
      <w:pPr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 § 3 ods. 1 písm. b) v prvom bode sa za slová „v kolektívnej zmluve“ vkladajú slová „alebo vo vnútornom predpise, ak u zamestnávateľa nemôže pôsobiť odborový orgán podľa osobitného predpisu</w:t>
      </w:r>
      <w:r>
        <w:rPr>
          <w:rFonts w:ascii="Times New Roman" w:hAnsi="Times New Roman" w:cs="Arial"/>
          <w:vertAlign w:val="superscript"/>
        </w:rPr>
        <w:t>2)</w:t>
      </w:r>
      <w:r>
        <w:rPr>
          <w:rFonts w:ascii="Times New Roman" w:hAnsi="Times New Roman" w:cs="Arial"/>
        </w:rPr>
        <w:t>“.</w:t>
      </w:r>
    </w:p>
    <w:p w:rsidR="00BC281C" w:rsidP="00BC281C">
      <w:pPr>
        <w:jc w:val="both"/>
        <w:rPr>
          <w:rFonts w:ascii="Times New Roman" w:hAnsi="Times New Roman" w:cs="Arial"/>
        </w:rPr>
      </w:pPr>
    </w:p>
    <w:p w:rsidR="00BC281C" w:rsidP="00BC281C">
      <w:pPr>
        <w:jc w:val="both"/>
        <w:rPr>
          <w:rFonts w:ascii="Times New Roman" w:hAnsi="Times New Roman" w:cs="Arial"/>
        </w:rPr>
      </w:pPr>
      <w:r w:rsidR="00175A54">
        <w:rPr>
          <w:rFonts w:ascii="Times New Roman" w:hAnsi="Times New Roman" w:cs="Arial"/>
        </w:rPr>
        <w:t xml:space="preserve">       </w:t>
      </w:r>
      <w:r>
        <w:rPr>
          <w:rFonts w:ascii="Times New Roman" w:hAnsi="Times New Roman" w:cs="Arial"/>
        </w:rPr>
        <w:t>Poznámka pod čiarou k odkazu 2 znie:</w:t>
      </w:r>
    </w:p>
    <w:p w:rsidR="00BC281C" w:rsidP="00BC281C">
      <w:pPr>
        <w:jc w:val="both"/>
        <w:rPr>
          <w:rFonts w:ascii="Times New Roman" w:hAnsi="Times New Roman" w:cs="Arial"/>
        </w:rPr>
      </w:pPr>
      <w:r w:rsidR="00175A54">
        <w:rPr>
          <w:rFonts w:ascii="Times New Roman" w:hAnsi="Times New Roman" w:cs="Arial"/>
        </w:rPr>
        <w:t xml:space="preserve">       „</w:t>
      </w:r>
      <w:r w:rsidR="00175A54">
        <w:rPr>
          <w:rFonts w:ascii="Times New Roman" w:hAnsi="Times New Roman" w:cs="Arial"/>
        </w:rPr>
        <w:t xml:space="preserve">2) </w:t>
      </w:r>
      <w:r>
        <w:rPr>
          <w:rFonts w:ascii="Times New Roman" w:hAnsi="Times New Roman" w:cs="Arial"/>
        </w:rPr>
        <w:t>§ 230 zákona č. 73/1998 Z. z. v znení zákona č. 241/2001 Z. z.“.</w:t>
      </w:r>
    </w:p>
    <w:p w:rsidR="00BC281C" w:rsidP="00BC281C">
      <w:pPr>
        <w:jc w:val="both"/>
        <w:rPr>
          <w:rFonts w:ascii="Times New Roman" w:hAnsi="Times New Roman" w:cs="Arial"/>
        </w:rPr>
      </w:pPr>
    </w:p>
    <w:p w:rsidR="00415D77">
      <w:pPr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V § 3 ods. 1 písm. b) v druhom bode sa slová „§ 7 ods. 3 písm. a)“ nahrádzajú slovami </w:t>
      </w:r>
      <w:r w:rsidR="00175A54">
        <w:rPr>
          <w:rFonts w:ascii="Times New Roman" w:hAnsi="Times New Roman" w:cs="Arial"/>
        </w:rPr>
        <w:t xml:space="preserve">  </w:t>
      </w:r>
      <w:r>
        <w:rPr>
          <w:rFonts w:ascii="Times New Roman" w:hAnsi="Times New Roman" w:cs="Arial"/>
        </w:rPr>
        <w:t xml:space="preserve">„§ 7 ods. </w:t>
      </w:r>
      <w:r w:rsidR="009006C4">
        <w:rPr>
          <w:rFonts w:ascii="Times New Roman" w:hAnsi="Times New Roman" w:cs="Arial"/>
        </w:rPr>
        <w:t>5</w:t>
      </w:r>
      <w:r>
        <w:rPr>
          <w:rFonts w:ascii="Times New Roman" w:hAnsi="Times New Roman" w:cs="Arial"/>
        </w:rPr>
        <w:t>“.</w:t>
      </w:r>
    </w:p>
    <w:p w:rsidR="00415D77" w:rsidP="00C37A33">
      <w:pPr>
        <w:pStyle w:val="BodyTextIndent"/>
        <w:ind w:left="0" w:firstLine="0"/>
        <w:rPr>
          <w:rFonts w:ascii="Times New Roman" w:hAnsi="Times New Roman" w:cs="Arial"/>
          <w:color w:val="000000"/>
          <w:sz w:val="24"/>
        </w:rPr>
      </w:pPr>
    </w:p>
    <w:p w:rsidR="00415D77" w:rsidP="00175A54">
      <w:pPr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 § 3 odsek 2 znie:</w:t>
      </w:r>
    </w:p>
    <w:p w:rsidR="00415D77">
      <w:pPr>
        <w:jc w:val="both"/>
        <w:rPr>
          <w:rFonts w:ascii="Times New Roman" w:hAnsi="Times New Roman" w:cs="Arial"/>
        </w:rPr>
      </w:pPr>
    </w:p>
    <w:p w:rsidR="00415D77" w:rsidP="00235FAD">
      <w:pPr>
        <w:ind w:left="360" w:firstLine="348"/>
        <w:jc w:val="both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>„(2) Zamestnávateľ podľa § 5 ods. 1, ktorý za predchádzajúci kalendárny rok dosiahol zisk a splnil všetky daňové povinnosti k</w:t>
      </w:r>
      <w:r w:rsidR="00722D3F">
        <w:rPr>
          <w:rFonts w:ascii="Times New Roman" w:hAnsi="Times New Roman" w:cs="Arial"/>
          <w:color w:val="000000"/>
        </w:rPr>
        <w:t> </w:t>
      </w:r>
      <w:r>
        <w:rPr>
          <w:rFonts w:ascii="Times New Roman" w:hAnsi="Times New Roman" w:cs="Arial"/>
          <w:color w:val="000000"/>
        </w:rPr>
        <w:t>štát</w:t>
      </w:r>
      <w:r>
        <w:rPr>
          <w:rFonts w:ascii="Times New Roman" w:hAnsi="Times New Roman" w:cs="Arial"/>
          <w:color w:val="000000"/>
        </w:rPr>
        <w:t>u</w:t>
      </w:r>
      <w:r w:rsidR="00722D3F">
        <w:rPr>
          <w:rFonts w:ascii="Times New Roman" w:hAnsi="Times New Roman" w:cs="Arial"/>
          <w:color w:val="000000"/>
        </w:rPr>
        <w:t>,</w:t>
      </w:r>
      <w:r>
        <w:rPr>
          <w:rFonts w:ascii="Times New Roman" w:hAnsi="Times New Roman" w:cs="Arial"/>
          <w:color w:val="000000"/>
        </w:rPr>
        <w:t xml:space="preserve"> obci a vyššiemu územnému celku</w:t>
      </w:r>
      <w:r>
        <w:rPr>
          <w:rFonts w:ascii="Times New Roman" w:hAnsi="Times New Roman" w:cs="Arial"/>
          <w:b/>
          <w:bCs/>
          <w:color w:val="FF0000"/>
          <w:vertAlign w:val="superscript"/>
        </w:rPr>
        <w:t xml:space="preserve"> </w:t>
      </w:r>
      <w:r>
        <w:rPr>
          <w:rFonts w:ascii="Times New Roman" w:hAnsi="Times New Roman" w:cs="Arial"/>
          <w:color w:val="000000"/>
        </w:rPr>
        <w:t>a</w:t>
      </w:r>
      <w:r>
        <w:rPr>
          <w:rFonts w:ascii="Times New Roman" w:hAnsi="Times New Roman" w:cs="Arial"/>
          <w:color w:val="000000"/>
        </w:rPr>
        <w:t> </w:t>
      </w:r>
      <w:r>
        <w:rPr>
          <w:rFonts w:ascii="Times New Roman" w:hAnsi="Times New Roman" w:cs="Arial"/>
          <w:color w:val="000000"/>
        </w:rPr>
        <w:t xml:space="preserve">odvodové </w:t>
      </w:r>
      <w:r>
        <w:rPr>
          <w:rFonts w:ascii="Times New Roman" w:hAnsi="Times New Roman" w:cs="Arial"/>
          <w:color w:val="000000"/>
        </w:rPr>
        <w:t xml:space="preserve">povinnosti </w:t>
      </w:r>
      <w:r w:rsidR="00C37A33">
        <w:rPr>
          <w:rFonts w:ascii="Times New Roman" w:hAnsi="Times New Roman" w:cs="Arial"/>
          <w:color w:val="000000"/>
        </w:rPr>
        <w:t xml:space="preserve">k </w:t>
      </w:r>
      <w:r>
        <w:rPr>
          <w:rFonts w:ascii="Times New Roman" w:hAnsi="Times New Roman" w:cs="Arial"/>
          <w:color w:val="000000"/>
        </w:rPr>
        <w:t>zdravotným poisťovniam a Sociálnej poisťovni</w:t>
      </w:r>
      <w:r>
        <w:rPr>
          <w:rFonts w:ascii="Times New Roman" w:hAnsi="Times New Roman" w:cs="Arial"/>
          <w:color w:val="000000"/>
        </w:rPr>
        <w:t>,</w:t>
      </w:r>
      <w:r>
        <w:rPr>
          <w:rFonts w:ascii="Times New Roman" w:hAnsi="Times New Roman" w:cs="Arial"/>
          <w:color w:val="000000"/>
        </w:rPr>
        <w:t xml:space="preserve"> </w:t>
      </w:r>
      <w:r>
        <w:rPr>
          <w:rFonts w:ascii="Times New Roman" w:hAnsi="Times New Roman" w:cs="Arial"/>
          <w:color w:val="000000"/>
        </w:rPr>
        <w:t>môže tvoriť povinný prídel podľa odseku 1 písm. a) do výšky 1 %. Zamestnávateľ, ktorý nesplnil niektorú z podmienok uvedených v prvej vete, tvorí povinný prídel do fondu vo výške 0,6 %.“.</w:t>
      </w:r>
    </w:p>
    <w:p w:rsidR="00415D77" w:rsidP="00AB58B7">
      <w:pPr>
        <w:pStyle w:val="BodyTextIndent3"/>
        <w:ind w:left="0"/>
        <w:rPr>
          <w:rFonts w:ascii="Times New Roman" w:hAnsi="Times New Roman"/>
          <w:i w:val="0"/>
          <w:iCs w:val="0"/>
          <w:color w:val="000000"/>
          <w:szCs w:val="24"/>
          <w:lang w:eastAsia="sk-SK"/>
        </w:rPr>
      </w:pPr>
    </w:p>
    <w:p w:rsidR="00415D77" w:rsidP="00175A54">
      <w:pPr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>V § 4 odsek 1 znie:</w:t>
      </w:r>
    </w:p>
    <w:p w:rsidR="00415D77" w:rsidP="009006C4">
      <w:pPr>
        <w:jc w:val="both"/>
        <w:rPr>
          <w:rFonts w:ascii="Times New Roman" w:hAnsi="Times New Roman" w:cs="Arial"/>
          <w:b/>
          <w:bCs/>
          <w:color w:val="000000"/>
        </w:rPr>
      </w:pPr>
    </w:p>
    <w:p w:rsidR="00415D77" w:rsidP="00984E6F">
      <w:pPr>
        <w:ind w:left="540" w:firstLine="168"/>
        <w:jc w:val="both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 xml:space="preserve">„(1) </w:t>
      </w:r>
      <w:r>
        <w:rPr>
          <w:rFonts w:ascii="Times New Roman" w:hAnsi="Times New Roman" w:cs="Arial"/>
          <w:color w:val="000000"/>
        </w:rPr>
        <w:t xml:space="preserve">Základom na určenie </w:t>
      </w:r>
      <w:r w:rsidR="00722D3F">
        <w:rPr>
          <w:rFonts w:ascii="Times New Roman" w:hAnsi="Times New Roman" w:cs="Arial"/>
          <w:color w:val="000000"/>
        </w:rPr>
        <w:t xml:space="preserve">ročného </w:t>
      </w:r>
      <w:r>
        <w:rPr>
          <w:rFonts w:ascii="Times New Roman" w:hAnsi="Times New Roman" w:cs="Arial"/>
          <w:color w:val="000000"/>
        </w:rPr>
        <w:t xml:space="preserve">prídelu </w:t>
      </w:r>
      <w:r>
        <w:rPr>
          <w:rFonts w:ascii="Times New Roman" w:hAnsi="Times New Roman" w:cs="Arial"/>
          <w:color w:val="000000"/>
        </w:rPr>
        <w:t xml:space="preserve">do fondu </w:t>
      </w:r>
      <w:r>
        <w:rPr>
          <w:rFonts w:ascii="Times New Roman" w:hAnsi="Times New Roman" w:cs="Arial"/>
          <w:color w:val="000000"/>
        </w:rPr>
        <w:t xml:space="preserve">podľa § 3 je súhrn hrubých miezd </w:t>
      </w:r>
      <w:r>
        <w:rPr>
          <w:rFonts w:ascii="Times New Roman" w:hAnsi="Times New Roman" w:cs="Arial"/>
          <w:color w:val="000000"/>
        </w:rPr>
        <w:t xml:space="preserve">alebo </w:t>
      </w:r>
      <w:r>
        <w:rPr>
          <w:rFonts w:ascii="Times New Roman" w:hAnsi="Times New Roman" w:cs="Arial"/>
          <w:color w:val="000000"/>
        </w:rPr>
        <w:t>platov</w:t>
      </w:r>
      <w:r w:rsidR="00AB58B7">
        <w:rPr>
          <w:rFonts w:ascii="Times New Roman" w:hAnsi="Times New Roman" w:cs="Arial"/>
          <w:color w:val="000000"/>
          <w:vertAlign w:val="superscript"/>
        </w:rPr>
        <w:t>3</w:t>
      </w:r>
      <w:r>
        <w:rPr>
          <w:rFonts w:ascii="Times New Roman" w:hAnsi="Times New Roman" w:cs="Arial"/>
          <w:color w:val="000000"/>
          <w:vertAlign w:val="superscript"/>
        </w:rPr>
        <w:t>)</w:t>
      </w:r>
      <w:r>
        <w:rPr>
          <w:rFonts w:ascii="Times New Roman" w:hAnsi="Times New Roman" w:cs="Arial"/>
          <w:color w:val="000000"/>
        </w:rPr>
        <w:t xml:space="preserve"> zúčtovaných zamestnancom na výplatu za </w:t>
      </w:r>
      <w:r>
        <w:rPr>
          <w:rFonts w:ascii="Times New Roman" w:hAnsi="Times New Roman" w:cs="Arial"/>
          <w:color w:val="000000"/>
        </w:rPr>
        <w:t xml:space="preserve">kalendárny </w:t>
      </w:r>
      <w:r>
        <w:rPr>
          <w:rFonts w:ascii="Times New Roman" w:hAnsi="Times New Roman" w:cs="Arial"/>
          <w:color w:val="000000"/>
        </w:rPr>
        <w:t>rok.</w:t>
      </w:r>
      <w:r>
        <w:rPr>
          <w:rFonts w:ascii="Times New Roman" w:hAnsi="Times New Roman" w:cs="Arial"/>
          <w:color w:val="000000"/>
        </w:rPr>
        <w:t xml:space="preserve"> Základom na určenie</w:t>
      </w:r>
      <w:r w:rsidR="00722D3F">
        <w:rPr>
          <w:rFonts w:ascii="Times New Roman" w:hAnsi="Times New Roman" w:cs="Arial"/>
          <w:color w:val="000000"/>
        </w:rPr>
        <w:t xml:space="preserve"> mesačného</w:t>
      </w:r>
      <w:r>
        <w:rPr>
          <w:rFonts w:ascii="Times New Roman" w:hAnsi="Times New Roman" w:cs="Arial"/>
          <w:color w:val="000000"/>
        </w:rPr>
        <w:t xml:space="preserve"> prídelu do fondu je </w:t>
      </w:r>
      <w:r w:rsidR="009006C4">
        <w:rPr>
          <w:rFonts w:ascii="Times New Roman" w:hAnsi="Times New Roman" w:cs="Arial"/>
          <w:color w:val="000000"/>
        </w:rPr>
        <w:t>s</w:t>
      </w:r>
      <w:r>
        <w:rPr>
          <w:rFonts w:ascii="Times New Roman" w:hAnsi="Times New Roman" w:cs="Arial"/>
          <w:color w:val="000000"/>
        </w:rPr>
        <w:t>úhrn hrubých miezd alebo platov zúčtovaných zamestnancom na výplatu za príslušný kalendárny mesiac</w:t>
      </w:r>
      <w:r w:rsidR="00722D3F">
        <w:rPr>
          <w:rFonts w:ascii="Times New Roman" w:hAnsi="Times New Roman" w:cs="Arial"/>
          <w:color w:val="000000"/>
        </w:rPr>
        <w:t>.</w:t>
      </w:r>
      <w:r>
        <w:rPr>
          <w:rFonts w:ascii="Times New Roman" w:hAnsi="Times New Roman" w:cs="Arial"/>
          <w:color w:val="000000"/>
        </w:rPr>
        <w:t xml:space="preserve"> Základom na určenie prídelu do fondu u zamestnancov, ktorých plat je zložený z </w:t>
      </w:r>
      <w:r>
        <w:rPr>
          <w:rFonts w:ascii="Times New Roman" w:hAnsi="Times New Roman" w:cs="Arial"/>
          <w:color w:val="000000"/>
        </w:rPr>
        <w:t xml:space="preserve">časti </w:t>
      </w:r>
      <w:r>
        <w:rPr>
          <w:rFonts w:ascii="Times New Roman" w:hAnsi="Times New Roman" w:cs="Arial"/>
          <w:color w:val="000000"/>
        </w:rPr>
        <w:t xml:space="preserve">v slovenskej mene </w:t>
      </w:r>
      <w:r>
        <w:rPr>
          <w:rFonts w:ascii="Times New Roman" w:hAnsi="Times New Roman" w:cs="Arial"/>
          <w:color w:val="000000"/>
        </w:rPr>
        <w:t>a z časti v cudzej</w:t>
      </w:r>
      <w:r>
        <w:rPr>
          <w:rFonts w:ascii="Times New Roman" w:hAnsi="Times New Roman" w:cs="Arial"/>
          <w:color w:val="000000"/>
        </w:rPr>
        <w:t xml:space="preserve"> </w:t>
      </w:r>
      <w:r>
        <w:rPr>
          <w:rFonts w:ascii="Times New Roman" w:hAnsi="Times New Roman" w:cs="Arial"/>
          <w:color w:val="000000"/>
        </w:rPr>
        <w:t>mene</w:t>
      </w:r>
      <w:r w:rsidR="00131619">
        <w:rPr>
          <w:rFonts w:ascii="Times New Roman" w:hAnsi="Times New Roman" w:cs="Arial"/>
          <w:color w:val="000000"/>
        </w:rPr>
        <w:t>,</w:t>
      </w:r>
      <w:r>
        <w:rPr>
          <w:rFonts w:ascii="Times New Roman" w:hAnsi="Times New Roman" w:cs="Arial"/>
          <w:color w:val="000000"/>
        </w:rPr>
        <w:t xml:space="preserve"> a štátnych zamestnancov, ktorým sa poskytuje zahraničný príspevok počas ich pôsobenia v zahraničí podľa osobitného predpisu,</w:t>
      </w:r>
      <w:r w:rsidR="00AB58B7">
        <w:rPr>
          <w:rFonts w:ascii="Times New Roman" w:hAnsi="Times New Roman" w:cs="Arial"/>
          <w:color w:val="000000"/>
          <w:vertAlign w:val="superscript"/>
        </w:rPr>
        <w:t>4</w:t>
      </w:r>
      <w:r>
        <w:rPr>
          <w:rFonts w:ascii="Times New Roman" w:hAnsi="Times New Roman" w:cs="Arial"/>
          <w:color w:val="000000"/>
          <w:vertAlign w:val="superscript"/>
        </w:rPr>
        <w:t>)</w:t>
      </w:r>
      <w:r>
        <w:rPr>
          <w:rFonts w:ascii="Times New Roman" w:hAnsi="Times New Roman" w:cs="Arial"/>
          <w:color w:val="000000"/>
        </w:rPr>
        <w:t xml:space="preserve"> je </w:t>
      </w:r>
      <w:r w:rsidRPr="009006C4">
        <w:rPr>
          <w:rFonts w:ascii="Times New Roman" w:hAnsi="Times New Roman" w:cs="Arial"/>
          <w:bCs/>
          <w:color w:val="000000"/>
        </w:rPr>
        <w:t xml:space="preserve">súhrn </w:t>
      </w:r>
      <w:r w:rsidRPr="009006C4" w:rsidR="009006C4">
        <w:rPr>
          <w:rFonts w:ascii="Times New Roman" w:hAnsi="Times New Roman" w:cs="Arial"/>
          <w:bCs/>
          <w:color w:val="000000"/>
        </w:rPr>
        <w:t xml:space="preserve">funkčných </w:t>
      </w:r>
      <w:r w:rsidRPr="009006C4">
        <w:rPr>
          <w:rFonts w:ascii="Times New Roman" w:hAnsi="Times New Roman" w:cs="Arial"/>
          <w:bCs/>
          <w:color w:val="000000"/>
        </w:rPr>
        <w:t xml:space="preserve">platov </w:t>
      </w:r>
      <w:r w:rsidRPr="009006C4">
        <w:rPr>
          <w:rFonts w:ascii="Times New Roman" w:hAnsi="Times New Roman" w:cs="Arial"/>
          <w:bCs/>
          <w:color w:val="000000"/>
        </w:rPr>
        <w:t>určený</w:t>
      </w:r>
      <w:r w:rsidRPr="009006C4">
        <w:rPr>
          <w:rFonts w:ascii="Times New Roman" w:hAnsi="Times New Roman" w:cs="Arial"/>
          <w:bCs/>
          <w:color w:val="000000"/>
        </w:rPr>
        <w:t>ch</w:t>
      </w:r>
      <w:r w:rsidRPr="009006C4">
        <w:rPr>
          <w:rFonts w:ascii="Times New Roman" w:hAnsi="Times New Roman" w:cs="Arial"/>
          <w:bCs/>
          <w:color w:val="000000"/>
        </w:rPr>
        <w:t xml:space="preserve"> v slovenskej mene pred </w:t>
      </w:r>
      <w:r w:rsidR="009006C4">
        <w:rPr>
          <w:rFonts w:ascii="Times New Roman" w:hAnsi="Times New Roman" w:cs="Arial"/>
          <w:bCs/>
          <w:color w:val="000000"/>
        </w:rPr>
        <w:t xml:space="preserve">ich </w:t>
      </w:r>
      <w:r w:rsidRPr="009006C4">
        <w:rPr>
          <w:rFonts w:ascii="Times New Roman" w:hAnsi="Times New Roman" w:cs="Arial"/>
          <w:bCs/>
          <w:color w:val="000000"/>
        </w:rPr>
        <w:t>rozdelením na slovensk</w:t>
      </w:r>
      <w:r w:rsidRPr="009006C4">
        <w:rPr>
          <w:rFonts w:ascii="Times New Roman" w:hAnsi="Times New Roman" w:cs="Arial"/>
          <w:bCs/>
          <w:color w:val="000000"/>
        </w:rPr>
        <w:t>ú menu a cudziu menu.</w:t>
      </w:r>
      <w:r w:rsidRPr="009006C4">
        <w:rPr>
          <w:rFonts w:ascii="Times New Roman" w:hAnsi="Times New Roman" w:cs="Arial"/>
          <w:color w:val="000000"/>
        </w:rPr>
        <w:t>“.</w:t>
      </w:r>
    </w:p>
    <w:p w:rsidR="00415D77" w:rsidP="00971100">
      <w:pPr>
        <w:jc w:val="both"/>
        <w:rPr>
          <w:rFonts w:ascii="Times New Roman" w:hAnsi="Times New Roman" w:cs="Arial"/>
          <w:color w:val="000000"/>
        </w:rPr>
      </w:pPr>
    </w:p>
    <w:p w:rsidR="00415D77">
      <w:pPr>
        <w:ind w:firstLine="540"/>
        <w:jc w:val="both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 xml:space="preserve">Poznámky pod čiarou k odkazom </w:t>
      </w:r>
      <w:r w:rsidR="00AB58B7">
        <w:rPr>
          <w:rFonts w:ascii="Times New Roman" w:hAnsi="Times New Roman" w:cs="Arial"/>
          <w:color w:val="000000"/>
        </w:rPr>
        <w:t>3</w:t>
      </w:r>
      <w:r>
        <w:rPr>
          <w:rFonts w:ascii="Times New Roman" w:hAnsi="Times New Roman" w:cs="Arial"/>
          <w:color w:val="000000"/>
        </w:rPr>
        <w:t xml:space="preserve"> </w:t>
      </w:r>
      <w:r w:rsidR="00BC281C">
        <w:rPr>
          <w:rFonts w:ascii="Times New Roman" w:hAnsi="Times New Roman" w:cs="Arial"/>
          <w:color w:val="000000"/>
        </w:rPr>
        <w:t>a </w:t>
      </w:r>
      <w:r w:rsidR="00AB58B7">
        <w:rPr>
          <w:rFonts w:ascii="Times New Roman" w:hAnsi="Times New Roman" w:cs="Arial"/>
          <w:color w:val="000000"/>
        </w:rPr>
        <w:t>4</w:t>
      </w:r>
      <w:r w:rsidR="00BC281C">
        <w:rPr>
          <w:rFonts w:ascii="Times New Roman" w:hAnsi="Times New Roman" w:cs="Arial"/>
          <w:color w:val="000000"/>
        </w:rPr>
        <w:t xml:space="preserve"> </w:t>
      </w:r>
      <w:r>
        <w:rPr>
          <w:rFonts w:ascii="Times New Roman" w:hAnsi="Times New Roman" w:cs="Arial"/>
          <w:color w:val="000000"/>
        </w:rPr>
        <w:t>znejú:</w:t>
      </w:r>
    </w:p>
    <w:p w:rsidR="00415D77" w:rsidRPr="008F6D0F" w:rsidP="00984E6F">
      <w:pPr>
        <w:ind w:left="900" w:hanging="900"/>
        <w:jc w:val="both"/>
        <w:rPr>
          <w:rFonts w:ascii="Times New Roman" w:hAnsi="Times New Roman" w:cs="Arial"/>
        </w:rPr>
      </w:pPr>
      <w:r w:rsidR="00984E6F">
        <w:rPr>
          <w:rFonts w:ascii="Times New Roman" w:hAnsi="Times New Roman" w:cs="Arial"/>
          <w:color w:val="000000"/>
        </w:rPr>
        <w:t xml:space="preserve">         </w:t>
      </w:r>
      <w:r>
        <w:rPr>
          <w:rFonts w:ascii="Times New Roman" w:hAnsi="Times New Roman" w:cs="Arial"/>
          <w:color w:val="000000"/>
        </w:rPr>
        <w:t>„</w:t>
      </w:r>
      <w:r w:rsidR="00AB58B7">
        <w:rPr>
          <w:rFonts w:ascii="Times New Roman" w:hAnsi="Times New Roman" w:cs="Arial"/>
          <w:color w:val="000000"/>
        </w:rPr>
        <w:t>3</w:t>
      </w:r>
      <w:r w:rsidR="00984E6F">
        <w:rPr>
          <w:rFonts w:ascii="Times New Roman" w:hAnsi="Times New Roman" w:cs="Arial"/>
          <w:color w:val="000000"/>
        </w:rPr>
        <w:t xml:space="preserve">) </w:t>
      </w:r>
      <w:r>
        <w:rPr>
          <w:rFonts w:ascii="Times New Roman" w:hAnsi="Times New Roman" w:cs="Arial"/>
          <w:color w:val="000000"/>
        </w:rPr>
        <w:t>Napríklad § 118 ods. 2 Zákonníka práce,</w:t>
      </w:r>
      <w:r w:rsidR="00722D3F">
        <w:rPr>
          <w:rFonts w:ascii="Times New Roman" w:hAnsi="Times New Roman" w:cs="Arial"/>
          <w:color w:val="000000"/>
        </w:rPr>
        <w:t xml:space="preserve"> </w:t>
      </w:r>
      <w:r w:rsidRPr="008F6D0F" w:rsidR="00722D3F">
        <w:rPr>
          <w:rFonts w:ascii="Times New Roman" w:hAnsi="Times New Roman" w:cs="Arial"/>
          <w:bCs/>
        </w:rPr>
        <w:t>§ 84 ods. 1 zákona č. 73/1998 Z. z.</w:t>
      </w:r>
      <w:r w:rsidRPr="008F6D0F" w:rsidR="00722D3F">
        <w:rPr>
          <w:rFonts w:ascii="Times New Roman" w:hAnsi="Times New Roman" w:cs="Arial"/>
        </w:rPr>
        <w:t xml:space="preserve"> </w:t>
      </w:r>
      <w:r w:rsidR="00722D3F">
        <w:rPr>
          <w:rFonts w:ascii="Times New Roman" w:hAnsi="Times New Roman" w:cs="Arial"/>
        </w:rPr>
        <w:t>v znení neskorších predpisov,</w:t>
      </w:r>
      <w:r>
        <w:rPr>
          <w:rFonts w:ascii="Times New Roman" w:hAnsi="Times New Roman" w:cs="Arial"/>
          <w:color w:val="000000"/>
        </w:rPr>
        <w:t xml:space="preserve"> § 78 ods. 1 zákona č. 312/2001 Z. z. v znení neskorších predpisov, § 4 ods. 1 zákona č. 553/2003 Z. z. o odmeňovaní niektorých zamestnancov pri výkone práce vo verejnom záujme a o zmene a doplnení niektorých zákonov</w:t>
      </w:r>
      <w:r w:rsidR="008F6D0F">
        <w:rPr>
          <w:rFonts w:ascii="Times New Roman" w:hAnsi="Times New Roman" w:cs="Arial"/>
        </w:rPr>
        <w:t>.</w:t>
      </w:r>
    </w:p>
    <w:p w:rsidR="00415D77" w:rsidP="00984E6F">
      <w:pPr>
        <w:ind w:left="900" w:hanging="900"/>
        <w:jc w:val="both"/>
        <w:rPr>
          <w:rFonts w:ascii="Times New Roman" w:hAnsi="Times New Roman" w:cs="Arial"/>
          <w:color w:val="000000"/>
        </w:rPr>
      </w:pPr>
      <w:r w:rsidR="00984E6F">
        <w:rPr>
          <w:rFonts w:ascii="Times New Roman" w:hAnsi="Times New Roman" w:cs="Arial"/>
          <w:color w:val="000000"/>
        </w:rPr>
        <w:t xml:space="preserve">          </w:t>
      </w:r>
      <w:r w:rsidR="00AB58B7">
        <w:rPr>
          <w:rFonts w:ascii="Times New Roman" w:hAnsi="Times New Roman" w:cs="Arial"/>
          <w:color w:val="000000"/>
        </w:rPr>
        <w:t>4</w:t>
      </w:r>
      <w:r w:rsidR="00984E6F">
        <w:rPr>
          <w:rFonts w:ascii="Times New Roman" w:hAnsi="Times New Roman" w:cs="Arial"/>
          <w:color w:val="000000"/>
        </w:rPr>
        <w:t xml:space="preserve">) </w:t>
      </w:r>
      <w:r>
        <w:rPr>
          <w:rFonts w:ascii="Times New Roman" w:hAnsi="Times New Roman" w:cs="Arial"/>
          <w:color w:val="000000"/>
        </w:rPr>
        <w:t xml:space="preserve">Napríklad </w:t>
      </w:r>
      <w:r w:rsidR="00722D3F">
        <w:rPr>
          <w:rFonts w:ascii="Times New Roman" w:hAnsi="Times New Roman" w:cs="Arial"/>
          <w:color w:val="000000"/>
        </w:rPr>
        <w:t xml:space="preserve">§ 109 zákona č. 73/1998 Z. z. v znení neskorších predpisov, § 101a </w:t>
      </w:r>
      <w:r w:rsidR="00984E6F">
        <w:rPr>
          <w:rFonts w:ascii="Times New Roman" w:hAnsi="Times New Roman" w:cs="Arial"/>
          <w:color w:val="000000"/>
        </w:rPr>
        <w:t xml:space="preserve"> </w:t>
      </w:r>
      <w:r w:rsidR="00722D3F">
        <w:rPr>
          <w:rFonts w:ascii="Times New Roman" w:hAnsi="Times New Roman" w:cs="Arial"/>
          <w:color w:val="000000"/>
        </w:rPr>
        <w:t xml:space="preserve">zákona   č. 200/1998 Z. z.  v znení neskorších predpisov, </w:t>
      </w:r>
      <w:r>
        <w:rPr>
          <w:rFonts w:ascii="Times New Roman" w:hAnsi="Times New Roman" w:cs="Arial"/>
          <w:color w:val="000000"/>
        </w:rPr>
        <w:t xml:space="preserve">§ 98 zákona č. 312/2001 Z. z. v znení neskorších predpisov, § 22 zákona č. 553/2003 Z. z. v znení neskorších predpisov, </w:t>
      </w:r>
      <w:r w:rsidR="008F6D0F">
        <w:rPr>
          <w:rFonts w:ascii="Times New Roman" w:hAnsi="Times New Roman" w:cs="Arial"/>
          <w:color w:val="000000"/>
        </w:rPr>
        <w:t>§ 147 a 149 zákona č. 546/2005 Z. z.</w:t>
      </w:r>
      <w:r>
        <w:rPr>
          <w:rFonts w:ascii="Times New Roman" w:hAnsi="Times New Roman" w:cs="Arial"/>
          <w:color w:val="000000"/>
        </w:rPr>
        <w:t>“.</w:t>
      </w:r>
    </w:p>
    <w:p w:rsidR="008F6D0F" w:rsidP="00984E6F">
      <w:pPr>
        <w:ind w:left="900" w:hanging="900"/>
        <w:jc w:val="both"/>
        <w:rPr>
          <w:rFonts w:ascii="Times New Roman" w:hAnsi="Times New Roman" w:cs="Arial"/>
          <w:color w:val="000000"/>
          <w:spacing w:val="8"/>
        </w:rPr>
      </w:pPr>
    </w:p>
    <w:p w:rsidR="00415D77">
      <w:pPr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Arial"/>
          <w:color w:val="000000"/>
          <w:spacing w:val="8"/>
        </w:rPr>
      </w:pPr>
      <w:r>
        <w:rPr>
          <w:rFonts w:ascii="Times New Roman" w:hAnsi="Times New Roman" w:cs="Arial"/>
          <w:color w:val="000000"/>
          <w:spacing w:val="8"/>
        </w:rPr>
        <w:t xml:space="preserve">V § 5 ods. 1 a 2 sa za slová „písm. a) a“ vkladá slovo </w:t>
      </w:r>
      <w:r>
        <w:rPr>
          <w:rFonts w:ascii="Times New Roman" w:hAnsi="Times New Roman" w:cs="Arial"/>
          <w:color w:val="000000"/>
          <w:spacing w:val="8"/>
        </w:rPr>
        <w:t>„ďalší“.</w:t>
      </w:r>
    </w:p>
    <w:p w:rsidR="00415D77" w:rsidP="008F6D0F">
      <w:pPr>
        <w:jc w:val="both"/>
        <w:rPr>
          <w:rFonts w:ascii="Times New Roman" w:hAnsi="Times New Roman" w:cs="Arial"/>
          <w:color w:val="000000"/>
          <w:spacing w:val="8"/>
        </w:rPr>
      </w:pPr>
    </w:p>
    <w:p w:rsidR="00415D77">
      <w:pPr>
        <w:numPr>
          <w:ilvl w:val="0"/>
          <w:numId w:val="3"/>
        </w:numPr>
        <w:tabs>
          <w:tab w:val="left" w:pos="360"/>
        </w:tabs>
        <w:rPr>
          <w:rFonts w:ascii="Times New Roman" w:hAnsi="Times New Roman" w:cs="Arial"/>
          <w:color w:val="000000"/>
          <w:spacing w:val="8"/>
        </w:rPr>
      </w:pPr>
      <w:r w:rsidR="00440498">
        <w:rPr>
          <w:rFonts w:ascii="Times New Roman" w:hAnsi="Times New Roman" w:cs="Arial"/>
          <w:color w:val="000000"/>
          <w:spacing w:val="8"/>
        </w:rPr>
        <w:t xml:space="preserve">V § 5 ods. 1 sa odkaz 1 označuje ako odkaz </w:t>
      </w:r>
      <w:r w:rsidR="00AB58B7">
        <w:rPr>
          <w:rFonts w:ascii="Times New Roman" w:hAnsi="Times New Roman" w:cs="Arial"/>
          <w:color w:val="000000"/>
          <w:spacing w:val="8"/>
        </w:rPr>
        <w:t>5</w:t>
      </w:r>
      <w:r w:rsidR="00440498">
        <w:rPr>
          <w:rFonts w:ascii="Times New Roman" w:hAnsi="Times New Roman" w:cs="Arial"/>
          <w:color w:val="000000"/>
          <w:spacing w:val="8"/>
        </w:rPr>
        <w:t>.</w:t>
      </w:r>
    </w:p>
    <w:p w:rsidR="00415D77">
      <w:pPr>
        <w:ind w:left="720"/>
        <w:rPr>
          <w:rFonts w:ascii="Times New Roman" w:hAnsi="Times New Roman" w:cs="Arial"/>
          <w:color w:val="000000"/>
          <w:spacing w:val="8"/>
        </w:rPr>
      </w:pPr>
    </w:p>
    <w:p w:rsidR="00415D77" w:rsidP="00984E6F">
      <w:pPr>
        <w:ind w:left="360"/>
        <w:rPr>
          <w:rFonts w:ascii="Times New Roman" w:hAnsi="Times New Roman" w:cs="Arial"/>
          <w:color w:val="000000"/>
          <w:spacing w:val="8"/>
        </w:rPr>
      </w:pPr>
      <w:r w:rsidR="00984E6F">
        <w:rPr>
          <w:rFonts w:ascii="Times New Roman" w:hAnsi="Times New Roman" w:cs="Arial"/>
          <w:color w:val="000000"/>
          <w:spacing w:val="8"/>
        </w:rPr>
        <w:t xml:space="preserve"> </w:t>
      </w:r>
      <w:r w:rsidR="00BC281C">
        <w:rPr>
          <w:rFonts w:ascii="Times New Roman" w:hAnsi="Times New Roman" w:cs="Arial"/>
          <w:color w:val="000000"/>
          <w:spacing w:val="8"/>
        </w:rPr>
        <w:t xml:space="preserve">Poznámka pod čiarou k odkazu </w:t>
      </w:r>
      <w:r w:rsidR="00AB58B7">
        <w:rPr>
          <w:rFonts w:ascii="Times New Roman" w:hAnsi="Times New Roman" w:cs="Arial"/>
          <w:color w:val="000000"/>
          <w:spacing w:val="8"/>
        </w:rPr>
        <w:t>5</w:t>
      </w:r>
      <w:r>
        <w:rPr>
          <w:rFonts w:ascii="Times New Roman" w:hAnsi="Times New Roman" w:cs="Arial"/>
          <w:color w:val="000000"/>
          <w:spacing w:val="8"/>
        </w:rPr>
        <w:t xml:space="preserve"> znie:</w:t>
      </w:r>
    </w:p>
    <w:p w:rsidR="00415D77" w:rsidP="00984E6F">
      <w:pPr>
        <w:rPr>
          <w:rFonts w:ascii="Times New Roman" w:hAnsi="Times New Roman" w:cs="Arial"/>
          <w:color w:val="000000"/>
          <w:spacing w:val="8"/>
        </w:rPr>
      </w:pPr>
      <w:r w:rsidR="00984E6F">
        <w:rPr>
          <w:rFonts w:ascii="Times New Roman" w:hAnsi="Times New Roman" w:cs="Arial"/>
          <w:color w:val="000000"/>
          <w:spacing w:val="8"/>
        </w:rPr>
        <w:t xml:space="preserve">      </w:t>
      </w:r>
      <w:r>
        <w:rPr>
          <w:rFonts w:ascii="Times New Roman" w:hAnsi="Times New Roman" w:cs="Arial"/>
          <w:color w:val="000000"/>
          <w:spacing w:val="8"/>
        </w:rPr>
        <w:t>„</w:t>
      </w:r>
      <w:r w:rsidR="00AB58B7">
        <w:rPr>
          <w:rFonts w:ascii="Times New Roman" w:hAnsi="Times New Roman" w:cs="Arial"/>
          <w:color w:val="000000"/>
          <w:spacing w:val="8"/>
        </w:rPr>
        <w:t>5</w:t>
      </w:r>
      <w:r>
        <w:rPr>
          <w:rFonts w:ascii="Times New Roman" w:hAnsi="Times New Roman" w:cs="Arial"/>
          <w:color w:val="000000"/>
          <w:spacing w:val="8"/>
        </w:rPr>
        <w:t>) § 19 ods. 1 zákona č. 595/2003 Z. z.“.</w:t>
      </w:r>
    </w:p>
    <w:p w:rsidR="00415D77">
      <w:pPr>
        <w:rPr>
          <w:rFonts w:ascii="Times New Roman" w:hAnsi="Times New Roman" w:cs="Arial"/>
          <w:color w:val="000000"/>
          <w:spacing w:val="8"/>
        </w:rPr>
      </w:pPr>
    </w:p>
    <w:p w:rsidR="00AB58B7">
      <w:pPr>
        <w:rPr>
          <w:rFonts w:ascii="Times New Roman" w:hAnsi="Times New Roman" w:cs="Arial"/>
          <w:color w:val="000000"/>
          <w:spacing w:val="8"/>
        </w:rPr>
      </w:pPr>
    </w:p>
    <w:p w:rsidR="00AB58B7">
      <w:pPr>
        <w:rPr>
          <w:rFonts w:ascii="Times New Roman" w:hAnsi="Times New Roman" w:cs="Arial"/>
          <w:color w:val="000000"/>
          <w:spacing w:val="8"/>
        </w:rPr>
      </w:pPr>
    </w:p>
    <w:p w:rsidR="00415D77">
      <w:pPr>
        <w:numPr>
          <w:ilvl w:val="0"/>
          <w:numId w:val="3"/>
        </w:numPr>
        <w:tabs>
          <w:tab w:val="left" w:pos="360"/>
        </w:tabs>
        <w:rPr>
          <w:rFonts w:ascii="Times New Roman" w:hAnsi="Times New Roman" w:cs="Arial"/>
          <w:color w:val="000000"/>
          <w:spacing w:val="8"/>
        </w:rPr>
      </w:pPr>
      <w:r>
        <w:rPr>
          <w:rFonts w:ascii="Times New Roman" w:hAnsi="Times New Roman" w:cs="Arial"/>
          <w:color w:val="000000"/>
          <w:spacing w:val="8"/>
        </w:rPr>
        <w:t>§ 6 a 7 vrátane nadpis</w:t>
      </w:r>
      <w:r w:rsidR="008F6D0F">
        <w:rPr>
          <w:rFonts w:ascii="Times New Roman" w:hAnsi="Times New Roman" w:cs="Arial"/>
          <w:color w:val="000000"/>
          <w:spacing w:val="8"/>
        </w:rPr>
        <w:t>u</w:t>
      </w:r>
      <w:r>
        <w:rPr>
          <w:rFonts w:ascii="Times New Roman" w:hAnsi="Times New Roman" w:cs="Arial"/>
          <w:color w:val="000000"/>
          <w:spacing w:val="8"/>
        </w:rPr>
        <w:t xml:space="preserve"> zn</w:t>
      </w:r>
      <w:r w:rsidR="008F6D0F">
        <w:rPr>
          <w:rFonts w:ascii="Times New Roman" w:hAnsi="Times New Roman" w:cs="Arial"/>
          <w:color w:val="000000"/>
          <w:spacing w:val="8"/>
        </w:rPr>
        <w:t>ie</w:t>
      </w:r>
      <w:r>
        <w:rPr>
          <w:rFonts w:ascii="Times New Roman" w:hAnsi="Times New Roman" w:cs="Arial"/>
          <w:color w:val="000000"/>
          <w:spacing w:val="8"/>
        </w:rPr>
        <w:t>:</w:t>
      </w:r>
    </w:p>
    <w:p w:rsidR="00415D77">
      <w:pPr>
        <w:ind w:firstLine="720"/>
        <w:rPr>
          <w:rFonts w:ascii="Times New Roman" w:hAnsi="Times New Roman" w:cs="Arial"/>
        </w:rPr>
      </w:pPr>
    </w:p>
    <w:p w:rsidR="00415D77">
      <w:pPr>
        <w:pStyle w:val="Heading5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>„§ 6</w:t>
      </w:r>
    </w:p>
    <w:p w:rsidR="00415D77">
      <w:pPr>
        <w:pStyle w:val="Heading5"/>
        <w:spacing w:before="0" w:beforeAutospacing="0" w:after="0" w:afterAutospacing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</w:p>
    <w:p w:rsidR="00415D77" w:rsidP="00984E6F">
      <w:pPr>
        <w:pStyle w:val="Heading5"/>
        <w:spacing w:before="0" w:beforeAutospacing="0" w:after="0" w:afterAutospacing="0"/>
        <w:ind w:left="360" w:firstLine="34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vertAlign w:val="superscript"/>
          <w:lang w:val="sk-SK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(1) Tvorba fondu a čerpanie fondu sa ved</w:t>
      </w:r>
      <w:r w:rsidR="00AB58B7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ie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 na osobitnom analytickom účte fondu </w:t>
      </w:r>
      <w:r w:rsidR="00984E6F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alebo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 na osobitnom účte v banke alebo v pobočke zahraničnej banky.</w:t>
      </w:r>
    </w:p>
    <w:p w:rsidR="00415D77" w:rsidP="00984E6F">
      <w:pPr>
        <w:pStyle w:val="Heading5"/>
        <w:spacing w:before="0" w:beforeAutospacing="0" w:after="0" w:afterAutospacing="0"/>
        <w:ind w:left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</w:p>
    <w:p w:rsidR="00415D77" w:rsidP="00984E6F">
      <w:pPr>
        <w:pStyle w:val="Heading5"/>
        <w:spacing w:before="0" w:beforeAutospacing="0" w:after="0" w:afterAutospacing="0"/>
        <w:ind w:left="360" w:firstLine="34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(2) Fond sa tvorí v deň dohodnutý na výplatu mzdy alebo platu. Ak zamestnávateľ vypláca mzdu alebo plat vo viacerých výplatných termínoch, za deň výplaty </w:t>
      </w:r>
      <w:r w:rsidR="001B4AA6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sa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na účely tohto zákona považuje posledný </w:t>
      </w:r>
      <w:r w:rsidR="001B4AA6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dohodnutý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deň výplaty mzdy alebo platu za uplynulý kalendárny mesiac. Prevod finančných prostriedkov sa uskutoční do päť dní po dni dohodnutom na výplatu mzdy alebo platu, najneskôr do konca kalendárneho mesiaca.</w:t>
      </w:r>
    </w:p>
    <w:p w:rsidR="00415D77" w:rsidP="00984E6F">
      <w:pPr>
        <w:pStyle w:val="Heading5"/>
        <w:spacing w:before="0" w:beforeAutospacing="0" w:after="0" w:afterAutospacing="0"/>
        <w:ind w:left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</w:p>
    <w:p w:rsidR="00415D77" w:rsidP="00984E6F">
      <w:pPr>
        <w:pStyle w:val="Heading5"/>
        <w:spacing w:before="0" w:beforeAutospacing="0" w:after="0" w:afterAutospacing="0"/>
        <w:ind w:left="360" w:firstLine="348"/>
        <w:jc w:val="both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(3) Zúčtovanie prostriedkov fondu za </w:t>
      </w:r>
      <w:r w:rsidR="00AB58B7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kalendárny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rok vykoná zamestnávateľ najneskôr do 31. januára nasledujúceho roka. Nevyčerpaný zostatok fondu sa prevádza do nasledujúceho roka.</w:t>
      </w:r>
    </w:p>
    <w:p w:rsidR="00415D77" w:rsidP="00984E6F">
      <w:pPr>
        <w:pStyle w:val="Heading5"/>
        <w:spacing w:before="0" w:beforeAutospacing="0" w:after="0" w:afterAutospacing="0"/>
        <w:ind w:left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</w:p>
    <w:p w:rsidR="00415D77" w:rsidP="00984E6F">
      <w:pPr>
        <w:pStyle w:val="Heading5"/>
        <w:spacing w:before="0" w:beforeAutospacing="0" w:after="0" w:afterAutospacing="0"/>
        <w:ind w:left="360" w:firstLine="34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(4) V prípade prechodu práv a povinností z pracovnoprávnych vzťahov podľa osobitného predpisu</w:t>
      </w:r>
      <w:r w:rsidR="00AB58B7">
        <w:rPr>
          <w:rFonts w:ascii="Times New Roman" w:hAnsi="Times New Roman"/>
          <w:b w:val="0"/>
          <w:bCs w:val="0"/>
          <w:color w:val="auto"/>
          <w:sz w:val="24"/>
          <w:szCs w:val="24"/>
          <w:vertAlign w:val="superscript"/>
          <w:lang w:val="sk-SK"/>
        </w:rPr>
        <w:t>6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vertAlign w:val="superscript"/>
          <w:lang w:val="sk-SK"/>
        </w:rPr>
        <w:t>)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 sa n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evyčerpaná časť fondu zodpovedajúca podielu prevádzaných zamestnancov prevedie na nového zamestnávateľa.</w:t>
      </w:r>
    </w:p>
    <w:p w:rsidR="00415D77" w:rsidP="00984E6F">
      <w:pPr>
        <w:pStyle w:val="Heading5"/>
        <w:spacing w:before="0" w:beforeAutospacing="0" w:after="0" w:afterAutospacing="0"/>
        <w:ind w:left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</w:p>
    <w:p w:rsidR="00415D77" w:rsidP="00984E6F">
      <w:pPr>
        <w:pStyle w:val="Heading5"/>
        <w:spacing w:before="0" w:beforeAutospacing="0" w:after="0" w:afterAutospacing="0"/>
        <w:ind w:left="360" w:firstLine="34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(5) Ak sa zrušuje zamestnávateľ bez právneho nástupcu, vzniknuté nároky na plnenia z fondu sa uspokojujú ako nároky z pracovného pomeru.</w:t>
      </w:r>
    </w:p>
    <w:p w:rsidR="00415D77" w:rsidP="00984E6F">
      <w:pPr>
        <w:tabs>
          <w:tab w:val="left" w:pos="1170"/>
        </w:tabs>
        <w:ind w:left="708"/>
        <w:rPr>
          <w:rFonts w:ascii="Times New Roman" w:hAnsi="Times New Roman" w:cs="Arial"/>
          <w:b/>
          <w:bCs/>
          <w:lang w:eastAsia="cs-CZ"/>
        </w:rPr>
      </w:pPr>
    </w:p>
    <w:p w:rsidR="00415D77" w:rsidRPr="00780DB5">
      <w:pPr>
        <w:tabs>
          <w:tab w:val="left" w:pos="1170"/>
        </w:tabs>
        <w:jc w:val="center"/>
        <w:rPr>
          <w:rFonts w:ascii="Times New Roman" w:hAnsi="Times New Roman" w:cs="Arial"/>
          <w:b/>
          <w:bCs/>
          <w:lang w:eastAsia="cs-CZ"/>
        </w:rPr>
      </w:pPr>
      <w:r w:rsidRPr="00780DB5">
        <w:rPr>
          <w:rFonts w:ascii="Times New Roman" w:hAnsi="Times New Roman" w:cs="Arial"/>
          <w:b/>
          <w:bCs/>
          <w:lang w:eastAsia="cs-CZ"/>
        </w:rPr>
        <w:t>§ 7</w:t>
      </w:r>
    </w:p>
    <w:p w:rsidR="00415D77" w:rsidRPr="00780DB5">
      <w:pPr>
        <w:tabs>
          <w:tab w:val="left" w:pos="1170"/>
        </w:tabs>
        <w:jc w:val="center"/>
        <w:rPr>
          <w:rFonts w:ascii="Times New Roman" w:hAnsi="Times New Roman" w:cs="Arial"/>
          <w:b/>
          <w:bCs/>
          <w:lang w:eastAsia="cs-CZ"/>
        </w:rPr>
      </w:pPr>
      <w:r w:rsidRPr="00780DB5">
        <w:rPr>
          <w:rFonts w:ascii="Times New Roman" w:hAnsi="Times New Roman" w:cs="Arial"/>
          <w:b/>
          <w:bCs/>
          <w:lang w:eastAsia="cs-CZ"/>
        </w:rPr>
        <w:t>Použitie fondu</w:t>
      </w:r>
    </w:p>
    <w:p w:rsidR="00415D77" w:rsidRPr="00780DB5">
      <w:pPr>
        <w:tabs>
          <w:tab w:val="left" w:pos="1170"/>
        </w:tabs>
        <w:ind w:left="1170"/>
        <w:jc w:val="both"/>
        <w:rPr>
          <w:rFonts w:ascii="Times New Roman" w:hAnsi="Times New Roman" w:cs="Arial"/>
          <w:lang w:eastAsia="cs-CZ"/>
        </w:rPr>
      </w:pPr>
    </w:p>
    <w:p w:rsidR="00415D77" w:rsidRPr="00780DB5" w:rsidP="00984E6F">
      <w:pPr>
        <w:tabs>
          <w:tab w:val="left" w:pos="1170"/>
        </w:tabs>
        <w:ind w:left="405"/>
        <w:jc w:val="both"/>
        <w:rPr>
          <w:rFonts w:ascii="Times New Roman" w:hAnsi="Times New Roman" w:cs="Arial"/>
          <w:lang w:eastAsia="cs-CZ"/>
        </w:rPr>
      </w:pPr>
      <w:r w:rsidRPr="00780DB5" w:rsidR="00984E6F">
        <w:rPr>
          <w:rFonts w:ascii="Times New Roman" w:hAnsi="Times New Roman" w:cs="Arial"/>
          <w:lang w:eastAsia="cs-CZ"/>
        </w:rPr>
        <w:t xml:space="preserve">     </w:t>
      </w:r>
      <w:r w:rsidRPr="00780DB5">
        <w:rPr>
          <w:rFonts w:ascii="Times New Roman" w:hAnsi="Times New Roman" w:cs="Arial"/>
          <w:lang w:eastAsia="cs-CZ"/>
        </w:rPr>
        <w:t xml:space="preserve">(1) </w:t>
      </w:r>
      <w:r w:rsidRPr="00780DB5">
        <w:rPr>
          <w:rFonts w:ascii="Times New Roman" w:hAnsi="Times New Roman" w:cs="Arial"/>
          <w:lang w:eastAsia="cs-CZ"/>
        </w:rPr>
        <w:t xml:space="preserve">Zamestnávateľ </w:t>
      </w:r>
      <w:r w:rsidRPr="00780DB5">
        <w:rPr>
          <w:rFonts w:ascii="Times New Roman" w:hAnsi="Times New Roman" w:cs="Arial"/>
          <w:lang w:eastAsia="cs-CZ"/>
        </w:rPr>
        <w:t xml:space="preserve">v rámci realizácie svojej sociálnej politiky </w:t>
      </w:r>
      <w:r w:rsidRPr="00780DB5">
        <w:rPr>
          <w:rFonts w:ascii="Times New Roman" w:hAnsi="Times New Roman" w:cs="Arial"/>
          <w:lang w:eastAsia="cs-CZ"/>
        </w:rPr>
        <w:t>poskytuje zamestnancom z fondu</w:t>
      </w:r>
      <w:r w:rsidRPr="00780DB5">
        <w:rPr>
          <w:rFonts w:ascii="Times New Roman" w:hAnsi="Times New Roman" w:cs="Arial"/>
          <w:lang w:eastAsia="cs-CZ"/>
        </w:rPr>
        <w:t xml:space="preserve"> </w:t>
      </w:r>
      <w:r w:rsidRPr="00780DB5">
        <w:rPr>
          <w:rFonts w:ascii="Times New Roman" w:hAnsi="Times New Roman" w:cs="Arial"/>
          <w:lang w:eastAsia="cs-CZ"/>
        </w:rPr>
        <w:t xml:space="preserve">príspevok </w:t>
      </w:r>
      <w:r w:rsidRPr="00780DB5">
        <w:rPr>
          <w:rFonts w:ascii="Times New Roman" w:hAnsi="Times New Roman" w:cs="Arial"/>
          <w:lang w:eastAsia="cs-CZ"/>
        </w:rPr>
        <w:t>na</w:t>
      </w:r>
    </w:p>
    <w:p w:rsidR="00415D77" w:rsidRPr="00780DB5" w:rsidP="00984E6F">
      <w:pPr>
        <w:numPr>
          <w:ilvl w:val="0"/>
          <w:numId w:val="6"/>
        </w:numPr>
        <w:tabs>
          <w:tab w:val="clear" w:pos="765"/>
          <w:tab w:val="left" w:pos="810"/>
          <w:tab w:val="left" w:pos="1170"/>
        </w:tabs>
        <w:ind w:left="810"/>
        <w:jc w:val="both"/>
        <w:rPr>
          <w:rFonts w:ascii="Times New Roman" w:hAnsi="Times New Roman" w:cs="Arial"/>
          <w:lang w:eastAsia="cs-CZ"/>
        </w:rPr>
      </w:pPr>
      <w:r w:rsidRPr="00780DB5">
        <w:rPr>
          <w:rFonts w:ascii="Times New Roman" w:hAnsi="Times New Roman" w:cs="Arial"/>
          <w:lang w:eastAsia="cs-CZ"/>
        </w:rPr>
        <w:t xml:space="preserve">stravovanie </w:t>
      </w:r>
      <w:r w:rsidRPr="00780DB5">
        <w:rPr>
          <w:rFonts w:ascii="Times New Roman" w:hAnsi="Times New Roman" w:cs="Arial"/>
          <w:lang w:eastAsia="cs-CZ"/>
        </w:rPr>
        <w:t xml:space="preserve">zamestnancov </w:t>
      </w:r>
      <w:r w:rsidRPr="00780DB5">
        <w:rPr>
          <w:rFonts w:ascii="Times New Roman" w:hAnsi="Times New Roman" w:cs="Arial"/>
          <w:lang w:eastAsia="cs-CZ"/>
        </w:rPr>
        <w:t>nad rozsah ustanovený osobitným</w:t>
      </w:r>
      <w:r w:rsidRPr="00780DB5" w:rsidR="008F6D0F">
        <w:rPr>
          <w:rFonts w:ascii="Times New Roman" w:hAnsi="Times New Roman" w:cs="Arial"/>
          <w:lang w:eastAsia="cs-CZ"/>
        </w:rPr>
        <w:t>i</w:t>
      </w:r>
      <w:r w:rsidRPr="00780DB5">
        <w:rPr>
          <w:rFonts w:ascii="Times New Roman" w:hAnsi="Times New Roman" w:cs="Arial"/>
          <w:lang w:eastAsia="cs-CZ"/>
        </w:rPr>
        <w:t xml:space="preserve"> </w:t>
      </w:r>
      <w:r w:rsidRPr="00780DB5">
        <w:rPr>
          <w:rFonts w:ascii="Times New Roman" w:hAnsi="Times New Roman" w:cs="Arial"/>
          <w:lang w:eastAsia="cs-CZ"/>
        </w:rPr>
        <w:t>predpism</w:t>
      </w:r>
      <w:r w:rsidRPr="00780DB5" w:rsidR="008F6D0F">
        <w:rPr>
          <w:rFonts w:ascii="Times New Roman" w:hAnsi="Times New Roman" w:cs="Arial"/>
          <w:lang w:eastAsia="cs-CZ"/>
        </w:rPr>
        <w:t>i</w:t>
      </w:r>
      <w:r w:rsidRPr="00780DB5">
        <w:rPr>
          <w:rFonts w:ascii="Times New Roman" w:hAnsi="Times New Roman" w:cs="Arial"/>
          <w:lang w:eastAsia="cs-CZ"/>
        </w:rPr>
        <w:t>,</w:t>
      </w:r>
      <w:r w:rsidRPr="00780DB5">
        <w:rPr>
          <w:rFonts w:ascii="Times New Roman" w:hAnsi="Times New Roman" w:cs="Arial"/>
          <w:vertAlign w:val="superscript"/>
          <w:lang w:eastAsia="cs-CZ"/>
        </w:rPr>
        <w:t xml:space="preserve"> </w:t>
      </w:r>
    </w:p>
    <w:p w:rsidR="00415D77" w:rsidRPr="00780DB5" w:rsidP="00984E6F">
      <w:pPr>
        <w:numPr>
          <w:ilvl w:val="0"/>
          <w:numId w:val="6"/>
        </w:numPr>
        <w:tabs>
          <w:tab w:val="clear" w:pos="765"/>
          <w:tab w:val="left" w:pos="810"/>
          <w:tab w:val="left" w:pos="1170"/>
        </w:tabs>
        <w:ind w:left="810"/>
        <w:jc w:val="both"/>
        <w:rPr>
          <w:rFonts w:ascii="Times New Roman" w:hAnsi="Times New Roman" w:cs="Arial"/>
          <w:lang w:eastAsia="cs-CZ"/>
        </w:rPr>
      </w:pPr>
      <w:r w:rsidRPr="00780DB5">
        <w:rPr>
          <w:rFonts w:ascii="Times New Roman" w:hAnsi="Times New Roman" w:cs="Arial"/>
          <w:lang w:eastAsia="cs-CZ"/>
        </w:rPr>
        <w:t xml:space="preserve">dopravu do </w:t>
      </w:r>
      <w:r w:rsidRPr="00780DB5">
        <w:rPr>
          <w:rFonts w:ascii="Times New Roman" w:hAnsi="Times New Roman" w:cs="Arial"/>
          <w:lang w:eastAsia="cs-CZ"/>
        </w:rPr>
        <w:t>zamestnania a</w:t>
      </w:r>
      <w:r w:rsidRPr="00780DB5">
        <w:rPr>
          <w:rFonts w:ascii="Times New Roman" w:hAnsi="Times New Roman" w:cs="Arial"/>
          <w:lang w:eastAsia="cs-CZ"/>
        </w:rPr>
        <w:t> </w:t>
      </w:r>
      <w:r w:rsidRPr="00780DB5">
        <w:rPr>
          <w:rFonts w:ascii="Times New Roman" w:hAnsi="Times New Roman" w:cs="Arial"/>
          <w:lang w:eastAsia="cs-CZ"/>
        </w:rPr>
        <w:t>späť</w:t>
      </w:r>
      <w:r w:rsidRPr="00780DB5">
        <w:rPr>
          <w:rFonts w:ascii="Times New Roman" w:hAnsi="Times New Roman" w:cs="Arial"/>
          <w:lang w:eastAsia="cs-CZ"/>
        </w:rPr>
        <w:t>,</w:t>
      </w:r>
    </w:p>
    <w:p w:rsidR="00415D77" w:rsidRPr="00780DB5" w:rsidP="00984E6F">
      <w:pPr>
        <w:numPr>
          <w:ilvl w:val="0"/>
          <w:numId w:val="6"/>
        </w:numPr>
        <w:tabs>
          <w:tab w:val="clear" w:pos="765"/>
          <w:tab w:val="left" w:pos="810"/>
          <w:tab w:val="left" w:pos="1170"/>
        </w:tabs>
        <w:ind w:left="810"/>
        <w:jc w:val="both"/>
        <w:rPr>
          <w:rFonts w:ascii="Times New Roman" w:hAnsi="Times New Roman" w:cs="Arial"/>
          <w:lang w:eastAsia="cs-CZ"/>
        </w:rPr>
      </w:pPr>
      <w:r w:rsidRPr="00780DB5">
        <w:rPr>
          <w:rFonts w:ascii="Times New Roman" w:hAnsi="Times New Roman" w:cs="Arial"/>
          <w:lang w:eastAsia="cs-CZ"/>
        </w:rPr>
        <w:t>účasť na kultúrnych a športových podujatiach,</w:t>
      </w:r>
    </w:p>
    <w:p w:rsidR="00415D77" w:rsidRPr="00780DB5" w:rsidP="00984E6F">
      <w:pPr>
        <w:numPr>
          <w:ilvl w:val="0"/>
          <w:numId w:val="6"/>
        </w:numPr>
        <w:tabs>
          <w:tab w:val="clear" w:pos="765"/>
          <w:tab w:val="left" w:pos="810"/>
          <w:tab w:val="left" w:pos="1170"/>
        </w:tabs>
        <w:ind w:left="810"/>
        <w:jc w:val="both"/>
        <w:rPr>
          <w:rFonts w:ascii="Times New Roman" w:hAnsi="Times New Roman" w:cs="Arial"/>
          <w:lang w:eastAsia="cs-CZ"/>
        </w:rPr>
      </w:pPr>
      <w:r w:rsidRPr="00780DB5">
        <w:rPr>
          <w:rFonts w:ascii="Times New Roman" w:hAnsi="Times New Roman" w:cs="Arial"/>
          <w:lang w:eastAsia="cs-CZ"/>
        </w:rPr>
        <w:t xml:space="preserve">rekreácie a služby, ktoré zamestnanec využíva na regeneráciu pracovnej sily, </w:t>
      </w:r>
    </w:p>
    <w:p w:rsidR="00415D77" w:rsidRPr="00780DB5" w:rsidP="00984E6F">
      <w:pPr>
        <w:numPr>
          <w:ilvl w:val="0"/>
          <w:numId w:val="6"/>
        </w:numPr>
        <w:tabs>
          <w:tab w:val="clear" w:pos="765"/>
          <w:tab w:val="left" w:pos="810"/>
          <w:tab w:val="left" w:pos="1170"/>
        </w:tabs>
        <w:ind w:left="810"/>
        <w:jc w:val="both"/>
        <w:rPr>
          <w:rFonts w:ascii="Times New Roman" w:hAnsi="Times New Roman" w:cs="Arial"/>
          <w:lang w:eastAsia="cs-CZ"/>
        </w:rPr>
      </w:pPr>
      <w:r w:rsidRPr="00780DB5">
        <w:rPr>
          <w:rFonts w:ascii="Times New Roman" w:hAnsi="Times New Roman" w:cs="Arial"/>
          <w:lang w:eastAsia="cs-CZ"/>
        </w:rPr>
        <w:t>zdravotnú starostlivosť,</w:t>
      </w:r>
    </w:p>
    <w:p w:rsidR="00415D77" w:rsidRPr="00780DB5" w:rsidP="00984E6F">
      <w:pPr>
        <w:numPr>
          <w:ilvl w:val="0"/>
          <w:numId w:val="6"/>
        </w:numPr>
        <w:tabs>
          <w:tab w:val="clear" w:pos="765"/>
          <w:tab w:val="left" w:pos="810"/>
          <w:tab w:val="left" w:pos="1170"/>
        </w:tabs>
        <w:ind w:left="810"/>
        <w:jc w:val="both"/>
        <w:rPr>
          <w:rFonts w:ascii="Times New Roman" w:hAnsi="Times New Roman" w:cs="Arial"/>
          <w:lang w:eastAsia="cs-CZ"/>
        </w:rPr>
      </w:pPr>
      <w:r w:rsidRPr="00780DB5">
        <w:rPr>
          <w:rFonts w:ascii="Times New Roman" w:hAnsi="Times New Roman" w:cs="Arial"/>
          <w:lang w:eastAsia="cs-CZ"/>
        </w:rPr>
        <w:t>sociálnu výpomoc</w:t>
      </w:r>
      <w:r w:rsidRPr="00780DB5">
        <w:rPr>
          <w:rFonts w:ascii="Times New Roman" w:hAnsi="Times New Roman" w:cs="Arial"/>
          <w:lang w:eastAsia="cs-CZ"/>
        </w:rPr>
        <w:t xml:space="preserve"> a peňažné pôžičky</w:t>
      </w:r>
      <w:r w:rsidRPr="00780DB5">
        <w:rPr>
          <w:rFonts w:ascii="Times New Roman" w:hAnsi="Times New Roman" w:cs="Arial"/>
          <w:lang w:eastAsia="cs-CZ"/>
        </w:rPr>
        <w:t xml:space="preserve">, </w:t>
      </w:r>
    </w:p>
    <w:p w:rsidR="00415D77" w:rsidRPr="00780DB5" w:rsidP="00984E6F">
      <w:pPr>
        <w:numPr>
          <w:ilvl w:val="0"/>
          <w:numId w:val="6"/>
        </w:numPr>
        <w:tabs>
          <w:tab w:val="clear" w:pos="765"/>
          <w:tab w:val="left" w:pos="810"/>
          <w:tab w:val="left" w:pos="1170"/>
        </w:tabs>
        <w:ind w:left="810"/>
        <w:jc w:val="both"/>
        <w:rPr>
          <w:rFonts w:ascii="Times New Roman" w:hAnsi="Times New Roman" w:cs="Arial"/>
          <w:lang w:eastAsia="cs-CZ"/>
        </w:rPr>
      </w:pPr>
      <w:r w:rsidRPr="00780DB5">
        <w:rPr>
          <w:rFonts w:ascii="Times New Roman" w:hAnsi="Times New Roman" w:cs="Arial"/>
          <w:lang w:eastAsia="cs-CZ"/>
        </w:rPr>
        <w:t xml:space="preserve">doplnkové dôchodkové sporenie okrem príspevku na doplnkové dôchodkové sporenie, ktorý je zamestnávateľ povinný platiť podľa </w:t>
      </w:r>
      <w:r w:rsidRPr="00780DB5">
        <w:rPr>
          <w:rFonts w:ascii="Times New Roman" w:hAnsi="Times New Roman" w:cs="Arial"/>
          <w:lang w:eastAsia="cs-CZ"/>
        </w:rPr>
        <w:t xml:space="preserve">osobitného </w:t>
      </w:r>
      <w:r w:rsidRPr="00780DB5">
        <w:rPr>
          <w:rFonts w:ascii="Times New Roman" w:hAnsi="Times New Roman" w:cs="Arial"/>
          <w:lang w:eastAsia="cs-CZ"/>
        </w:rPr>
        <w:t>predpisu</w:t>
      </w:r>
      <w:r w:rsidRPr="00780DB5">
        <w:rPr>
          <w:rFonts w:ascii="Times New Roman" w:hAnsi="Times New Roman" w:cs="Arial"/>
          <w:lang w:eastAsia="cs-CZ"/>
        </w:rPr>
        <w:t>,</w:t>
      </w:r>
      <w:r w:rsidRPr="00780DB5" w:rsidR="00AB58B7">
        <w:rPr>
          <w:rFonts w:ascii="Times New Roman" w:hAnsi="Times New Roman" w:cs="Arial"/>
          <w:vertAlign w:val="superscript"/>
          <w:lang w:eastAsia="cs-CZ"/>
        </w:rPr>
        <w:t>7</w:t>
      </w:r>
      <w:r w:rsidRPr="00780DB5">
        <w:rPr>
          <w:rFonts w:ascii="Times New Roman" w:hAnsi="Times New Roman" w:cs="Arial"/>
          <w:vertAlign w:val="superscript"/>
          <w:lang w:eastAsia="cs-CZ"/>
        </w:rPr>
        <w:t>)</w:t>
      </w:r>
      <w:r w:rsidRPr="00780DB5">
        <w:rPr>
          <w:rFonts w:ascii="Times New Roman" w:hAnsi="Times New Roman" w:cs="Arial"/>
          <w:lang w:eastAsia="cs-CZ"/>
        </w:rPr>
        <w:t xml:space="preserve"> </w:t>
      </w:r>
    </w:p>
    <w:p w:rsidR="00415D77" w:rsidRPr="00780DB5" w:rsidP="00984E6F">
      <w:pPr>
        <w:numPr>
          <w:ilvl w:val="0"/>
          <w:numId w:val="6"/>
        </w:numPr>
        <w:tabs>
          <w:tab w:val="clear" w:pos="765"/>
          <w:tab w:val="left" w:pos="810"/>
          <w:tab w:val="left" w:pos="1170"/>
        </w:tabs>
        <w:ind w:left="810"/>
        <w:jc w:val="both"/>
        <w:rPr>
          <w:rFonts w:ascii="Times New Roman" w:hAnsi="Times New Roman" w:cs="Arial"/>
          <w:lang w:eastAsia="cs-CZ"/>
        </w:rPr>
      </w:pPr>
      <w:r w:rsidRPr="00780DB5">
        <w:rPr>
          <w:rFonts w:ascii="Times New Roman" w:hAnsi="Times New Roman" w:cs="Arial"/>
          <w:lang w:eastAsia="cs-CZ"/>
        </w:rPr>
        <w:t>ďalšiu realizáciu podnikovej sociálnej politiky v oblasti</w:t>
      </w:r>
      <w:r w:rsidRPr="00780DB5">
        <w:rPr>
          <w:rFonts w:ascii="Times New Roman" w:hAnsi="Times New Roman" w:cs="Arial"/>
          <w:lang w:eastAsia="cs-CZ"/>
        </w:rPr>
        <w:t xml:space="preserve"> starostlivosti </w:t>
      </w:r>
      <w:r w:rsidRPr="00780DB5" w:rsidR="00235FAD">
        <w:rPr>
          <w:rFonts w:ascii="Times New Roman" w:hAnsi="Times New Roman" w:cs="Arial"/>
          <w:lang w:eastAsia="cs-CZ"/>
        </w:rPr>
        <w:t xml:space="preserve">                          </w:t>
      </w:r>
      <w:r w:rsidRPr="00780DB5">
        <w:rPr>
          <w:rFonts w:ascii="Times New Roman" w:hAnsi="Times New Roman" w:cs="Arial"/>
          <w:lang w:eastAsia="cs-CZ"/>
        </w:rPr>
        <w:t>o zamestnancov.</w:t>
      </w:r>
    </w:p>
    <w:p w:rsidR="00415D77" w:rsidRPr="00780DB5" w:rsidP="00984E6F">
      <w:pPr>
        <w:pStyle w:val="Heading5"/>
        <w:tabs>
          <w:tab w:val="left" w:pos="540"/>
        </w:tabs>
        <w:spacing w:before="0" w:beforeAutospacing="0" w:after="0" w:afterAutospacing="0"/>
        <w:ind w:left="405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</w:p>
    <w:p w:rsidR="00415D77" w:rsidRPr="00780DB5" w:rsidP="00984E6F">
      <w:pPr>
        <w:pStyle w:val="Heading5"/>
        <w:tabs>
          <w:tab w:val="left" w:pos="540"/>
        </w:tabs>
        <w:spacing w:before="0" w:beforeAutospacing="0" w:after="0" w:afterAutospacing="0"/>
        <w:ind w:left="405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  <w:r w:rsidRPr="00780DB5" w:rsidR="00984E6F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ab/>
        <w:tab/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(2) Príspevok z fondu možn</w:t>
      </w:r>
      <w:r w:rsidRPr="00780DB5" w:rsidR="00AB58B7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o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 poskytnúť aj rodinnému príslušníkovi zamestnanca a poberateľovi starobného dôchodku, predčasného starobného dôchodku, invalidného dôchodku</w:t>
      </w:r>
      <w:r w:rsidRPr="00780DB5" w:rsidR="009006C4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,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 výsluhového dôchodku alebo invalidného výsluhového dôchodku, ktorého zamestnávateľ zamestnával v pracovnom pomere alebo v obdobnom pracovnom vzťahu ku dňu odchodu do starobného dôchodku, predčasného starobného dôchodku, invalidného dôchodku</w:t>
      </w:r>
      <w:r w:rsidRPr="00780DB5" w:rsidR="009006C4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,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 výsluhového dôchodku alebo invalidného výsluhového dôchodku; za rodinného príslušníka sa na účely tohto zákona považuje manžel (manželka) zamestnanca a nezaopatrené deti</w:t>
      </w:r>
      <w:r w:rsidRPr="00780DB5" w:rsidR="00AB58B7">
        <w:rPr>
          <w:rFonts w:ascii="Times New Roman" w:hAnsi="Times New Roman"/>
          <w:b w:val="0"/>
          <w:bCs w:val="0"/>
          <w:color w:val="auto"/>
          <w:sz w:val="24"/>
          <w:szCs w:val="24"/>
          <w:vertAlign w:val="superscript"/>
          <w:lang w:val="sk-SK"/>
        </w:rPr>
        <w:t>8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vertAlign w:val="superscript"/>
          <w:lang w:val="sk-SK"/>
        </w:rPr>
        <w:t>)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 zamestnanca.</w:t>
      </w:r>
    </w:p>
    <w:p w:rsidR="00415D77" w:rsidRPr="00780DB5" w:rsidP="00984E6F">
      <w:pPr>
        <w:pStyle w:val="Heading5"/>
        <w:tabs>
          <w:tab w:val="left" w:pos="540"/>
        </w:tabs>
        <w:spacing w:before="0" w:beforeAutospacing="0" w:after="0" w:afterAutospacing="0"/>
        <w:ind w:left="405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ab/>
      </w:r>
    </w:p>
    <w:p w:rsidR="00415D77" w:rsidRPr="003E23C1" w:rsidP="00984E6F">
      <w:pPr>
        <w:pStyle w:val="Heading5"/>
        <w:tabs>
          <w:tab w:val="left" w:pos="540"/>
        </w:tabs>
        <w:spacing w:before="0" w:beforeAutospacing="0" w:after="0" w:afterAutospacing="0"/>
        <w:ind w:left="405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3E23C1" w:rsidR="00984E6F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ab/>
        <w:tab/>
      </w:r>
      <w:r w:rsidRPr="003E23C1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(3) V kolektívnej zmluve možn</w:t>
      </w:r>
      <w:r w:rsidRPr="003E23C1" w:rsidR="00AB58B7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o</w:t>
      </w:r>
      <w:r w:rsidRPr="003E23C1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 dohodnúť príspevok z fondu na úhradu nákladov odborovej organizácie vynaložených na spracovanie analýz a expertíz alebo iných služieb nevyhnutných na realizáciu kolektívneho vyjednávania medzi príslušným odborovým orgánom a zamestnávateľom; celková suma prostriedkov fondu použitých na tieto účely nesmie prekročiť 0,05 % </w:t>
      </w:r>
      <w:r w:rsidRPr="003E23C1" w:rsidR="008F6D0F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zo </w:t>
      </w:r>
      <w:r w:rsidRPr="003E23C1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základu ustanoveného v § 4 ods. 1. Ak sa prostriedky fondu dohodnuté v kolektívnej zmluve na účely podľa prvej vety v bežnom roku nevyčerpajú v dohodnutej sume, nevyčerpaná časť týchto prostriedkov môže byť použitá v nasledujúcom kalendárnom roku.</w:t>
      </w:r>
    </w:p>
    <w:p w:rsidR="00415D77" w:rsidRPr="00780DB5" w:rsidP="00984E6F">
      <w:pPr>
        <w:pStyle w:val="Heading5"/>
        <w:tabs>
          <w:tab w:val="left" w:pos="540"/>
        </w:tabs>
        <w:spacing w:before="0" w:beforeAutospacing="0" w:after="0" w:afterAutospacing="0"/>
        <w:ind w:left="405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415D77" w:rsidRPr="00780DB5" w:rsidP="00984E6F">
      <w:pPr>
        <w:pStyle w:val="Heading5"/>
        <w:spacing w:before="0" w:beforeAutospacing="0" w:after="0" w:afterAutospacing="0"/>
        <w:ind w:left="405" w:firstLine="303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(4) Tvorbu fondu, výšku fondu, použitie fondu, podmienky poskytovania príspevk</w:t>
      </w:r>
      <w:r w:rsidRPr="00780DB5" w:rsidR="00971100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ov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 z fondu zamestnancom a spôsob preukazovania výdavkov zamestnancom dohodne zamestnávateľ s odborovým orgánom v kolektívnej zmluve</w:t>
      </w:r>
      <w:r w:rsidRPr="00780DB5" w:rsidR="00971100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,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 a ak u zamestnávateľa nepôsobí odborová organizácia, upraví ich vo vnútornom predpise. Použitie príspevku z fondu a výšku príspevku z fondu podľa odseku 3 možno dohodnúť len v kolektívnej zmluve. </w:t>
      </w:r>
    </w:p>
    <w:p w:rsidR="00415D77" w:rsidRPr="00780DB5" w:rsidP="00984E6F">
      <w:pPr>
        <w:tabs>
          <w:tab w:val="left" w:pos="1170"/>
        </w:tabs>
        <w:ind w:left="405"/>
        <w:jc w:val="both"/>
        <w:rPr>
          <w:rFonts w:ascii="Times New Roman" w:hAnsi="Times New Roman" w:cs="Arial"/>
          <w:lang w:eastAsia="cs-CZ"/>
        </w:rPr>
      </w:pPr>
    </w:p>
    <w:p w:rsidR="00415D77" w:rsidRPr="00780DB5" w:rsidP="00984E6F">
      <w:pPr>
        <w:tabs>
          <w:tab w:val="left" w:pos="1170"/>
        </w:tabs>
        <w:ind w:left="405"/>
        <w:jc w:val="both"/>
        <w:rPr>
          <w:rFonts w:ascii="Times New Roman" w:hAnsi="Times New Roman" w:cs="Arial"/>
          <w:lang w:eastAsia="cs-CZ"/>
        </w:rPr>
      </w:pPr>
      <w:r w:rsidRPr="00780DB5" w:rsidR="00984E6F">
        <w:rPr>
          <w:rFonts w:ascii="Times New Roman" w:hAnsi="Times New Roman" w:cs="Arial"/>
          <w:lang w:eastAsia="cs-CZ"/>
        </w:rPr>
        <w:t xml:space="preserve">     </w:t>
      </w:r>
      <w:r w:rsidRPr="00780DB5">
        <w:rPr>
          <w:rFonts w:ascii="Times New Roman" w:hAnsi="Times New Roman" w:cs="Arial"/>
          <w:lang w:eastAsia="cs-CZ"/>
        </w:rPr>
        <w:t xml:space="preserve">(5) Ak v kolektívnej zmluve nie je dohodnutý ďalší </w:t>
      </w:r>
      <w:r w:rsidRPr="00780DB5">
        <w:rPr>
          <w:rFonts w:ascii="Times New Roman" w:hAnsi="Times New Roman" w:cs="Arial"/>
          <w:lang w:eastAsia="cs-CZ"/>
        </w:rPr>
        <w:t xml:space="preserve">prídel podľa § 3 ods. 1 písm. b) </w:t>
      </w:r>
      <w:r w:rsidRPr="00780DB5">
        <w:rPr>
          <w:rFonts w:ascii="Times New Roman" w:hAnsi="Times New Roman" w:cs="Arial"/>
          <w:lang w:eastAsia="cs-CZ"/>
        </w:rPr>
        <w:t xml:space="preserve">prvého </w:t>
      </w:r>
      <w:r w:rsidRPr="00780DB5">
        <w:rPr>
          <w:rFonts w:ascii="Times New Roman" w:hAnsi="Times New Roman" w:cs="Arial"/>
          <w:lang w:eastAsia="cs-CZ"/>
        </w:rPr>
        <w:t>bodu</w:t>
      </w:r>
      <w:r w:rsidRPr="00780DB5">
        <w:rPr>
          <w:rFonts w:ascii="Times New Roman" w:hAnsi="Times New Roman" w:cs="Arial"/>
          <w:lang w:eastAsia="cs-CZ"/>
        </w:rPr>
        <w:t xml:space="preserve">, </w:t>
      </w:r>
      <w:r w:rsidRPr="00780DB5">
        <w:rPr>
          <w:rFonts w:ascii="Times New Roman" w:hAnsi="Times New Roman" w:cs="Arial"/>
          <w:lang w:eastAsia="cs-CZ"/>
        </w:rPr>
        <w:t>zamestnávateľ</w:t>
      </w:r>
      <w:r w:rsidRPr="00780DB5">
        <w:rPr>
          <w:rFonts w:ascii="Times New Roman" w:hAnsi="Times New Roman" w:cs="Arial"/>
          <w:lang w:eastAsia="cs-CZ"/>
        </w:rPr>
        <w:t xml:space="preserve"> je povinný </w:t>
      </w:r>
      <w:r w:rsidRPr="00780DB5">
        <w:rPr>
          <w:rFonts w:ascii="Times New Roman" w:hAnsi="Times New Roman" w:cs="Arial"/>
          <w:lang w:eastAsia="cs-CZ"/>
        </w:rPr>
        <w:t>poskytnúť príspevok</w:t>
      </w:r>
      <w:r w:rsidRPr="00780DB5">
        <w:rPr>
          <w:rFonts w:ascii="Times New Roman" w:hAnsi="Times New Roman" w:cs="Arial"/>
          <w:lang w:eastAsia="cs-CZ"/>
        </w:rPr>
        <w:t xml:space="preserve"> </w:t>
      </w:r>
      <w:r w:rsidRPr="00780DB5">
        <w:rPr>
          <w:rFonts w:ascii="Times New Roman" w:hAnsi="Times New Roman" w:cs="Arial"/>
          <w:lang w:eastAsia="cs-CZ"/>
        </w:rPr>
        <w:t>z</w:t>
      </w:r>
      <w:r w:rsidRPr="00780DB5">
        <w:rPr>
          <w:rFonts w:ascii="Times New Roman" w:hAnsi="Times New Roman" w:cs="Arial"/>
          <w:lang w:eastAsia="cs-CZ"/>
        </w:rPr>
        <w:t xml:space="preserve"> ďalšieho prídelu do </w:t>
      </w:r>
      <w:r w:rsidRPr="00780DB5">
        <w:rPr>
          <w:rFonts w:ascii="Times New Roman" w:hAnsi="Times New Roman" w:cs="Arial"/>
          <w:lang w:eastAsia="cs-CZ"/>
        </w:rPr>
        <w:t xml:space="preserve">fondu </w:t>
      </w:r>
      <w:r w:rsidRPr="00780DB5">
        <w:rPr>
          <w:rFonts w:ascii="Times New Roman" w:hAnsi="Times New Roman" w:cs="Arial"/>
          <w:lang w:eastAsia="cs-CZ"/>
        </w:rPr>
        <w:t xml:space="preserve">tvoreného najviac vo výške podľa § 3 ods. 1 písm. b) druhého bodu na kompenzáciu výdavkov na dopravu do zamestnania a späť zamestnancovi, ktorý dochádza do zamestnania </w:t>
      </w:r>
      <w:r w:rsidRPr="00780DB5" w:rsidR="00AB58B7">
        <w:rPr>
          <w:rFonts w:ascii="Times New Roman" w:hAnsi="Times New Roman" w:cs="Arial"/>
          <w:lang w:eastAsia="cs-CZ"/>
        </w:rPr>
        <w:t xml:space="preserve">verejnou </w:t>
      </w:r>
      <w:r w:rsidRPr="00780DB5">
        <w:rPr>
          <w:rFonts w:ascii="Times New Roman" w:hAnsi="Times New Roman" w:cs="Arial"/>
          <w:lang w:eastAsia="cs-CZ"/>
        </w:rPr>
        <w:t>dopravou a ktorého priemerný mesačný zárobok</w:t>
      </w:r>
      <w:r w:rsidRPr="00780DB5" w:rsidR="00AB58B7">
        <w:rPr>
          <w:rFonts w:ascii="Times New Roman" w:hAnsi="Times New Roman" w:cs="Arial"/>
          <w:vertAlign w:val="superscript"/>
          <w:lang w:eastAsia="cs-CZ"/>
        </w:rPr>
        <w:t>9</w:t>
      </w:r>
      <w:r w:rsidRPr="00780DB5" w:rsidR="00971100">
        <w:rPr>
          <w:rFonts w:ascii="Times New Roman" w:hAnsi="Times New Roman" w:cs="Arial"/>
          <w:vertAlign w:val="superscript"/>
          <w:lang w:eastAsia="cs-CZ"/>
        </w:rPr>
        <w:t>)</w:t>
      </w:r>
      <w:r w:rsidRPr="00780DB5">
        <w:rPr>
          <w:rFonts w:ascii="Times New Roman" w:hAnsi="Times New Roman" w:cs="Arial"/>
          <w:lang w:eastAsia="cs-CZ"/>
        </w:rPr>
        <w:t xml:space="preserve"> nepresahuje </w:t>
      </w:r>
      <w:r w:rsidRPr="00780DB5" w:rsidR="00515AED">
        <w:rPr>
          <w:rFonts w:ascii="Times New Roman" w:hAnsi="Times New Roman" w:cs="Arial"/>
          <w:lang w:eastAsia="cs-CZ"/>
        </w:rPr>
        <w:t xml:space="preserve">    </w:t>
      </w:r>
      <w:r w:rsidRPr="00780DB5">
        <w:rPr>
          <w:rFonts w:ascii="Times New Roman" w:hAnsi="Times New Roman" w:cs="Arial"/>
          <w:lang w:eastAsia="cs-CZ"/>
        </w:rPr>
        <w:t xml:space="preserve">50 % </w:t>
      </w:r>
      <w:r w:rsidRPr="00780DB5">
        <w:rPr>
          <w:rFonts w:ascii="Times New Roman" w:hAnsi="Times New Roman" w:cs="Times New Roman"/>
          <w:szCs w:val="20"/>
        </w:rPr>
        <w:t xml:space="preserve">priemernej nominálnej mesačnej mzdy zamestnanca v hospodárstve </w:t>
      </w:r>
      <w:r w:rsidRPr="00780DB5">
        <w:rPr>
          <w:rFonts w:ascii="Times New Roman" w:hAnsi="Times New Roman" w:cs="Times New Roman"/>
          <w:szCs w:val="20"/>
        </w:rPr>
        <w:t>Slovenskej republiky zistenej Štatistickým úradom Slovenskej republiky za kalendárny rok predchádzajúci dva roky kalendárnemu roku</w:t>
      </w:r>
      <w:r w:rsidRPr="00780DB5" w:rsidR="00AB58B7">
        <w:rPr>
          <w:rFonts w:ascii="Times New Roman" w:hAnsi="Times New Roman" w:cs="Times New Roman"/>
          <w:szCs w:val="20"/>
        </w:rPr>
        <w:t>, za ktorý sa tvorí fond</w:t>
      </w:r>
      <w:r w:rsidRPr="00780DB5">
        <w:rPr>
          <w:rFonts w:ascii="Times New Roman" w:hAnsi="Times New Roman" w:cs="Times New Roman"/>
          <w:szCs w:val="20"/>
        </w:rPr>
        <w:t>.</w:t>
      </w:r>
      <w:r w:rsidRPr="00780DB5">
        <w:rPr>
          <w:rFonts w:ascii="Times New Roman" w:hAnsi="Times New Roman" w:cs="Arial"/>
          <w:lang w:eastAsia="cs-CZ"/>
        </w:rPr>
        <w:t xml:space="preserve"> U zamestnanca s pracovným pomerom na kratší pracovný čas sa pri výpočte priemerného mesačného zárobku vychádza z ustanoveného týždenného pracovného času na pracovisku zamestnanca. Poskytovanie príspevku podľa prvej vety nevylučuje poskytovanie príspevku na dopravu do zamestnania a späť aj z povinného prídelu do fondu.</w:t>
      </w:r>
    </w:p>
    <w:p w:rsidR="00415D77" w:rsidRPr="00780DB5" w:rsidP="00984E6F">
      <w:pPr>
        <w:tabs>
          <w:tab w:val="left" w:pos="1170"/>
        </w:tabs>
        <w:ind w:left="405"/>
        <w:jc w:val="both"/>
        <w:rPr>
          <w:rFonts w:ascii="Times New Roman" w:hAnsi="Times New Roman" w:cs="Arial"/>
          <w:lang w:eastAsia="cs-CZ"/>
        </w:rPr>
      </w:pPr>
    </w:p>
    <w:p w:rsidR="00415D77" w:rsidRPr="00780DB5" w:rsidP="00984E6F">
      <w:pPr>
        <w:pStyle w:val="Heading5"/>
        <w:spacing w:before="0" w:beforeAutospacing="0" w:after="0" w:afterAutospacing="0"/>
        <w:ind w:left="405" w:firstLine="303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(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6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) Zamestnávateľ je povinný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 poskytovať príspevok podľa odseku 5 najneskôr v termíne určenom na výplatu mzdy</w:t>
      </w:r>
      <w:r w:rsidRPr="00780DB5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 xml:space="preserve"> </w:t>
      </w:r>
      <w:r w:rsidRPr="00780DB5" w:rsidR="009006C4">
        <w:rPr>
          <w:rFonts w:ascii="Times New Roman" w:hAnsi="Times New Roman"/>
          <w:b w:val="0"/>
          <w:color w:val="auto"/>
          <w:sz w:val="24"/>
          <w:szCs w:val="24"/>
          <w:lang w:val="sk-SK"/>
        </w:rPr>
        <w:t xml:space="preserve">alebo </w:t>
      </w:r>
      <w:r w:rsidRPr="00780DB5" w:rsidR="00BC281C">
        <w:rPr>
          <w:rFonts w:ascii="Times New Roman" w:hAnsi="Times New Roman"/>
          <w:b w:val="0"/>
          <w:color w:val="auto"/>
          <w:sz w:val="24"/>
          <w:szCs w:val="24"/>
          <w:lang w:val="sk-SK"/>
        </w:rPr>
        <w:t xml:space="preserve">platu 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po preukázaní nároku zamestnanca na príspevok a 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viesť evidenciu o poskytovaných príspevkoch podľa odseku 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5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.</w:t>
      </w:r>
    </w:p>
    <w:p w:rsidR="00415D77" w:rsidRPr="00780DB5" w:rsidP="00984E6F">
      <w:pPr>
        <w:tabs>
          <w:tab w:val="left" w:pos="1170"/>
        </w:tabs>
        <w:ind w:left="405"/>
        <w:jc w:val="both"/>
        <w:rPr>
          <w:rFonts w:ascii="Times New Roman" w:hAnsi="Times New Roman" w:cs="Arial"/>
          <w:lang w:eastAsia="cs-CZ"/>
        </w:rPr>
      </w:pPr>
    </w:p>
    <w:p w:rsidR="00415D77" w:rsidRPr="00780DB5" w:rsidP="00984E6F">
      <w:pPr>
        <w:tabs>
          <w:tab w:val="left" w:pos="1170"/>
        </w:tabs>
        <w:ind w:left="405"/>
        <w:jc w:val="both"/>
        <w:rPr>
          <w:rFonts w:ascii="Times New Roman" w:hAnsi="Times New Roman" w:cs="Arial"/>
          <w:lang w:eastAsia="cs-CZ"/>
        </w:rPr>
      </w:pPr>
      <w:r w:rsidRPr="00780DB5" w:rsidR="00984E6F">
        <w:rPr>
          <w:rFonts w:ascii="Times New Roman" w:hAnsi="Times New Roman" w:cs="Arial"/>
          <w:lang w:eastAsia="cs-CZ"/>
        </w:rPr>
        <w:t xml:space="preserve">     </w:t>
      </w:r>
      <w:r w:rsidRPr="00780DB5">
        <w:rPr>
          <w:rFonts w:ascii="Times New Roman" w:hAnsi="Times New Roman" w:cs="Arial"/>
          <w:lang w:eastAsia="cs-CZ"/>
        </w:rPr>
        <w:t>(7) Zamestnávateľ poskytuje príspev</w:t>
      </w:r>
      <w:r w:rsidRPr="00780DB5" w:rsidR="00D75956">
        <w:rPr>
          <w:rFonts w:ascii="Times New Roman" w:hAnsi="Times New Roman" w:cs="Arial"/>
          <w:lang w:eastAsia="cs-CZ"/>
        </w:rPr>
        <w:t>ok</w:t>
      </w:r>
      <w:r w:rsidRPr="00780DB5">
        <w:rPr>
          <w:rFonts w:ascii="Times New Roman" w:hAnsi="Times New Roman" w:cs="Arial"/>
          <w:lang w:eastAsia="cs-CZ"/>
        </w:rPr>
        <w:t xml:space="preserve"> z</w:t>
      </w:r>
      <w:r w:rsidRPr="00780DB5" w:rsidR="00D75956">
        <w:rPr>
          <w:rFonts w:ascii="Times New Roman" w:hAnsi="Times New Roman" w:cs="Arial"/>
          <w:lang w:eastAsia="cs-CZ"/>
        </w:rPr>
        <w:t> </w:t>
      </w:r>
      <w:r w:rsidRPr="00780DB5">
        <w:rPr>
          <w:rFonts w:ascii="Times New Roman" w:hAnsi="Times New Roman" w:cs="Arial"/>
          <w:lang w:eastAsia="cs-CZ"/>
        </w:rPr>
        <w:t>fondu</w:t>
      </w:r>
      <w:r w:rsidRPr="00780DB5" w:rsidR="00D75956">
        <w:rPr>
          <w:rFonts w:ascii="Times New Roman" w:hAnsi="Times New Roman" w:cs="Arial"/>
          <w:lang w:eastAsia="cs-CZ"/>
        </w:rPr>
        <w:t xml:space="preserve"> v súlade so zásadou rovnakého zaobchádzania ustanovenou osobitným predpisom</w:t>
      </w:r>
      <w:r w:rsidRPr="00780DB5" w:rsidR="00BC281C">
        <w:rPr>
          <w:rFonts w:ascii="Times New Roman" w:hAnsi="Times New Roman" w:cs="Arial"/>
          <w:vertAlign w:val="superscript"/>
          <w:lang w:eastAsia="cs-CZ"/>
        </w:rPr>
        <w:t>1</w:t>
      </w:r>
      <w:r w:rsidRPr="00780DB5" w:rsidR="00B4247B">
        <w:rPr>
          <w:rFonts w:ascii="Times New Roman" w:hAnsi="Times New Roman" w:cs="Arial"/>
          <w:vertAlign w:val="superscript"/>
          <w:lang w:eastAsia="cs-CZ"/>
        </w:rPr>
        <w:t>0</w:t>
      </w:r>
      <w:r w:rsidRPr="00780DB5" w:rsidR="00235FAD">
        <w:rPr>
          <w:rFonts w:ascii="Times New Roman" w:hAnsi="Times New Roman" w:cs="Arial"/>
          <w:vertAlign w:val="superscript"/>
          <w:lang w:eastAsia="cs-CZ"/>
        </w:rPr>
        <w:t xml:space="preserve">) </w:t>
      </w:r>
      <w:r w:rsidRPr="00780DB5" w:rsidR="00D75956">
        <w:rPr>
          <w:rFonts w:ascii="Times New Roman" w:hAnsi="Times New Roman" w:cs="Arial"/>
          <w:lang w:eastAsia="cs-CZ"/>
        </w:rPr>
        <w:t>pre oblasť pracovnoprávnych vzťahov alebo obdobných pracovných vzťahov.</w:t>
      </w:r>
    </w:p>
    <w:p w:rsidR="00415D77" w:rsidRPr="00780DB5" w:rsidP="00515AED">
      <w:pPr>
        <w:pStyle w:val="Heading5"/>
        <w:spacing w:before="0" w:beforeAutospacing="0" w:after="0" w:afterAutospacing="0"/>
        <w:ind w:left="360" w:firstLine="72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  <w:r w:rsidRPr="00780DB5" w:rsidR="00984E6F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br/>
      </w:r>
      <w:r w:rsidRPr="00780DB5" w:rsidR="00515AED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      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(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8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) 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Z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amestnávateľ 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nesmie 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poskytovať 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p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ríspevok z fondu na účely odmeňovania za </w:t>
      </w:r>
      <w:r w:rsidRPr="00780DB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 prácu.“.</w:t>
      </w:r>
    </w:p>
    <w:p w:rsidR="00415D77" w:rsidRPr="00780DB5" w:rsidP="00984E6F">
      <w:pPr>
        <w:pStyle w:val="Heading5"/>
        <w:spacing w:before="0" w:beforeAutospacing="0" w:after="0" w:afterAutospacing="0"/>
        <w:ind w:left="405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</w:p>
    <w:p w:rsidR="00235FAD" w:rsidRPr="00780DB5" w:rsidP="001B4AA6">
      <w:pPr>
        <w:pStyle w:val="Heading5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/>
        </w:rPr>
      </w:pPr>
      <w:r w:rsidRPr="00780DB5" w:rsidR="00415D77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/>
        </w:rPr>
        <w:t xml:space="preserve">Poznámky pod čiarou k odkazom </w:t>
      </w:r>
      <w:r w:rsidRPr="00780DB5" w:rsidR="00B4247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/>
        </w:rPr>
        <w:t>6</w:t>
      </w:r>
      <w:r w:rsidRPr="00780DB5" w:rsidR="00415D77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/>
        </w:rPr>
        <w:t xml:space="preserve"> až 1</w:t>
      </w:r>
      <w:r w:rsidRPr="00780DB5" w:rsidR="00B4247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/>
        </w:rPr>
        <w:t>0</w:t>
      </w:r>
      <w:r w:rsidRPr="00780DB5" w:rsidR="00415D77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/>
        </w:rPr>
        <w:t xml:space="preserve"> znejú:</w:t>
      </w:r>
    </w:p>
    <w:p w:rsidR="00415D77" w:rsidRPr="00780DB5" w:rsidP="00515AED">
      <w:pPr>
        <w:pStyle w:val="Heading5"/>
        <w:tabs>
          <w:tab w:val="left" w:pos="54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/>
        </w:rPr>
      </w:pPr>
      <w:r w:rsidRPr="00780DB5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/>
        </w:rPr>
        <w:t>„</w:t>
      </w:r>
      <w:r w:rsidRPr="00780DB5" w:rsidR="00B4247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/>
        </w:rPr>
        <w:t>6</w:t>
      </w:r>
      <w:r w:rsidRPr="00780DB5" w:rsidR="00515AED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/>
        </w:rPr>
        <w:t xml:space="preserve">)  </w:t>
      </w:r>
      <w:r w:rsidRPr="00780DB5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/>
        </w:rPr>
        <w:t>§ 27 až  31 Zákonníka práce.</w:t>
      </w:r>
    </w:p>
    <w:p w:rsidR="00415D77" w:rsidRPr="00780DB5" w:rsidP="00A92E53">
      <w:pPr>
        <w:pStyle w:val="Heading5"/>
        <w:spacing w:before="0" w:beforeAutospacing="0" w:after="0" w:afterAutospacing="0"/>
        <w:ind w:left="720" w:hanging="36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80DB5" w:rsidR="00B4247B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t>7</w:t>
      </w:r>
      <w:r w:rsidRPr="00780DB5" w:rsidR="003046F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t xml:space="preserve">)  </w:t>
      </w:r>
      <w:r w:rsidRPr="00780DB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Zákon č. 650/2004 Z. z. o doplnkovom dôchodkovom sporení a o zmene a doplnení </w:t>
      </w:r>
      <w:r w:rsidRPr="00780DB5" w:rsidR="003046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Pr="00780DB5">
        <w:rPr>
          <w:rFonts w:ascii="Times New Roman" w:hAnsi="Times New Roman" w:cs="Times New Roman"/>
          <w:b w:val="0"/>
          <w:color w:val="auto"/>
          <w:sz w:val="24"/>
          <w:szCs w:val="24"/>
        </w:rPr>
        <w:t>niektorých zákonov v znení neskorších predpisov.</w:t>
      </w:r>
    </w:p>
    <w:p w:rsidR="00415D77" w:rsidRPr="00780DB5" w:rsidP="00A92E53">
      <w:pPr>
        <w:pStyle w:val="Heading5"/>
        <w:spacing w:before="0" w:beforeAutospacing="0" w:after="0" w:afterAutospacing="0"/>
        <w:ind w:left="720" w:hanging="41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</w:pPr>
      <w:r w:rsidRPr="00780DB5" w:rsidR="006115D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/>
        </w:rPr>
        <w:t xml:space="preserve"> </w:t>
      </w:r>
      <w:r w:rsidRPr="00780DB5" w:rsidR="00A92E5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/>
        </w:rPr>
        <w:t xml:space="preserve">8) </w:t>
      </w:r>
      <w:r w:rsidRPr="00780DB5" w:rsidR="003046F8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/>
        </w:rPr>
        <w:t xml:space="preserve"> </w:t>
      </w:r>
      <w:r w:rsidRPr="00780DB5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/>
        </w:rPr>
        <w:t>§ 3 zákona č. 600/2003 Z</w:t>
      </w:r>
      <w:r w:rsidRPr="00780DB5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  <w:t>. z. o prídavku na dieťa a o zmene a doplnení zákona č. 461/2003 Z. z. o sociálnom poistení.</w:t>
      </w:r>
    </w:p>
    <w:p w:rsidR="00415D77" w:rsidRPr="00780DB5" w:rsidP="00515AED">
      <w:pPr>
        <w:pStyle w:val="Heading5"/>
        <w:tabs>
          <w:tab w:val="left" w:pos="54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</w:pPr>
      <w:r w:rsidRPr="00780DB5" w:rsidR="00A92E5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  <w:t>9</w:t>
      </w:r>
      <w:r w:rsidRPr="00780DB5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  <w:t xml:space="preserve">) </w:t>
      </w:r>
      <w:r w:rsidRPr="00780DB5" w:rsidR="00D75956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  <w:t xml:space="preserve">  </w:t>
      </w:r>
      <w:r w:rsidRPr="00780DB5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  <w:t>§ 134 Zákonníka práce</w:t>
      </w:r>
      <w:r w:rsidRPr="00780DB5" w:rsidR="009006C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  <w:t>.</w:t>
      </w:r>
    </w:p>
    <w:p w:rsidR="00415D77" w:rsidP="00A92E53">
      <w:pPr>
        <w:pStyle w:val="Heading5"/>
        <w:spacing w:before="0" w:beforeAutospacing="0" w:after="0" w:afterAutospacing="0"/>
        <w:ind w:left="720" w:hanging="72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  <w:r w:rsidRPr="00780DB5" w:rsidR="00A92E53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      </w:t>
      </w:r>
      <w:r w:rsidRPr="00780DB5" w:rsidR="00BC281C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1</w:t>
      </w:r>
      <w:r w:rsidRPr="00780DB5" w:rsidR="00A92E53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0) </w:t>
      </w:r>
      <w:r w:rsidRPr="00780DB5" w:rsidR="00D75956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Zákon č. 365/2004 Z. z. o rovnakom zaobchádzaní v </w:t>
      </w:r>
      <w:r w:rsidRPr="00780DB5" w:rsidR="00235FAD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niektorých oblastiach a ochrane </w:t>
      </w:r>
      <w:r w:rsidRPr="00780DB5" w:rsidR="00D75956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pred diskrimináciou a o zmene a doplnení niektorých zákonov (antidiskriminačný zákon).</w:t>
      </w:r>
      <w:r w:rsidRPr="00780DB5" w:rsidR="00506A65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“.</w:t>
      </w:r>
    </w:p>
    <w:p w:rsidR="00D75956" w:rsidP="00515AED">
      <w:pPr>
        <w:pStyle w:val="Heading5"/>
        <w:spacing w:before="0" w:beforeAutospacing="0" w:after="0" w:afterAutospacing="0"/>
        <w:ind w:left="900" w:hanging="54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</w:p>
    <w:p w:rsidR="00415D77" w:rsidP="00235FAD">
      <w:pPr>
        <w:pStyle w:val="Heading5"/>
        <w:numPr>
          <w:ilvl w:val="0"/>
          <w:numId w:val="3"/>
        </w:numPr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  <w:r w:rsidR="001B4AA6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O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dkazy 3a, 3b a 3c </w:t>
      </w:r>
      <w:r w:rsidR="001B4AA6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vrátane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poznámok pod čiarou k odkazom 3a, 3b a 3c sa vypúšťajú. </w:t>
      </w:r>
    </w:p>
    <w:p w:rsidR="00B52B04" w:rsidP="00B52B04">
      <w:pPr>
        <w:pStyle w:val="Heading5"/>
        <w:spacing w:before="0" w:beforeAutospacing="0" w:after="0" w:afterAutospacing="0"/>
        <w:ind w:left="72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</w:p>
    <w:p w:rsidR="00B52B04" w:rsidP="00B52B04">
      <w:pPr>
        <w:pStyle w:val="Heading5"/>
        <w:numPr>
          <w:ilvl w:val="0"/>
          <w:numId w:val="3"/>
        </w:numPr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  <w:r w:rsidR="00F316B7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V § 8 sa o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dkaz 2 a  poznámka pod čiarou k odkazu 2  označujú ako odkaz 1</w:t>
      </w:r>
      <w:r w:rsidR="003046F8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1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 a poznámka pod čiarou k odkazu 1</w:t>
      </w:r>
      <w:r w:rsidR="003046F8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1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.</w:t>
      </w:r>
    </w:p>
    <w:p w:rsidR="00B52B04" w:rsidP="00B52B04">
      <w:pPr>
        <w:pStyle w:val="Heading5"/>
        <w:spacing w:before="0" w:beforeAutospacing="0" w:after="0" w:afterAutospacing="0"/>
        <w:ind w:left="72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</w:pPr>
    </w:p>
    <w:p w:rsidR="00415D77" w:rsidP="009006C4">
      <w:pPr>
        <w:rPr>
          <w:rFonts w:ascii="Times New Roman" w:hAnsi="Times New Roman" w:cs="Arial"/>
          <w:b/>
        </w:rPr>
      </w:pPr>
    </w:p>
    <w:p w:rsidR="003046F8" w:rsidP="009006C4">
      <w:pPr>
        <w:rPr>
          <w:rFonts w:ascii="Times New Roman" w:hAnsi="Times New Roman" w:cs="Arial"/>
          <w:b/>
        </w:rPr>
      </w:pPr>
    </w:p>
    <w:p w:rsidR="003046F8" w:rsidP="003046F8">
      <w:pPr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Čl. II</w:t>
      </w:r>
    </w:p>
    <w:p w:rsidR="003046F8" w:rsidP="003046F8">
      <w:pPr>
        <w:jc w:val="center"/>
        <w:rPr>
          <w:rFonts w:ascii="Times New Roman" w:hAnsi="Times New Roman" w:cs="Arial"/>
          <w:b/>
        </w:rPr>
      </w:pPr>
    </w:p>
    <w:p w:rsidR="003046F8" w:rsidP="003046F8">
      <w:pPr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ab/>
        <w:t>Predseda Národnej rady Slovenskej republiky sa splnomocňuje, aby v Zbierke zákonov Slovenskej republiky vyhlásil úplné znenie zákona Národnej rady Slovenskej republiky č. 152/1994 Z. z. o sociálnom fonde a o zmene a doplnení zákona č. 286/1992 Zb. o daniach z príjmov v znení neskorších predpisov ako vyplýva zo zmien a doplnení vykonaných zákonom Národnej rady Slovenskej republiky č. 280/1995 Z. z., zákonom Národnej rady Slovenskej republiky č. 375/1996 Z. z., zákonom č. 313/2005 Z. z. a týmto zákonom.</w:t>
      </w:r>
    </w:p>
    <w:p w:rsidR="003046F8" w:rsidP="003046F8">
      <w:pPr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  </w:t>
      </w:r>
    </w:p>
    <w:p w:rsidR="00BA1941" w:rsidRPr="003046F8" w:rsidP="003046F8">
      <w:pPr>
        <w:jc w:val="both"/>
        <w:rPr>
          <w:rFonts w:ascii="Times New Roman" w:hAnsi="Times New Roman" w:cs="Arial"/>
        </w:rPr>
      </w:pPr>
    </w:p>
    <w:p w:rsidR="00415D77">
      <w:pPr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Čl. II</w:t>
      </w:r>
      <w:r w:rsidR="003046F8">
        <w:rPr>
          <w:rFonts w:ascii="Times New Roman" w:hAnsi="Times New Roman" w:cs="Arial"/>
          <w:b/>
        </w:rPr>
        <w:t>I</w:t>
      </w:r>
    </w:p>
    <w:p w:rsidR="00415D77">
      <w:pPr>
        <w:jc w:val="center"/>
        <w:rPr>
          <w:rFonts w:ascii="Times New Roman" w:hAnsi="Times New Roman" w:cs="Arial"/>
          <w:b/>
        </w:rPr>
      </w:pPr>
    </w:p>
    <w:p w:rsidR="00415D77">
      <w:pPr>
        <w:pStyle w:val="Heading5"/>
        <w:spacing w:before="0" w:beforeAutospacing="0" w:after="0" w:afterAutospacing="0"/>
        <w:ind w:left="720"/>
        <w:jc w:val="both"/>
        <w:rPr>
          <w:rFonts w:ascii="Times New Roman" w:hAnsi="Times New Roman"/>
          <w:b w:val="0"/>
          <w:bCs w:val="0"/>
          <w:i/>
          <w:iCs/>
          <w:color w:val="auto"/>
          <w:sz w:val="24"/>
          <w:szCs w:val="24"/>
          <w:lang w:val="sk-SK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 xml:space="preserve">Tento zákon nadobúda účinnosť </w:t>
      </w:r>
      <w:r w:rsidR="003E23C1">
        <w:rPr>
          <w:rFonts w:ascii="Times New Roman" w:hAnsi="Times New Roman"/>
          <w:b w:val="0"/>
          <w:bCs w:val="0"/>
          <w:color w:val="auto"/>
          <w:sz w:val="24"/>
          <w:szCs w:val="24"/>
          <w:lang w:val="sk-SK"/>
        </w:rPr>
        <w:t>1. januára 2008</w:t>
      </w:r>
    </w:p>
    <w:p w:rsidR="00415D77">
      <w:pPr>
        <w:pStyle w:val="Heading5"/>
        <w:spacing w:before="0" w:beforeAutospacing="0" w:after="0" w:afterAutospacing="0"/>
        <w:ind w:left="540"/>
        <w:jc w:val="both"/>
        <w:rPr>
          <w:rFonts w:ascii="Times New Roman" w:hAnsi="Times New Roman"/>
          <w:b w:val="0"/>
          <w:bCs w:val="0"/>
          <w:i/>
          <w:iCs/>
          <w:color w:val="auto"/>
          <w:sz w:val="24"/>
          <w:szCs w:val="24"/>
          <w:lang w:val="sk-SK"/>
        </w:rPr>
      </w:pPr>
    </w:p>
    <w:p w:rsidR="00415D77">
      <w:pPr>
        <w:pStyle w:val="Heading5"/>
        <w:spacing w:before="0" w:beforeAutospacing="0" w:after="0" w:afterAutospacing="0"/>
        <w:ind w:left="540"/>
        <w:jc w:val="both"/>
        <w:rPr>
          <w:rFonts w:ascii="Times New Roman" w:hAnsi="Times New Roman"/>
          <w:b w:val="0"/>
          <w:bCs w:val="0"/>
          <w:i/>
          <w:iCs/>
          <w:color w:val="auto"/>
          <w:sz w:val="24"/>
          <w:szCs w:val="24"/>
          <w:lang w:val="sk-SK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1417" w:right="1417" w:bottom="1417" w:left="1417" w:header="720" w:footer="720" w:gutter="0"/>
      <w:cols w:space="72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F8" w:rsidP="00916501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046F8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F8" w:rsidP="00916501">
    <w:pPr>
      <w:pStyle w:val="Footer"/>
      <w:framePr w:vAnchor="text" w:hAnchor="margin" w:xAlign="right" w:y="1"/>
      <w:jc w:val="right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E0B54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3046F8" w:rsidP="00916501">
    <w:pPr>
      <w:pStyle w:val="Footer"/>
      <w:framePr w:vAnchor="text" w:hAnchor="margin" w:xAlign="right" w:y="1"/>
      <w:ind w:right="360"/>
      <w:jc w:val="right"/>
      <w:rPr>
        <w:rStyle w:val="PageNumber"/>
        <w:rFonts w:ascii="Times New Roman" w:hAnsi="Times New Roman" w:cs="Times New Roman"/>
      </w:rPr>
    </w:pPr>
  </w:p>
  <w:p w:rsidR="003046F8" w:rsidP="00D8679D">
    <w:pPr>
      <w:pStyle w:val="Footer"/>
      <w:framePr w:vAnchor="text" w:hAnchor="margin" w:xAlign="right" w:y="1"/>
      <w:ind w:right="360"/>
      <w:rPr>
        <w:rStyle w:val="PageNumber"/>
        <w:rFonts w:ascii="Times New Roman" w:hAnsi="Times New Roman" w:cs="Times New Roman"/>
      </w:rPr>
    </w:pPr>
  </w:p>
  <w:p w:rsidR="003046F8">
    <w:pPr>
      <w:pStyle w:val="Footer"/>
      <w:ind w:right="360"/>
      <w:rPr>
        <w:rFonts w:ascii="Times New Roman" w:hAnsi="Times New Roman"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F8" w:rsidP="00D8679D">
    <w:pPr>
      <w:pStyle w:val="Head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046F8" w:rsidP="00D8679D">
    <w:pPr>
      <w:pStyle w:val="Header"/>
      <w:ind w:right="360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F8" w:rsidP="00D8679D">
    <w:pPr>
      <w:pStyle w:val="Header"/>
      <w:ind w:right="360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566"/>
    <w:multiLevelType w:val="multilevel"/>
    <w:tmpl w:val="422AA8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FE0E37"/>
    <w:multiLevelType w:val="hybridMultilevel"/>
    <w:tmpl w:val="FC9452A2"/>
    <w:lvl w:ilvl="0">
      <w:start w:val="12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E3F2B5A"/>
    <w:multiLevelType w:val="hybridMultilevel"/>
    <w:tmpl w:val="7F0ED87C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>
      <w:start w:val="4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F6CA6"/>
    <w:multiLevelType w:val="hybridMultilevel"/>
    <w:tmpl w:val="1E1C6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EC6831"/>
    <w:multiLevelType w:val="hybridMultilevel"/>
    <w:tmpl w:val="DB806030"/>
    <w:lvl w:ilvl="0">
      <w:start w:val="4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2E221B38"/>
    <w:multiLevelType w:val="hybridMultilevel"/>
    <w:tmpl w:val="6C789066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3733BC"/>
    <w:multiLevelType w:val="multilevel"/>
    <w:tmpl w:val="406CD8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B840398"/>
    <w:multiLevelType w:val="multilevel"/>
    <w:tmpl w:val="406CD8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CC16594"/>
    <w:multiLevelType w:val="multilevel"/>
    <w:tmpl w:val="351CF3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DD7155E"/>
    <w:multiLevelType w:val="hybridMultilevel"/>
    <w:tmpl w:val="EE90B3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sz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CAA5D77"/>
    <w:multiLevelType w:val="hybridMultilevel"/>
    <w:tmpl w:val="E8603D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(%2)"/>
      <w:lvlJc w:val="left"/>
      <w:pPr>
        <w:tabs>
          <w:tab w:val="num" w:pos="1260"/>
        </w:tabs>
        <w:ind w:left="1260" w:hanging="5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F5400AD"/>
    <w:multiLevelType w:val="hybridMultilevel"/>
    <w:tmpl w:val="3FB457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F9254E6"/>
    <w:multiLevelType w:val="hybridMultilevel"/>
    <w:tmpl w:val="B0D8D674"/>
    <w:lvl w:ilvl="0">
      <w:start w:val="1"/>
      <w:numFmt w:val="decimal"/>
      <w:lvlText w:val="(%1)"/>
      <w:lvlJc w:val="left"/>
      <w:pPr>
        <w:tabs>
          <w:tab w:val="num" w:pos="1725"/>
        </w:tabs>
        <w:ind w:left="1725" w:hanging="555"/>
      </w:pPr>
    </w:lvl>
    <w:lvl w:ilvl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3">
    <w:nsid w:val="671D166F"/>
    <w:multiLevelType w:val="hybridMultilevel"/>
    <w:tmpl w:val="92F076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57B40FA"/>
    <w:multiLevelType w:val="hybridMultilevel"/>
    <w:tmpl w:val="FC5A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020FB3"/>
    <w:multiLevelType w:val="hybridMultilevel"/>
    <w:tmpl w:val="745AFBCA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4"/>
  </w:num>
  <w:num w:numId="5">
    <w:abstractNumId w:val="14"/>
  </w:num>
  <w:num w:numId="6">
    <w:abstractNumId w:val="2"/>
  </w:num>
  <w:num w:numId="7">
    <w:abstractNumId w:val="10"/>
  </w:num>
  <w:num w:numId="8">
    <w:abstractNumId w:val="15"/>
  </w:num>
  <w:num w:numId="9">
    <w:abstractNumId w:val="5"/>
  </w:num>
  <w:num w:numId="10">
    <w:abstractNumId w:val="12"/>
  </w:num>
  <w:num w:numId="11">
    <w:abstractNumId w:val="9"/>
  </w:num>
  <w:num w:numId="12">
    <w:abstractNumId w:val="1"/>
  </w:num>
  <w:num w:numId="13">
    <w:abstractNumId w:val="0"/>
  </w:num>
  <w:num w:numId="14">
    <w:abstractNumId w:val="8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1619"/>
    <w:rsid w:val="00175A54"/>
    <w:rsid w:val="001B4AA6"/>
    <w:rsid w:val="00235FAD"/>
    <w:rsid w:val="003046F8"/>
    <w:rsid w:val="003E23C1"/>
    <w:rsid w:val="00415D77"/>
    <w:rsid w:val="00440498"/>
    <w:rsid w:val="00506A65"/>
    <w:rsid w:val="00515AED"/>
    <w:rsid w:val="006115D3"/>
    <w:rsid w:val="00722D3F"/>
    <w:rsid w:val="00780DB5"/>
    <w:rsid w:val="008F6D0F"/>
    <w:rsid w:val="009006C4"/>
    <w:rsid w:val="00916501"/>
    <w:rsid w:val="00971100"/>
    <w:rsid w:val="00984E6F"/>
    <w:rsid w:val="00A92E53"/>
    <w:rsid w:val="00AB58B7"/>
    <w:rsid w:val="00AE0B54"/>
    <w:rsid w:val="00B4247B"/>
    <w:rsid w:val="00B52B04"/>
    <w:rsid w:val="00BA1941"/>
    <w:rsid w:val="00BC281C"/>
    <w:rsid w:val="00C37A33"/>
    <w:rsid w:val="00D75956"/>
    <w:rsid w:val="00D8679D"/>
    <w:rsid w:val="00EC4051"/>
    <w:rsid w:val="00F316B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303030"/>
      <w:sz w:val="2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hAnsi="Arial Unicode MS" w:cs="Arial Unicode MS"/>
    </w:rPr>
  </w:style>
  <w:style w:type="paragraph" w:styleId="BodyText2">
    <w:name w:val="Body Text 2"/>
    <w:basedOn w:val="Normal"/>
    <w:pPr>
      <w:spacing w:before="100" w:beforeAutospacing="1" w:after="100" w:afterAutospacing="1"/>
      <w:jc w:val="left"/>
    </w:pPr>
    <w:rPr>
      <w:rFonts w:ascii="Arial Unicode MS" w:hAnsi="Arial Unicode MS" w:cs="Arial Unicode MS"/>
    </w:rPr>
  </w:style>
  <w:style w:type="paragraph" w:styleId="Title">
    <w:name w:val="Title"/>
    <w:basedOn w:val="Normal"/>
    <w:qFormat/>
    <w:pPr>
      <w:spacing w:before="100" w:beforeAutospacing="1" w:after="100" w:afterAutospacing="1"/>
      <w:jc w:val="left"/>
    </w:pPr>
    <w:rPr>
      <w:rFonts w:ascii="Arial Unicode MS" w:hAnsi="Arial Unicode MS" w:cs="Arial Unicode MS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">
    <w:name w:val="Body Text"/>
    <w:basedOn w:val="Normal"/>
    <w:pPr>
      <w:jc w:val="left"/>
    </w:pPr>
    <w:rPr>
      <w:rFonts w:ascii="Arial" w:hAnsi="Arial" w:cs="Arial"/>
      <w:sz w:val="22"/>
      <w:szCs w:val="22"/>
    </w:rPr>
  </w:style>
  <w:style w:type="paragraph" w:styleId="BodyTextIndent3">
    <w:name w:val="Body Text Indent 3"/>
    <w:basedOn w:val="Normal"/>
    <w:pPr>
      <w:ind w:left="260"/>
      <w:jc w:val="both"/>
    </w:pPr>
    <w:rPr>
      <w:rFonts w:cs="Arial"/>
      <w:i/>
      <w:iCs/>
      <w:szCs w:val="20"/>
    </w:rPr>
  </w:style>
  <w:style w:type="paragraph" w:styleId="BodyTextIndent">
    <w:name w:val="Body Text Indent"/>
    <w:basedOn w:val="Normal"/>
    <w:pPr>
      <w:ind w:left="540" w:hanging="540"/>
      <w:jc w:val="both"/>
    </w:pPr>
    <w:rPr>
      <w:sz w:val="26"/>
    </w:rPr>
  </w:style>
  <w:style w:type="paragraph" w:styleId="BodyTextIndent2">
    <w:name w:val="Body Text Indent 2"/>
    <w:basedOn w:val="Normal"/>
    <w:pPr>
      <w:ind w:left="540" w:hanging="540"/>
      <w:jc w:val="both"/>
    </w:pPr>
    <w:rPr>
      <w:rFonts w:ascii="Arial" w:hAnsi="Arial" w:cs="Arial"/>
      <w:color w:val="000000"/>
      <w:sz w:val="26"/>
    </w:rPr>
  </w:style>
  <w:style w:type="character" w:styleId="Hyperlink">
    <w:name w:val="Hyperlink"/>
    <w:basedOn w:val="DefaultParagraphFont"/>
    <w:rPr>
      <w:b/>
      <w:bCs/>
      <w:strike w:val="0"/>
      <w:dstrike w:val="0"/>
      <w:color w:val="00204E"/>
      <w:u w:val="none"/>
      <w:effect w:val="none"/>
      <w:rtl w:val="0"/>
    </w:rPr>
  </w:style>
  <w:style w:type="paragraph" w:customStyle="1" w:styleId="titulok">
    <w:name w:val="titulok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3">
    <w:name w:val="Body Text 3"/>
    <w:basedOn w:val="Normal"/>
    <w:pPr>
      <w:jc w:val="both"/>
    </w:pPr>
    <w:rPr>
      <w:rFonts w:cs="Arial"/>
      <w:b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1600</Words>
  <Characters>9124</Characters>
  <Application>Microsoft Office Word</Application>
  <DocSecurity>0</DocSecurity>
  <Lines>0</Lines>
  <Paragraphs>0</Paragraphs>
  <ScaleCrop>false</ScaleCrop>
  <Company>mpsvar</Company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macuha</dc:creator>
  <cp:lastModifiedBy>MPSVR SR</cp:lastModifiedBy>
  <cp:revision>7</cp:revision>
  <cp:lastPrinted>2007-05-24T13:47:00Z</cp:lastPrinted>
  <dcterms:created xsi:type="dcterms:W3CDTF">2007-09-25T07:28:00Z</dcterms:created>
  <dcterms:modified xsi:type="dcterms:W3CDTF">2007-09-26T13:45:00Z</dcterms:modified>
</cp:coreProperties>
</file>