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2FF1" w:rsidRPr="00BD0C61" w:rsidP="00E823E8">
      <w:pPr>
        <w:ind w:right="-993" w:firstLine="142"/>
        <w:jc w:val="center"/>
        <w:rPr>
          <w:rFonts w:ascii="Arial Narrow" w:hAnsi="Arial Narrow" w:cs="Times New Roman"/>
          <w:b/>
          <w:szCs w:val="24"/>
        </w:rPr>
      </w:pPr>
      <w:r w:rsidRPr="00BD0C61">
        <w:rPr>
          <w:rFonts w:ascii="Arial Narrow" w:hAnsi="Arial Narrow" w:cs="Times New Roman"/>
          <w:b/>
          <w:szCs w:val="24"/>
        </w:rPr>
        <w:t>TABUĽKA ZHODY</w:t>
      </w:r>
    </w:p>
    <w:p w:rsidR="00DF5FD8" w:rsidRPr="00BD0C61" w:rsidP="00E823E8">
      <w:pPr>
        <w:pStyle w:val="BodyText"/>
        <w:ind w:firstLine="142"/>
        <w:jc w:val="center"/>
        <w:rPr>
          <w:rFonts w:ascii="Arial Narrow" w:hAnsi="Arial Narrow" w:cs="Times New Roman"/>
          <w:b/>
          <w:szCs w:val="24"/>
        </w:rPr>
      </w:pPr>
      <w:r w:rsidRPr="00BD0C61" w:rsidR="006E0181">
        <w:rPr>
          <w:rFonts w:ascii="Arial Narrow" w:hAnsi="Arial Narrow" w:cs="Times New Roman"/>
          <w:b/>
          <w:szCs w:val="24"/>
        </w:rPr>
        <w:t>k </w:t>
      </w:r>
      <w:r w:rsidRPr="00BD0C61">
        <w:rPr>
          <w:rFonts w:ascii="Arial Narrow" w:hAnsi="Arial Narrow" w:cs="Times New Roman"/>
          <w:b/>
          <w:szCs w:val="24"/>
        </w:rPr>
        <w:t xml:space="preserve">návrhu zákona o poisťovníctve </w:t>
      </w:r>
      <w:r w:rsidRPr="00BD0C61" w:rsidR="00BD0C61">
        <w:rPr>
          <w:rFonts w:ascii="Arial Narrow" w:hAnsi="Arial Narrow" w:cs="Times New Roman"/>
          <w:b/>
          <w:szCs w:val="24"/>
        </w:rPr>
        <w:t>a o zmene a doplnení niektorých zákonov</w:t>
      </w:r>
    </w:p>
    <w:p w:rsidR="00B32964" w:rsidRPr="00BD0C61" w:rsidP="00E823E8">
      <w:pPr>
        <w:pStyle w:val="BodyText"/>
        <w:ind w:firstLine="142"/>
        <w:jc w:val="center"/>
        <w:rPr>
          <w:rFonts w:ascii="Arial Narrow" w:hAnsi="Arial Narrow" w:cs="Times New Roman"/>
          <w:b/>
          <w:szCs w:val="24"/>
        </w:rPr>
      </w:pPr>
      <w:r w:rsidRPr="00BD0C61" w:rsidR="00972FF1">
        <w:rPr>
          <w:rFonts w:ascii="Arial Narrow" w:hAnsi="Arial Narrow" w:cs="Times New Roman"/>
          <w:b/>
          <w:szCs w:val="24"/>
        </w:rPr>
        <w:t>s právom Európskych spoločenstiev a právom Európskej únie</w:t>
      </w:r>
    </w:p>
    <w:tbl>
      <w:tblPr>
        <w:tblW w:w="15950" w:type="dxa"/>
        <w:jc w:val="center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97"/>
        <w:gridCol w:w="6983"/>
        <w:gridCol w:w="567"/>
        <w:gridCol w:w="567"/>
        <w:gridCol w:w="567"/>
        <w:gridCol w:w="4962"/>
        <w:gridCol w:w="425"/>
        <w:gridCol w:w="425"/>
        <w:gridCol w:w="646"/>
        <w:gridCol w:w="411"/>
      </w:tblGrid>
      <w:tr>
        <w:tblPrEx>
          <w:tblW w:w="15950" w:type="dxa"/>
          <w:jc w:val="center"/>
          <w:tblInd w:w="6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7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76DCA" w:rsidRPr="00BD0C61" w:rsidP="00A04D35">
            <w:pPr>
              <w:ind w:firstLine="142"/>
              <w:rPr>
                <w:rFonts w:ascii="Arial Narrow" w:hAnsi="Arial Narrow" w:cs="Times New Roman"/>
                <w:b/>
                <w:sz w:val="20"/>
                <w:u w:val="single"/>
              </w:rPr>
            </w:pPr>
            <w:r w:rsidRPr="00BD0C61" w:rsidR="005F497C">
              <w:rPr>
                <w:rFonts w:ascii="Arial Narrow" w:hAnsi="Arial Narrow" w:cs="Times New Roman"/>
                <w:b/>
                <w:sz w:val="20"/>
                <w:u w:val="single"/>
              </w:rPr>
              <w:t xml:space="preserve">Právny akt </w:t>
            </w:r>
            <w:r w:rsidRPr="00BD0C61" w:rsidR="0007026D">
              <w:rPr>
                <w:rFonts w:ascii="Arial Narrow" w:hAnsi="Arial Narrow" w:cs="Times New Roman"/>
                <w:b/>
                <w:sz w:val="20"/>
                <w:u w:val="single"/>
              </w:rPr>
              <w:t>ES/</w:t>
            </w:r>
            <w:r w:rsidRPr="00BD0C61" w:rsidR="005F497C">
              <w:rPr>
                <w:rFonts w:ascii="Arial Narrow" w:hAnsi="Arial Narrow" w:cs="Times New Roman"/>
                <w:b/>
                <w:sz w:val="20"/>
                <w:u w:val="single"/>
              </w:rPr>
              <w:t>EÚ</w:t>
            </w:r>
          </w:p>
          <w:p w:rsidR="00C95810" w:rsidRPr="00BD0C61" w:rsidP="00A04D35">
            <w:pPr>
              <w:pStyle w:val="BodyText"/>
              <w:ind w:firstLine="142"/>
              <w:jc w:val="left"/>
              <w:rPr>
                <w:rFonts w:ascii="Arial Narrow" w:hAnsi="Arial Narrow" w:cs="Times New Roman"/>
                <w:b/>
                <w:sz w:val="20"/>
              </w:rPr>
            </w:pPr>
          </w:p>
          <w:p w:rsidR="00DC57A6" w:rsidRPr="00BD0C61" w:rsidP="00DC57A6">
            <w:pPr>
              <w:autoSpaceDE/>
              <w:autoSpaceDN/>
              <w:rPr>
                <w:rFonts w:ascii="Arial Narrow" w:hAnsi="Arial Narrow" w:cs="EUAlbertina-Bold-Identity-H"/>
                <w:sz w:val="20"/>
              </w:rPr>
            </w:pPr>
            <w:r w:rsidRPr="00BD0C61">
              <w:rPr>
                <w:rFonts w:ascii="Arial Narrow" w:hAnsi="Arial Narrow" w:cs="EUAlbertina-Bold-Identity-H"/>
                <w:b/>
                <w:bCs/>
                <w:sz w:val="20"/>
              </w:rPr>
              <w:t xml:space="preserve">SMERNICA RADY </w:t>
            </w:r>
            <w:r w:rsidRPr="00BD0C61">
              <w:rPr>
                <w:rFonts w:ascii="Arial Narrow" w:hAnsi="Arial Narrow" w:cs="EUAlbertina-Regular-Identity-H"/>
                <w:b/>
                <w:sz w:val="20"/>
                <w:u w:val="single"/>
              </w:rPr>
              <w:t>87/344/EHS</w:t>
            </w:r>
            <w:r w:rsidRPr="00BD0C61" w:rsidR="00DF5FD8">
              <w:rPr>
                <w:rFonts w:ascii="Arial Narrow" w:hAnsi="Arial Narrow" w:cs="EUAlbertina-Regular-Identity-H"/>
                <w:b/>
                <w:sz w:val="20"/>
                <w:u w:val="single"/>
              </w:rPr>
              <w:t xml:space="preserve"> </w:t>
            </w:r>
            <w:r w:rsidRPr="00BD0C61">
              <w:rPr>
                <w:rFonts w:ascii="Arial Narrow" w:hAnsi="Arial Narrow" w:cs="EUAlbertina-Bold-Identity-H"/>
                <w:b/>
                <w:bCs/>
                <w:sz w:val="20"/>
              </w:rPr>
              <w:t>z 22. júna 1987</w:t>
            </w:r>
            <w:r w:rsidRPr="00BD0C61" w:rsidR="00DF5FD8">
              <w:rPr>
                <w:rFonts w:ascii="Arial Narrow" w:hAnsi="Arial Narrow" w:cs="EUAlbertina-Bold-Identity-H"/>
                <w:b/>
                <w:bCs/>
                <w:sz w:val="20"/>
              </w:rPr>
              <w:t xml:space="preserve"> </w:t>
            </w:r>
            <w:r w:rsidRPr="00BD0C61">
              <w:rPr>
                <w:rFonts w:ascii="Arial Narrow" w:hAnsi="Arial Narrow" w:cs="EUAlbertina-Bold-Identity-H"/>
                <w:b/>
                <w:bCs/>
                <w:sz w:val="20"/>
              </w:rPr>
              <w:t>o koordinácii zákonov, iných právnych predpisov a spr</w:t>
            </w:r>
            <w:r w:rsidRPr="00BD0C61">
              <w:rPr>
                <w:rFonts w:ascii="Arial Narrow" w:hAnsi="Arial Narrow" w:cs="EUAlbertina-Bold-Identity-H"/>
                <w:b/>
                <w:bCs/>
                <w:sz w:val="20"/>
              </w:rPr>
              <w:t>ávnych opatrení týkajúcich sa poistenia právnej</w:t>
            </w:r>
            <w:r w:rsidRPr="00BD0C61" w:rsidR="00DF5FD8">
              <w:rPr>
                <w:rFonts w:ascii="Arial Narrow" w:hAnsi="Arial Narrow" w:cs="EUAlbertina-Bold-Identity-H"/>
                <w:b/>
                <w:bCs/>
                <w:sz w:val="20"/>
              </w:rPr>
              <w:t xml:space="preserve"> </w:t>
            </w:r>
            <w:r w:rsidRPr="00BD0C61">
              <w:rPr>
                <w:rFonts w:ascii="Arial Narrow" w:hAnsi="Arial Narrow" w:cs="EUAlbertina-Bold-Identity-H"/>
                <w:b/>
                <w:bCs/>
                <w:sz w:val="20"/>
              </w:rPr>
              <w:t>ochrany</w:t>
            </w:r>
          </w:p>
          <w:p w:rsidR="006D7292" w:rsidRPr="00BD0C61" w:rsidP="00DC57A6">
            <w:pPr>
              <w:pStyle w:val="Normlnywebov8"/>
              <w:ind w:left="0" w:firstLine="142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42E5" w:rsidRPr="00BD0C61" w:rsidP="00A04D35">
            <w:pPr>
              <w:pStyle w:val="Heading3"/>
              <w:ind w:right="0" w:firstLine="142"/>
              <w:rPr>
                <w:rFonts w:ascii="Arial Narrow" w:hAnsi="Arial Narrow" w:cs="Times New Roman"/>
                <w:sz w:val="20"/>
                <w:u w:val="single"/>
              </w:rPr>
            </w:pPr>
            <w:r w:rsidRPr="00BD0C61" w:rsidR="00972FF1">
              <w:rPr>
                <w:rFonts w:ascii="Arial Narrow" w:hAnsi="Arial Narrow" w:cs="Times New Roman"/>
                <w:sz w:val="20"/>
                <w:u w:val="single"/>
              </w:rPr>
              <w:t>Všeobecne záväzné právne predpisy SR</w:t>
            </w:r>
          </w:p>
          <w:p w:rsidR="00245766" w:rsidRPr="00BD0C61" w:rsidP="00A04D35">
            <w:pPr>
              <w:ind w:firstLine="142"/>
              <w:rPr>
                <w:rFonts w:ascii="Arial Narrow" w:hAnsi="Arial Narrow" w:cs="Times New Roman"/>
                <w:b/>
                <w:sz w:val="20"/>
              </w:rPr>
            </w:pPr>
          </w:p>
          <w:p w:rsidR="00245766" w:rsidRPr="00BD0C61" w:rsidP="008D3B3F">
            <w:pPr>
              <w:tabs>
                <w:tab w:val="left" w:pos="0"/>
              </w:tabs>
              <w:rPr>
                <w:rFonts w:ascii="Arial Narrow" w:hAnsi="Arial Narrow" w:cs="Times New Roman"/>
                <w:b w:val="0"/>
                <w:noProof/>
                <w:sz w:val="20"/>
              </w:rPr>
            </w:pPr>
            <w:r w:rsidRPr="00BD0C61">
              <w:rPr>
                <w:rFonts w:ascii="Arial Narrow" w:hAnsi="Arial Narrow" w:cs="Times New Roman"/>
                <w:b w:val="0"/>
                <w:noProof/>
                <w:sz w:val="20"/>
              </w:rPr>
              <w:t>Návrh zákona</w:t>
            </w:r>
            <w:r w:rsidRPr="00BD0C61" w:rsidR="00DF5FD8">
              <w:rPr>
                <w:rFonts w:ascii="Arial Narrow" w:hAnsi="Arial Narrow" w:cs="Times New Roman"/>
                <w:b w:val="0"/>
                <w:noProof/>
                <w:sz w:val="20"/>
              </w:rPr>
              <w:t xml:space="preserve"> o</w:t>
            </w:r>
            <w:r w:rsidRPr="00BD0C61" w:rsidR="00A16F9B">
              <w:rPr>
                <w:rFonts w:ascii="Arial Narrow" w:hAnsi="Arial Narrow" w:cs="Times New Roman"/>
                <w:b w:val="0"/>
                <w:noProof/>
                <w:sz w:val="20"/>
              </w:rPr>
              <w:t> </w:t>
            </w:r>
            <w:r w:rsidRPr="00BD0C61" w:rsidR="00DF5FD8">
              <w:rPr>
                <w:rFonts w:ascii="Arial Narrow" w:hAnsi="Arial Narrow" w:cs="Times New Roman"/>
                <w:b w:val="0"/>
                <w:noProof/>
                <w:sz w:val="20"/>
              </w:rPr>
              <w:t>poisťovníctve</w:t>
            </w:r>
            <w:r w:rsidRPr="00BD0C61" w:rsidR="00A16F9B">
              <w:rPr>
                <w:rFonts w:ascii="Arial Narrow" w:hAnsi="Arial Narrow" w:cs="Times New Roman"/>
                <w:b w:val="0"/>
                <w:noProof/>
                <w:sz w:val="20"/>
              </w:rPr>
              <w:t xml:space="preserve"> a o zmene a doplnení niektorých zákonov</w:t>
            </w:r>
          </w:p>
          <w:p w:rsidR="008053CD" w:rsidRPr="00BD0C61" w:rsidP="00A04D35">
            <w:pPr>
              <w:tabs>
                <w:tab w:val="left" w:pos="0"/>
              </w:tabs>
              <w:ind w:firstLine="142"/>
              <w:rPr>
                <w:rFonts w:ascii="Arial Narrow" w:hAnsi="Arial Narrow" w:cs="Times New Roman"/>
                <w:b/>
                <w:bCs/>
                <w:noProof/>
                <w:sz w:val="20"/>
              </w:rPr>
            </w:pPr>
          </w:p>
          <w:p w:rsidR="00245766" w:rsidRPr="00BD0C61" w:rsidP="008D3B3F">
            <w:pPr>
              <w:rPr>
                <w:rFonts w:ascii="Arial Narrow" w:hAnsi="Arial Narrow" w:cs="Times New Roman"/>
                <w:b/>
                <w:sz w:val="20"/>
              </w:rPr>
            </w:pPr>
            <w:r w:rsidRPr="00BD0C61" w:rsidR="008053CD">
              <w:rPr>
                <w:rFonts w:ascii="Arial Narrow" w:hAnsi="Arial Narrow" w:cs="Times New Roman"/>
                <w:b/>
                <w:sz w:val="20"/>
              </w:rPr>
              <w:t>Zákon č. 40/1964 Zb. Občiansky zákonník v znení neskorších predpisov ( ďalej len „40/1964“)</w:t>
            </w:r>
          </w:p>
          <w:p w:rsidR="00245766" w:rsidRPr="00BD0C61" w:rsidP="00A04D35">
            <w:pPr>
              <w:tabs>
                <w:tab w:val="left" w:pos="0"/>
              </w:tabs>
              <w:rPr>
                <w:rFonts w:ascii="Arial Narrow" w:hAnsi="Arial Narrow" w:cs="Times New Roman"/>
                <w:b w:val="0"/>
                <w:noProof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DF5FD8" w:rsidP="0032565D">
            <w:pPr>
              <w:ind w:firstLine="142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DF5FD8" w:rsidR="002A5890">
              <w:rPr>
                <w:rFonts w:ascii="Arial Narrow" w:hAnsi="Arial Narrow" w:cs="Times New Roman"/>
                <w:sz w:val="20"/>
              </w:rPr>
              <w:t xml:space="preserve"> </w:t>
            </w:r>
            <w:r w:rsidRPr="00DF5FD8">
              <w:rPr>
                <w:rFonts w:ascii="Arial Narrow" w:hAnsi="Arial Narrow" w:cs="Times New Roman"/>
                <w:b/>
                <w:sz w:val="20"/>
              </w:rPr>
              <w:t>č.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DF5FD8" w:rsidP="0032565D">
            <w:pPr>
              <w:pStyle w:val="Heading2"/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DF5FD8" w:rsidP="0032565D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DF5FD8" w:rsidR="00CF1893">
              <w:rPr>
                <w:rFonts w:ascii="Arial Narrow" w:hAnsi="Arial Narrow" w:cs="Times New Roman"/>
                <w:b/>
                <w:sz w:val="20"/>
              </w:rPr>
              <w:t>Spô sob trans</w:t>
            </w:r>
            <w:r w:rsidRPr="00DF5FD8">
              <w:rPr>
                <w:rFonts w:ascii="Arial Narrow" w:hAnsi="Arial Narrow" w:cs="Times New Roman"/>
                <w:b/>
                <w:sz w:val="20"/>
              </w:rPr>
              <w:t>pozície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DF5FD8" w:rsidP="0032565D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DF5FD8">
              <w:rPr>
                <w:rFonts w:ascii="Arial Narrow" w:hAnsi="Arial Narrow" w:cs="Times New Roman"/>
                <w:b/>
                <w:sz w:val="20"/>
              </w:rPr>
              <w:t>Číslo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DF5FD8" w:rsidP="0032565D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DF5FD8">
              <w:rPr>
                <w:rFonts w:ascii="Arial Narrow" w:hAnsi="Arial Narrow" w:cs="Times New Roman"/>
                <w:b/>
                <w:sz w:val="20"/>
              </w:rPr>
              <w:t>Článok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DF5FD8" w:rsidP="0032565D">
            <w:pPr>
              <w:ind w:firstLine="142"/>
              <w:rPr>
                <w:rFonts w:ascii="Arial Narrow" w:hAnsi="Arial Narrow" w:cs="Times New Roman"/>
                <w:b/>
                <w:sz w:val="20"/>
              </w:rPr>
            </w:pPr>
            <w:r w:rsidRPr="00DF5FD8">
              <w:rPr>
                <w:rFonts w:ascii="Arial Narrow" w:hAnsi="Arial Narrow" w:cs="Times New Roman"/>
                <w:b/>
                <w:sz w:val="20"/>
              </w:rPr>
              <w:t>Text</w:t>
            </w:r>
          </w:p>
          <w:p w:rsidR="00245766" w:rsidRPr="00DF5FD8" w:rsidP="0032565D">
            <w:pPr>
              <w:tabs>
                <w:tab w:val="left" w:pos="0"/>
              </w:tabs>
              <w:ind w:firstLine="142"/>
              <w:rPr>
                <w:rFonts w:ascii="Arial Narrow" w:hAnsi="Arial Narrow" w:cs="Times New Roman"/>
                <w:b/>
                <w:bCs/>
                <w:noProof/>
                <w:sz w:val="20"/>
              </w:rPr>
            </w:pPr>
          </w:p>
          <w:p w:rsidR="00245766" w:rsidRPr="00DF5FD8" w:rsidP="0032565D">
            <w:pPr>
              <w:tabs>
                <w:tab w:val="left" w:pos="0"/>
              </w:tabs>
              <w:ind w:firstLine="142"/>
              <w:rPr>
                <w:rFonts w:ascii="Arial Narrow" w:hAnsi="Arial Narrow" w:cs="Times New Roman"/>
                <w:b/>
                <w:bCs/>
                <w:noProof/>
                <w:sz w:val="20"/>
              </w:rPr>
            </w:pPr>
          </w:p>
          <w:p w:rsidR="005F497C" w:rsidRPr="00DF5FD8" w:rsidP="0032565D">
            <w:pPr>
              <w:ind w:firstLine="142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DF5FD8" w:rsidP="0032565D">
            <w:pPr>
              <w:ind w:firstLine="142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DF5FD8">
              <w:rPr>
                <w:rFonts w:ascii="Arial Narrow" w:hAnsi="Arial Narrow" w:cs="Times New Roman"/>
                <w:b/>
                <w:sz w:val="20"/>
              </w:rPr>
              <w:t>Zhoda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DF5FD8" w:rsidP="0032565D">
            <w:pPr>
              <w:ind w:firstLine="142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DF5FD8">
              <w:rPr>
                <w:rFonts w:ascii="Arial Narrow" w:hAnsi="Arial Narrow" w:cs="Times New Roman"/>
                <w:b/>
                <w:sz w:val="20"/>
              </w:rPr>
              <w:t>Administratívna infraštruktúra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DF5FD8" w:rsidP="0032565D">
            <w:pPr>
              <w:ind w:firstLine="142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DF5FD8">
              <w:rPr>
                <w:rFonts w:ascii="Arial Narrow" w:hAnsi="Arial Narrow" w:cs="Times New Roman"/>
                <w:b/>
                <w:sz w:val="20"/>
              </w:rPr>
              <w:t>Poznámky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DF5FD8" w:rsidP="0032565D">
            <w:pPr>
              <w:ind w:firstLine="142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DF5FD8">
              <w:rPr>
                <w:rFonts w:ascii="Arial Narrow" w:hAnsi="Arial Narrow" w:cs="Times New Roman"/>
                <w:b/>
                <w:sz w:val="20"/>
              </w:rPr>
              <w:t xml:space="preserve">Štádium legislatívneho procesu </w:t>
            </w: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F30A3" w:rsidRPr="00DF5FD8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>Čl.1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F5FD8" w:rsidRPr="002806FA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2806FA">
              <w:rPr>
                <w:rFonts w:ascii="Arial Narrow" w:hAnsi="Arial Narrow" w:cs="EUAlbertina-Regular-Identity-H"/>
                <w:sz w:val="20"/>
              </w:rPr>
              <w:t>Účelom tejto smernice je koordinovať ustanovenia zákonov, iných právnych predpisov alebo správnych opatrení týkajúcich sa poistenia právnej ochrany podľa bodu 17 písmena A prílohy</w:t>
            </w:r>
          </w:p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2806FA">
              <w:rPr>
                <w:rFonts w:ascii="Arial Narrow" w:hAnsi="Arial Narrow" w:cs="EUAlbertina-Regular-Identity-H"/>
                <w:sz w:val="20"/>
              </w:rPr>
              <w:t>k smernici Rady 73/239/EHS s cieľom zjednodušiť účinné uplatňovanie slobody usadiť sa a vylúčiť podľa možností akýkoľvek konflikt záujmov, ktorý by vznikol najmä zo skutočnosti, že poisťovateľ kryje inú osobu alebo kryje osobu  v súvislosti tak s právnou ochranou, ako aj akýmkoľvek iným odvetvím v tejto prílohe, a ak by taký konflikt vznikol, umožniť jeho riešenie.</w:t>
            </w:r>
          </w:p>
          <w:p w:rsidR="00B74452" w:rsidRPr="00DF5FD8" w:rsidP="0032565D">
            <w:pPr>
              <w:pStyle w:val="Normlnywebov8"/>
              <w:ind w:left="0" w:firstLine="142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E76A2" w:rsidRPr="00DF5FD8" w:rsidP="0032565D">
            <w:pPr>
              <w:pStyle w:val="FootnoteText"/>
              <w:overflowPunct/>
              <w:adjustRightInd/>
              <w:ind w:firstLine="142"/>
              <w:textAlignment w:val="auto"/>
              <w:rPr>
                <w:rFonts w:ascii="Arial Narrow" w:hAnsi="Arial Narrow" w:cs="Times New Roman"/>
                <w:lang w:val="sk-SK"/>
              </w:rPr>
            </w:pPr>
            <w:r w:rsidRPr="00DF5FD8">
              <w:rPr>
                <w:rFonts w:ascii="Arial Narrow" w:hAnsi="Arial Narrow" w:cs="Times New Roman"/>
                <w:lang w:val="sk-SK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506EA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506EA" w:rsidRPr="008D3B3F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  <w:r w:rsidRPr="008D3B3F" w:rsidR="006322E9">
              <w:rPr>
                <w:rFonts w:ascii="Arial Narrow" w:hAnsi="Arial Narrow" w:cs="Times New Roman"/>
                <w:sz w:val="20"/>
              </w:rPr>
              <w:t>§ 1 ods.1</w:t>
            </w:r>
          </w:p>
          <w:p w:rsidR="006322E9" w:rsidRPr="008D3B3F" w:rsidP="006322E9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:rsidR="006322E9" w:rsidRPr="008D3B3F" w:rsidP="006322E9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:rsidR="006322E9" w:rsidRPr="008D3B3F" w:rsidP="006322E9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:rsidR="006322E9" w:rsidRPr="008D3B3F" w:rsidP="006322E9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:rsidR="006322E9" w:rsidRPr="008D3B3F" w:rsidP="006322E9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:rsidR="006322E9" w:rsidRPr="008D3B3F" w:rsidP="006322E9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:rsidR="006322E9" w:rsidRPr="008D3B3F" w:rsidP="006322E9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8D3B3F">
              <w:rPr>
                <w:rFonts w:ascii="Arial Narrow" w:hAnsi="Arial Narrow" w:cs="Times New Roman"/>
                <w:sz w:val="20"/>
              </w:rPr>
              <w:t xml:space="preserve">Príloha č. 1 </w:t>
            </w:r>
          </w:p>
          <w:p w:rsidR="006322E9" w:rsidRPr="008D3B3F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6322E9" w:rsidRPr="008D3B3F" w:rsidP="00E3727F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8D3B3F">
              <w:rPr>
                <w:rFonts w:ascii="Arial Narrow" w:hAnsi="Arial Narrow" w:cs="Times New Roman"/>
                <w:sz w:val="20"/>
              </w:rPr>
              <w:t xml:space="preserve">Tento zákon upravuje </w:t>
            </w:r>
          </w:p>
          <w:p w:rsidR="006322E9" w:rsidRPr="008D3B3F" w:rsidP="00E3727F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8D3B3F">
              <w:rPr>
                <w:rFonts w:ascii="Arial Narrow" w:hAnsi="Arial Narrow" w:cs="Times New Roman"/>
                <w:sz w:val="20"/>
              </w:rPr>
              <w:t>a) niektoré vzťahy súvisiace so vznikom, organizáciou, riadením, vykonávaním činnosti a zánikom poisťovní a zaisťovní,</w:t>
            </w:r>
          </w:p>
          <w:p w:rsidR="006322E9" w:rsidRPr="008D3B3F" w:rsidP="00E3727F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8D3B3F">
              <w:rPr>
                <w:rFonts w:ascii="Arial Narrow" w:hAnsi="Arial Narrow" w:cs="Times New Roman"/>
                <w:sz w:val="20"/>
              </w:rPr>
              <w:t>b) niektoré vzťahy súvisiace s pôsobením poisťovní z iných členských štátov, zaisťovní z iných členských štátov, zahraničných poisťovní a zahraničných zaisťovní n</w:t>
            </w:r>
            <w:r w:rsidRPr="008D3B3F">
              <w:rPr>
                <w:rFonts w:ascii="Arial Narrow" w:hAnsi="Arial Narrow" w:cs="Times New Roman"/>
                <w:sz w:val="20"/>
              </w:rPr>
              <w:t>a území Slovenskej republiky,</w:t>
            </w:r>
          </w:p>
          <w:p w:rsidR="006322E9" w:rsidRPr="008D3B3F" w:rsidP="00E3727F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8D3B3F">
              <w:rPr>
                <w:rFonts w:ascii="Arial Narrow" w:hAnsi="Arial Narrow" w:cs="Times New Roman"/>
                <w:sz w:val="20"/>
              </w:rPr>
              <w:t>c) výkon dohľadu.</w:t>
            </w:r>
          </w:p>
          <w:p w:rsidR="008D3B3F" w:rsidRPr="008D3B3F" w:rsidP="00E3727F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:rsidR="008D3B3F" w:rsidRPr="008D3B3F" w:rsidP="00E3727F">
            <w:pPr>
              <w:jc w:val="both"/>
              <w:rPr>
                <w:rFonts w:ascii="Arial Narrow" w:hAnsi="Arial Narrow" w:cs="Times New Roman"/>
                <w:bCs/>
                <w:sz w:val="20"/>
              </w:rPr>
            </w:pPr>
            <w:r w:rsidRPr="008D3B3F">
              <w:rPr>
                <w:rFonts w:ascii="Arial Narrow" w:hAnsi="Arial Narrow" w:cs="Times New Roman"/>
                <w:bCs/>
                <w:sz w:val="20"/>
              </w:rPr>
              <w:t>Časť B – odvetvia neživotného poistenia</w:t>
            </w:r>
          </w:p>
          <w:p w:rsidR="006322E9" w:rsidRPr="008D3B3F" w:rsidP="00E3727F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8D3B3F">
              <w:rPr>
                <w:rFonts w:ascii="Arial Narrow" w:hAnsi="Arial Narrow" w:cs="Times New Roman"/>
                <w:sz w:val="20"/>
              </w:rPr>
              <w:t>Poistné odvetvie</w:t>
            </w:r>
          </w:p>
          <w:p w:rsidR="006322E9" w:rsidRPr="008D3B3F" w:rsidP="00E3727F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8D3B3F">
              <w:rPr>
                <w:rFonts w:ascii="Arial Narrow" w:hAnsi="Arial Narrow" w:cs="Times New Roman"/>
                <w:sz w:val="20"/>
              </w:rPr>
              <w:t>17. Poistenie právnej ochrany.</w:t>
            </w:r>
          </w:p>
          <w:p w:rsidR="006322E9" w:rsidRPr="008D3B3F" w:rsidP="00E3727F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E74ED" w:rsidRPr="00DF5FD8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3E74ED" w:rsidRPr="00DF5FD8" w:rsidP="0032565D">
            <w:pPr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>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RPr="00DF5FD8" w:rsidP="0032565D">
            <w:pPr>
              <w:rPr>
                <w:rFonts w:ascii="Arial Narrow" w:hAnsi="Arial Narrow" w:cs="Times New Roman"/>
                <w:sz w:val="20"/>
              </w:rPr>
            </w:pPr>
            <w:r w:rsidR="00DF7A56">
              <w:rPr>
                <w:rFonts w:ascii="Arial Narrow" w:hAnsi="Arial Narrow" w:cs="Times New Roman"/>
                <w:sz w:val="20"/>
              </w:rPr>
              <w:t>MF SR, NBS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92858" w:rsidRPr="00DF5FD8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F30A3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DF5FD8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>Čl.2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1. Táto smernica sa vzťahuje na poistenie právnej ochrany. Tá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spočíva v záväzku poisťovne znášať</w:t>
            </w:r>
            <w:r w:rsidRPr="00DF5FD8">
              <w:rPr>
                <w:rFonts w:ascii="Arial Narrow" w:hAnsi="Arial Narrow" w:cs="EUAlbertina-Regular-Identity-H"/>
                <w:sz w:val="20"/>
              </w:rPr>
              <w:t xml:space="preserve"> za úhradu poistného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náklady na súdne konanie a poskytovať iné služby priamo spojené</w:t>
            </w:r>
          </w:p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s poistným krytím, najmä z hľadiska:</w:t>
            </w:r>
          </w:p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— zabezpečenia náhrady za stratu, poškodenie alebo úraz utrpený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poistenou osobou, mimosúdnym vysporiadaním alebo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prostredníctvom občia</w:t>
            </w:r>
            <w:r w:rsidRPr="00DF5FD8">
              <w:rPr>
                <w:rFonts w:ascii="Arial Narrow" w:hAnsi="Arial Narrow" w:cs="EUAlbertina-Regular-Identity-H"/>
                <w:sz w:val="20"/>
              </w:rPr>
              <w:t>nskeho alebo trestného konania,</w:t>
            </w:r>
          </w:p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— obhajobou alebo zastupovaním poistenej osoby v občianskom,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trestnom, správnom alebo inom konaní alebo v</w:t>
            </w:r>
            <w:r w:rsidR="006412FC">
              <w:rPr>
                <w:rFonts w:ascii="Arial Narrow" w:hAnsi="Arial Narrow" w:cs="EUAlbertina-Regular-Identity-H"/>
                <w:sz w:val="20"/>
              </w:rPr>
              <w:t> </w:t>
            </w:r>
            <w:r w:rsidRPr="00DF5FD8">
              <w:rPr>
                <w:rFonts w:ascii="Arial Narrow" w:hAnsi="Arial Narrow" w:cs="EUAlbertina-Regular-Identity-H"/>
                <w:sz w:val="20"/>
              </w:rPr>
              <w:t>súvislosti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s akoukoľvek pohľadávkou uplatňovanou proti nej.</w:t>
            </w:r>
          </w:p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2. Táto smernica sa však nevzťahuje na:</w:t>
            </w:r>
          </w:p>
          <w:p w:rsid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— poistenie právnej ochrany, keď sa toto poistenie týka sporov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alebo rizík vznikajúcich z používania námorných plavidiel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alebo v súvislosti s ním,</w:t>
            </w:r>
          </w:p>
          <w:p w:rsidR="008053CD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</w:p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— činnosť, ktorú vykonával poisťovateľ poskytujúci krytie zodpovednosti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za škodu na účely obhajoby alebo zastupovania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poistenej osoby v akomkoľvek vyšetrovaní alebo konaní, ak</w:t>
            </w:r>
          </w:p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túto činnosť v rovnakom čase vykonáva vo vlastnom záujme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v rámci tohto krytia,</w:t>
            </w:r>
          </w:p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— ak sa tak členský štát rozhodne, činnosť poistenia právnej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ochrany realizovaná poisťovateľom pomoci, ak túto činnosť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vykonáva v členskom štáte inom ako štát, v ktorom má</w:t>
            </w:r>
          </w:p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poistená osoba riadne bydlisko, ak predstavuje časť zmluvy,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ktorá kryje len pomoc poskytovanú osobám, ktoré sa dostanú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do ťažkostí počas cestovania, keď sú mimo domova alebo keď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sú mimo svojho trvalého bydliska. V tomto prípade musí byť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v zmluve jasne uvedené, že dané krytie je obmedzené na okolnosti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uvedené v predchádzajúcej vete a je vo vzťahu k</w:t>
            </w:r>
            <w:r w:rsidR="006412FC">
              <w:rPr>
                <w:rFonts w:ascii="Arial Narrow" w:hAnsi="Arial Narrow" w:cs="EUAlbertina-Regular-Identity-H"/>
                <w:sz w:val="20"/>
              </w:rPr>
              <w:t> </w:t>
            </w:r>
            <w:r w:rsidRPr="00DF5FD8">
              <w:rPr>
                <w:rFonts w:ascii="Arial Narrow" w:hAnsi="Arial Narrow" w:cs="EUAlbertina-Regular-Identity-H"/>
                <w:sz w:val="20"/>
              </w:rPr>
              <w:t>poisteniu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poskytovania pomoci je doplnkovým.</w:t>
            </w:r>
          </w:p>
          <w:p w:rsidR="00B74452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FBB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>N</w:t>
            </w:r>
          </w:p>
          <w:p w:rsidR="008053C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8053C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8053C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8053C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8053C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8053C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8053C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8053C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8053C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8053C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8053C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8053C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8053C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8053CD" w:rsidRPr="00DF5FD8" w:rsidP="008053CD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53CD" w:rsidRPr="005A7CDF" w:rsidP="0032565D">
            <w:pPr>
              <w:rPr>
                <w:rFonts w:ascii="Arial Narrow" w:hAnsi="Arial Narrow" w:cs="Times New Roman"/>
                <w:b/>
                <w:sz w:val="20"/>
              </w:rPr>
            </w:pPr>
            <w:r w:rsidRPr="005A7CDF">
              <w:rPr>
                <w:rFonts w:ascii="Arial Narrow" w:hAnsi="Arial Narrow" w:cs="Times New Roman"/>
                <w:b/>
                <w:sz w:val="20"/>
              </w:rPr>
              <w:t>40/</w:t>
            </w:r>
          </w:p>
          <w:p w:rsidR="00486159" w:rsidRPr="005A7CDF" w:rsidP="0032565D">
            <w:pPr>
              <w:rPr>
                <w:rFonts w:ascii="Arial Narrow" w:hAnsi="Arial Narrow" w:cs="Times New Roman"/>
                <w:b/>
                <w:sz w:val="20"/>
              </w:rPr>
            </w:pPr>
            <w:r w:rsidRPr="005A7CDF" w:rsidR="008053CD">
              <w:rPr>
                <w:rFonts w:ascii="Arial Narrow" w:hAnsi="Arial Narrow" w:cs="Times New Roman"/>
                <w:b/>
                <w:sz w:val="20"/>
              </w:rPr>
              <w:t>1964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53CD" w:rsidRPr="005A7CDF" w:rsidP="0032565D">
            <w:pPr>
              <w:rPr>
                <w:rFonts w:ascii="Arial Narrow" w:hAnsi="Arial Narrow" w:cs="Times New Roman"/>
                <w:b/>
                <w:sz w:val="20"/>
              </w:rPr>
            </w:pPr>
            <w:r w:rsidRPr="005A7CDF">
              <w:rPr>
                <w:rFonts w:ascii="Arial Narrow" w:hAnsi="Arial Narrow" w:cs="Times New Roman"/>
                <w:b/>
                <w:sz w:val="20"/>
              </w:rPr>
              <w:t xml:space="preserve">§ 828a ods.1 </w:t>
            </w:r>
          </w:p>
          <w:p w:rsidR="008053CD" w:rsidRPr="005A7CDF" w:rsidP="0032565D">
            <w:pPr>
              <w:rPr>
                <w:rFonts w:ascii="Arial Narrow" w:hAnsi="Arial Narrow" w:cs="Times New Roman"/>
                <w:b/>
                <w:sz w:val="20"/>
              </w:rPr>
            </w:pPr>
          </w:p>
          <w:p w:rsidR="008053CD" w:rsidRPr="005A7CDF" w:rsidP="0032565D">
            <w:pPr>
              <w:rPr>
                <w:rFonts w:ascii="Arial Narrow" w:hAnsi="Arial Narrow" w:cs="Times New Roman"/>
                <w:b/>
                <w:sz w:val="20"/>
              </w:rPr>
            </w:pPr>
          </w:p>
          <w:p w:rsidR="008053CD" w:rsidRPr="005A7CDF" w:rsidP="0032565D">
            <w:pPr>
              <w:rPr>
                <w:rFonts w:ascii="Arial Narrow" w:hAnsi="Arial Narrow" w:cs="Times New Roman"/>
                <w:b/>
                <w:sz w:val="20"/>
              </w:rPr>
            </w:pPr>
          </w:p>
          <w:p w:rsidR="008053CD" w:rsidRPr="005A7CDF" w:rsidP="0032565D">
            <w:pPr>
              <w:rPr>
                <w:rFonts w:ascii="Arial Narrow" w:hAnsi="Arial Narrow" w:cs="Times New Roman"/>
                <w:b/>
                <w:sz w:val="20"/>
              </w:rPr>
            </w:pPr>
          </w:p>
          <w:p w:rsidR="008053CD" w:rsidRPr="005A7CDF" w:rsidP="0032565D">
            <w:pPr>
              <w:rPr>
                <w:rFonts w:ascii="Arial Narrow" w:hAnsi="Arial Narrow" w:cs="Times New Roman"/>
                <w:b/>
                <w:sz w:val="20"/>
              </w:rPr>
            </w:pPr>
          </w:p>
          <w:p w:rsidR="00BF36B9" w:rsidRPr="005A7CDF" w:rsidP="0032565D">
            <w:pPr>
              <w:rPr>
                <w:rFonts w:ascii="Arial Narrow" w:hAnsi="Arial Narrow" w:cs="Times New Roman"/>
                <w:b/>
                <w:sz w:val="20"/>
              </w:rPr>
            </w:pPr>
            <w:r w:rsidRPr="005A7CDF" w:rsidR="008053CD">
              <w:rPr>
                <w:rFonts w:ascii="Arial Narrow" w:hAnsi="Arial Narrow" w:cs="Times New Roman"/>
                <w:b/>
                <w:sz w:val="20"/>
              </w:rPr>
              <w:t xml:space="preserve">ods.4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F36B9" w:rsidRPr="005A7CDF" w:rsidP="00E3727F">
            <w:pPr>
              <w:pStyle w:val="BodyText"/>
              <w:ind w:right="114"/>
              <w:rPr>
                <w:rFonts w:ascii="Arial Narrow" w:hAnsi="Arial Narrow" w:cs="Times New Roman"/>
                <w:b/>
                <w:sz w:val="20"/>
              </w:rPr>
            </w:pPr>
            <w:r w:rsidRPr="005A7CDF" w:rsidR="008053CD">
              <w:rPr>
                <w:rFonts w:ascii="Arial Narrow" w:hAnsi="Arial Narrow" w:cs="Times New Roman"/>
                <w:b/>
                <w:sz w:val="20"/>
              </w:rPr>
              <w:t>Poistnou zmluvou pri poistení právnej ochrany sa poisťovateľ zaväzuje uhradiť náklady poisteného spojené s uplatnením jeho práva v rozsahu vymedzenom v poistnej zmluve a poskytovať služby priamo spojené s týmto poistením za podmienok dohodnutých v poistnej zmluve.</w:t>
            </w:r>
          </w:p>
          <w:p w:rsidR="008053CD" w:rsidRPr="005A7CDF" w:rsidP="00E3727F">
            <w:pPr>
              <w:pStyle w:val="BodyText"/>
              <w:ind w:right="114"/>
              <w:rPr>
                <w:rFonts w:ascii="Arial Narrow" w:hAnsi="Arial Narrow" w:cs="Times New Roman"/>
                <w:b/>
                <w:sz w:val="20"/>
              </w:rPr>
            </w:pPr>
          </w:p>
          <w:p w:rsidR="008053CD" w:rsidRPr="005A7CDF" w:rsidP="00E3727F">
            <w:pPr>
              <w:pStyle w:val="BodyText"/>
              <w:ind w:right="114"/>
              <w:rPr>
                <w:rFonts w:ascii="Arial Narrow" w:hAnsi="Arial Narrow" w:cs="Times New Roman"/>
                <w:b/>
                <w:sz w:val="20"/>
              </w:rPr>
            </w:pPr>
          </w:p>
          <w:p w:rsidR="008053CD" w:rsidRPr="005A7CDF" w:rsidP="00E3727F">
            <w:pPr>
              <w:pStyle w:val="BodyText"/>
              <w:ind w:right="114"/>
              <w:rPr>
                <w:rFonts w:ascii="Arial Narrow" w:hAnsi="Arial Narrow" w:cs="Times New Roman"/>
                <w:b/>
                <w:sz w:val="20"/>
              </w:rPr>
            </w:pPr>
            <w:r w:rsidRPr="005A7CDF">
              <w:rPr>
                <w:rFonts w:ascii="Arial Narrow" w:hAnsi="Arial Narrow" w:cs="Times New Roman"/>
                <w:b/>
                <w:sz w:val="20"/>
              </w:rPr>
              <w:t>Ustanovenia odsekov 2 a 3 sa nevzťahujú na</w:t>
            </w:r>
          </w:p>
          <w:p w:rsidR="008053CD" w:rsidRPr="005A7CDF" w:rsidP="00E3727F">
            <w:pPr>
              <w:pStyle w:val="BodyText"/>
              <w:ind w:right="114"/>
              <w:rPr>
                <w:rFonts w:ascii="Arial Narrow" w:hAnsi="Arial Narrow" w:cs="Times New Roman"/>
                <w:b/>
                <w:sz w:val="20"/>
              </w:rPr>
            </w:pPr>
            <w:r w:rsidRPr="005A7CDF">
              <w:rPr>
                <w:rFonts w:ascii="Arial Narrow" w:hAnsi="Arial Narrow" w:cs="Times New Roman"/>
                <w:b/>
                <w:sz w:val="20"/>
              </w:rPr>
              <w:t>a) poistenie právnej ochrany, ktoré sa týka používania námorného dopravného prostriedku alebo poistných rizík vznikajúcich v súvislosti s jeho používaním,</w:t>
            </w:r>
          </w:p>
          <w:p w:rsidR="008053CD" w:rsidRPr="005A7CDF" w:rsidP="00E3727F">
            <w:pPr>
              <w:pStyle w:val="BodyText"/>
              <w:ind w:right="114"/>
              <w:rPr>
                <w:rFonts w:ascii="Arial Narrow" w:hAnsi="Arial Narrow" w:cs="Times New Roman"/>
                <w:b/>
                <w:sz w:val="20"/>
              </w:rPr>
            </w:pPr>
            <w:r w:rsidRPr="005A7CDF">
              <w:rPr>
                <w:rFonts w:ascii="Arial Narrow" w:hAnsi="Arial Narrow" w:cs="Times New Roman"/>
                <w:b/>
                <w:sz w:val="20"/>
              </w:rPr>
              <w:t xml:space="preserve"> b) zastupovanie poisteného, ak je táto činnosť súčasne vykonávaná vo vlastnom záujme poisťovateľa v rámci poistenia zodpovednosti za škodu,</w:t>
            </w:r>
          </w:p>
          <w:p w:rsidR="008053CD" w:rsidRPr="005A7CDF" w:rsidP="00E3727F">
            <w:pPr>
              <w:pStyle w:val="BodyText"/>
              <w:ind w:right="114"/>
              <w:rPr>
                <w:rFonts w:ascii="Arial Narrow" w:hAnsi="Arial Narrow" w:cs="Times New Roman"/>
                <w:b/>
                <w:sz w:val="20"/>
              </w:rPr>
            </w:pPr>
            <w:r w:rsidRPr="005A7CDF">
              <w:rPr>
                <w:rFonts w:ascii="Arial Narrow" w:hAnsi="Arial Narrow" w:cs="Times New Roman"/>
                <w:b/>
                <w:sz w:val="20"/>
              </w:rPr>
              <w:t xml:space="preserve"> c) poistenie právnej ochrany vykonávané poisťovateľom ako doplnkové poistenie k poisteniu pomoci osobám v núdzi počas cestovania alebo pobytu mimo miesta svojho trvalého pobytu.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807FBB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>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E0763" w:rsidRPr="00DF5FD8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DF5FD8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>Čl.3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F5FD8" w:rsidRPr="00E120BD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E120BD">
              <w:rPr>
                <w:rFonts w:ascii="Arial Narrow" w:hAnsi="Arial Narrow" w:cs="EUAlbertina-Regular-Identity-H"/>
                <w:sz w:val="20"/>
              </w:rPr>
              <w:t>1. Krytie právnej ochrany je upravené osobitnou poistnou zmluvou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ako zmluvou pre iné odvetvia poistenia, alebo je upravené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v samostatnej časti jednej poistnej zmluvy, v ktorej sa upresní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povaha krytia právnej ochrany a, ak to vyžaduje členský štá</w:t>
            </w:r>
            <w:r w:rsidRPr="00E120BD">
              <w:rPr>
                <w:rFonts w:ascii="Arial Narrow" w:hAnsi="Arial Narrow" w:cs="EUAlbertina-Regular-Identity-H"/>
                <w:sz w:val="20"/>
              </w:rPr>
              <w:t>t, aj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výška príslušného poistného.</w:t>
            </w:r>
          </w:p>
          <w:p w:rsidR="002806FA" w:rsidRPr="00E120BD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</w:p>
          <w:p w:rsidR="002806FA" w:rsidRPr="00E120BD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</w:p>
          <w:p w:rsidR="00DF5FD8" w:rsidRPr="00E120BD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E120BD">
              <w:rPr>
                <w:rFonts w:ascii="Arial Narrow" w:hAnsi="Arial Narrow" w:cs="EUAlbertina-Regular-Identity-H"/>
                <w:sz w:val="20"/>
              </w:rPr>
              <w:t>2. Každý členský štát prijme potrebné opatrenia, aby zabezpečil,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že poisťovne usadené na jeho území prijmú v súlade s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> </w:t>
            </w:r>
            <w:r w:rsidRPr="00E120BD">
              <w:rPr>
                <w:rFonts w:ascii="Arial Narrow" w:hAnsi="Arial Narrow" w:cs="EUAlbertina-Regular-Identity-H"/>
                <w:sz w:val="20"/>
              </w:rPr>
              <w:t>možnosťou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 </w:t>
            </w:r>
            <w:r w:rsidRPr="00E120BD">
              <w:rPr>
                <w:rFonts w:ascii="Arial Narrow" w:hAnsi="Arial Narrow" w:cs="EUAlbertina-Regular-Identity-H"/>
                <w:sz w:val="20"/>
              </w:rPr>
              <w:t>stanovenou členským štátom, alebo podľa vlastného výberu, ak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s tým členský štát súhlasí, n</w:t>
            </w:r>
            <w:r w:rsidRPr="00E120BD">
              <w:rPr>
                <w:rFonts w:ascii="Arial Narrow" w:hAnsi="Arial Narrow" w:cs="EUAlbertina-Regular-Identity-H"/>
                <w:sz w:val="20"/>
              </w:rPr>
              <w:t>ajmenej jedno z nasledujúcich alternatívnych</w:t>
            </w:r>
          </w:p>
          <w:p w:rsidR="00DF5FD8" w:rsidRPr="00E120BD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E120BD">
              <w:rPr>
                <w:rFonts w:ascii="Arial Narrow" w:hAnsi="Arial Narrow" w:cs="EUAlbertina-Regular-Identity-H"/>
                <w:sz w:val="20"/>
              </w:rPr>
              <w:t>riešení:</w:t>
            </w:r>
          </w:p>
          <w:p w:rsidR="00DF5FD8" w:rsidRPr="00E120BD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E120BD">
              <w:rPr>
                <w:rFonts w:ascii="Arial Narrow" w:hAnsi="Arial Narrow" w:cs="EUAlbertina-Regular-Identity-H"/>
                <w:sz w:val="20"/>
              </w:rPr>
              <w:t>a) poisťovňa zabezpečí, že žiaden pracovník, ktorý sa zaoberá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správou plnení pri poistení právnej ochrany alebo právnym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poradenstvom súčasne s nimi nebude vykonávať podobnú</w:t>
            </w:r>
          </w:p>
          <w:p w:rsidR="00DF5FD8" w:rsidRPr="00E120BD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E120BD">
              <w:rPr>
                <w:rFonts w:ascii="Arial Narrow" w:hAnsi="Arial Narrow" w:cs="EUAlbertina-Regular-Identity-H"/>
                <w:sz w:val="20"/>
              </w:rPr>
              <w:t>činnosť</w:t>
            </w:r>
          </w:p>
          <w:p w:rsidR="00DF5FD8" w:rsidRPr="00E120BD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E120BD">
              <w:rPr>
                <w:rFonts w:ascii="Arial Narrow" w:hAnsi="Arial Narrow" w:cs="EUAlbertina-Regular-Identity-H"/>
                <w:sz w:val="20"/>
              </w:rPr>
              <w:t>— ak je poisťovňa via</w:t>
            </w:r>
            <w:r w:rsidRPr="00E120BD">
              <w:rPr>
                <w:rFonts w:ascii="Arial Narrow" w:hAnsi="Arial Narrow" w:cs="EUAlbertina-Regular-Identity-H"/>
                <w:sz w:val="20"/>
              </w:rPr>
              <w:t>codvetvová, pre iné odvetvie, v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> </w:t>
            </w:r>
            <w:r w:rsidRPr="00E120BD">
              <w:rPr>
                <w:rFonts w:ascii="Arial Narrow" w:hAnsi="Arial Narrow" w:cs="EUAlbertina-Regular-Identity-H"/>
                <w:sz w:val="20"/>
              </w:rPr>
              <w:t>ktorom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je činná,</w:t>
            </w:r>
          </w:p>
          <w:p w:rsidR="00DF5FD8" w:rsidRPr="00E120BD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E120BD">
              <w:rPr>
                <w:rFonts w:ascii="Arial Narrow" w:hAnsi="Arial Narrow" w:cs="EUAlbertina-Regular-Identity-H"/>
                <w:sz w:val="20"/>
              </w:rPr>
              <w:t>— bez ohľadu na to, či je poisťovňa viacodvetvová alebo špecializovaná,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v inej poisťovni, ktorá je finančne, obchodne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alebo administratívne spojená s prvou poisťovňou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a poskytuje poistenie v jednom alebo via</w:t>
            </w:r>
            <w:r w:rsidRPr="00E120BD">
              <w:rPr>
                <w:rFonts w:ascii="Arial Narrow" w:hAnsi="Arial Narrow" w:cs="EUAlbertina-Regular-Identity-H"/>
                <w:sz w:val="20"/>
              </w:rPr>
              <w:t>cerých iných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poistných odvetviach stanovených v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> </w:t>
            </w:r>
            <w:r w:rsidRPr="00E120BD">
              <w:rPr>
                <w:rFonts w:ascii="Arial Narrow" w:hAnsi="Arial Narrow" w:cs="EUAlbertina-Regular-Identity-H"/>
                <w:sz w:val="20"/>
              </w:rPr>
              <w:t>smernici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73/239/EHS;</w:t>
            </w:r>
          </w:p>
          <w:p w:rsidR="006412FC" w:rsidRPr="00E120BD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E120BD" w:rsidR="00DF5FD8">
              <w:rPr>
                <w:rFonts w:ascii="Arial Narrow" w:hAnsi="Arial Narrow" w:cs="EUAlbertina-Regular-Identity-H"/>
                <w:sz w:val="20"/>
              </w:rPr>
              <w:t>b) poisťovňa poverí správou plnení v súvislosti s</w:t>
            </w:r>
            <w:r w:rsidRPr="00E120BD">
              <w:rPr>
                <w:rFonts w:ascii="Arial Narrow" w:hAnsi="Arial Narrow" w:cs="EUAlbertina-Regular-Identity-H"/>
                <w:sz w:val="20"/>
              </w:rPr>
              <w:t> </w:t>
            </w:r>
            <w:r w:rsidRPr="00E120BD" w:rsidR="00DF5FD8">
              <w:rPr>
                <w:rFonts w:ascii="Arial Narrow" w:hAnsi="Arial Narrow" w:cs="EUAlbertina-Regular-Identity-H"/>
                <w:sz w:val="20"/>
              </w:rPr>
              <w:t>poistením</w:t>
            </w:r>
            <w:r w:rsidRPr="00E120BD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 w:rsidR="00DF5FD8">
              <w:rPr>
                <w:rFonts w:ascii="Arial Narrow" w:hAnsi="Arial Narrow" w:cs="EUAlbertina-Regular-Identity-H"/>
                <w:sz w:val="20"/>
              </w:rPr>
              <w:t>právnej ochrany inú poisťovňu, ktorá má samostatnú právnu</w:t>
            </w:r>
            <w:r w:rsidRPr="00E120BD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 w:rsidR="00DF5FD8">
              <w:rPr>
                <w:rFonts w:ascii="Arial Narrow" w:hAnsi="Arial Narrow" w:cs="EUAlbertina-Regular-Identity-H"/>
                <w:sz w:val="20"/>
              </w:rPr>
              <w:t>subjektivitu. Táto poisťovňa bude uvedená v</w:t>
            </w:r>
            <w:r w:rsidRPr="00E120BD">
              <w:rPr>
                <w:rFonts w:ascii="Arial Narrow" w:hAnsi="Arial Narrow" w:cs="EUAlbertina-Regular-Identity-H"/>
                <w:sz w:val="20"/>
              </w:rPr>
              <w:t> </w:t>
            </w:r>
            <w:r w:rsidRPr="00E120BD" w:rsidR="00DF5FD8">
              <w:rPr>
                <w:rFonts w:ascii="Arial Narrow" w:hAnsi="Arial Narrow" w:cs="EUAlbertina-Regular-Identity-H"/>
                <w:sz w:val="20"/>
              </w:rPr>
              <w:t>samostatnej</w:t>
            </w:r>
            <w:r w:rsidRPr="00E120BD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 w:rsidR="00DF5FD8">
              <w:rPr>
                <w:rFonts w:ascii="Arial Narrow" w:hAnsi="Arial Narrow" w:cs="EUAlbertina-Regular-Identity-H"/>
                <w:sz w:val="20"/>
              </w:rPr>
              <w:t>zmluve alebo v samostatnej časti uvedenej v odseku 1. Ak je</w:t>
            </w:r>
            <w:r w:rsidRPr="00E120BD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 w:rsidR="00DF5FD8">
              <w:rPr>
                <w:rFonts w:ascii="Arial Narrow" w:hAnsi="Arial Narrow" w:cs="EUAlbertina-Regular-Identity-H"/>
                <w:sz w:val="20"/>
              </w:rPr>
              <w:t>poisťovňa, ktorá má samostatnú právnu subjektivitu, prepojená</w:t>
            </w:r>
            <w:r w:rsidRPr="00E120BD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 w:rsidR="00DF5FD8">
              <w:rPr>
                <w:rFonts w:ascii="Arial Narrow" w:hAnsi="Arial Narrow" w:cs="EUAlbertina-Regular-Identity-H"/>
                <w:sz w:val="20"/>
              </w:rPr>
              <w:t>s poisťovňou, ktorá vykonáva jedno alebo viac iných</w:t>
            </w:r>
            <w:r w:rsidRPr="00E120BD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 w:rsidR="00DF5FD8">
              <w:rPr>
                <w:rFonts w:ascii="Arial Narrow" w:hAnsi="Arial Narrow" w:cs="EUAlbertina-Regular-Identity-H"/>
                <w:sz w:val="20"/>
              </w:rPr>
              <w:t>odvetví poistenia uvedených v písmene A prílohy k</w:t>
            </w:r>
            <w:r w:rsidRPr="00E120BD">
              <w:rPr>
                <w:rFonts w:ascii="Arial Narrow" w:hAnsi="Arial Narrow" w:cs="EUAlbertina-Regular-Identity-H"/>
                <w:sz w:val="20"/>
              </w:rPr>
              <w:t> </w:t>
            </w:r>
            <w:r w:rsidRPr="00E120BD" w:rsidR="00DF5FD8">
              <w:rPr>
                <w:rFonts w:ascii="Arial Narrow" w:hAnsi="Arial Narrow" w:cs="EUAlbertina-Regular-Identity-H"/>
                <w:sz w:val="20"/>
              </w:rPr>
              <w:t>smernici</w:t>
            </w:r>
            <w:r w:rsidRPr="00E120BD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 w:rsidR="00DF5FD8">
              <w:rPr>
                <w:rFonts w:ascii="Arial Narrow" w:hAnsi="Arial Narrow" w:cs="EUAlbertina-Regular-Identity-H"/>
                <w:sz w:val="20"/>
              </w:rPr>
              <w:t>73/239/EHS, pracovníci poisťovne, kt</w:t>
            </w:r>
            <w:r w:rsidRPr="00E120BD" w:rsidR="00DF5FD8">
              <w:rPr>
                <w:rFonts w:ascii="Arial Narrow" w:hAnsi="Arial Narrow" w:cs="EUAlbertina-Regular-Identity-H"/>
                <w:sz w:val="20"/>
              </w:rPr>
              <w:t xml:space="preserve">orí sa </w:t>
            </w:r>
            <w:r w:rsidRPr="00E120BD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 w:rsidR="00DF5FD8">
              <w:rPr>
                <w:rFonts w:ascii="Arial Narrow" w:hAnsi="Arial Narrow" w:cs="EUAlbertina-Regular-Identity-H"/>
                <w:sz w:val="20"/>
              </w:rPr>
              <w:t>zaoberajú spracovaním</w:t>
            </w:r>
            <w:r w:rsidRPr="00E120BD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 w:rsidR="00DF5FD8">
              <w:rPr>
                <w:rFonts w:ascii="Arial Narrow" w:hAnsi="Arial Narrow" w:cs="EUAlbertina-Regular-Identity-H"/>
                <w:sz w:val="20"/>
              </w:rPr>
              <w:t>plnení alebo právnym poradenstvom spojeným s</w:t>
            </w:r>
            <w:r w:rsidRPr="00E120BD">
              <w:rPr>
                <w:rFonts w:ascii="Arial Narrow" w:hAnsi="Arial Narrow" w:cs="EUAlbertina-Regular-Identity-H"/>
                <w:sz w:val="20"/>
              </w:rPr>
              <w:t> </w:t>
            </w:r>
            <w:r w:rsidRPr="00E120BD" w:rsidR="00DF5FD8">
              <w:rPr>
                <w:rFonts w:ascii="Arial Narrow" w:hAnsi="Arial Narrow" w:cs="EUAlbertina-Regular-Identity-H"/>
                <w:sz w:val="20"/>
              </w:rPr>
              <w:t>týmto</w:t>
            </w:r>
            <w:r w:rsidRPr="00E120BD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 w:rsidR="00DF5FD8">
              <w:rPr>
                <w:rFonts w:ascii="Arial Narrow" w:hAnsi="Arial Narrow" w:cs="EUAlbertina-Regular-Identity-H"/>
                <w:sz w:val="20"/>
              </w:rPr>
              <w:t>spracovaním, nesmú súčasne vykonávať rovnakú alebo podobnú</w:t>
            </w:r>
            <w:r w:rsidRPr="00E120BD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 w:rsidR="00DF5FD8">
              <w:rPr>
                <w:rFonts w:ascii="Arial Narrow" w:hAnsi="Arial Narrow" w:cs="EUAlbertina-Regular-Identity-H"/>
                <w:sz w:val="20"/>
              </w:rPr>
              <w:t xml:space="preserve">činnosť v inej poisťovni. </w:t>
            </w:r>
          </w:p>
          <w:p w:rsidR="00DF5FD8" w:rsidRPr="00E120BD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E120BD">
              <w:rPr>
                <w:rFonts w:ascii="Arial Narrow" w:hAnsi="Arial Narrow" w:cs="EUAlbertina-Regular-Identity-H"/>
                <w:sz w:val="20"/>
              </w:rPr>
              <w:t>Členské štáty môžu ďalej stanoviť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rovnaké požiadavky pre členov riadiaceho orgánu;</w:t>
            </w:r>
          </w:p>
          <w:p w:rsidR="00DF5FD8" w:rsidRPr="00E120BD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E120BD">
              <w:rPr>
                <w:rFonts w:ascii="Arial Narrow" w:hAnsi="Arial Narrow" w:cs="EUAlbertina-Regular-Identity-H"/>
                <w:sz w:val="20"/>
              </w:rPr>
              <w:t>c) poisťovňa v zmluve poskytne poistenej osobe právo zveriť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obhajobu jej záujmov od chvíle, od ktorej má právo nárokovať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si od svojho poisťovateľa podľa poistky, právnikovi podľa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jej výberu alebo v miere, v akej to vnútroštátne právo povoľuje,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akejkoľvek inej náležito spôsobilej osobe.</w:t>
            </w:r>
          </w:p>
          <w:p w:rsidR="00B74452" w:rsidRPr="006412FC" w:rsidP="006412FC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E120BD" w:rsidR="00DF5FD8">
              <w:rPr>
                <w:rFonts w:ascii="Arial Narrow" w:hAnsi="Arial Narrow" w:cs="EUAlbertina-Regular-Identity-H"/>
                <w:sz w:val="20"/>
              </w:rPr>
              <w:t>3. Nech sa prijme ktorékoľvek riešenie, záujem osôb, ktoré majú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 w:rsidR="00DF5FD8">
              <w:rPr>
                <w:rFonts w:ascii="Arial Narrow" w:hAnsi="Arial Narrow" w:cs="EUAlbertina-Regular-Identity-H"/>
                <w:sz w:val="20"/>
              </w:rPr>
              <w:t>krytie právnej ochrany, sa bude považovať za zachované ekvivalentným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 w:rsidR="00DF5FD8">
              <w:rPr>
                <w:rFonts w:ascii="Arial Narrow" w:hAnsi="Arial Narrow" w:cs="EUAlbertina-Regular-Identity-H"/>
                <w:sz w:val="20"/>
              </w:rPr>
              <w:t>spôsobom podľa tejto smernice.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F36B9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>N</w:t>
            </w: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120B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120B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120B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D</w:t>
            </w: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E697F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806FA" w:rsidRPr="005A7CDF" w:rsidP="002806FA">
            <w:pPr>
              <w:rPr>
                <w:rFonts w:ascii="Arial Narrow" w:hAnsi="Arial Narrow" w:cs="Times New Roman"/>
                <w:b/>
                <w:sz w:val="20"/>
              </w:rPr>
            </w:pPr>
            <w:r w:rsidRPr="005A7CDF">
              <w:rPr>
                <w:rFonts w:ascii="Arial Narrow" w:hAnsi="Arial Narrow" w:cs="Times New Roman"/>
                <w:b/>
                <w:sz w:val="20"/>
              </w:rPr>
              <w:t>40/</w:t>
            </w:r>
          </w:p>
          <w:p w:rsidR="008053CD" w:rsidRPr="005A7CDF" w:rsidP="002806FA">
            <w:pPr>
              <w:pStyle w:val="Footer"/>
              <w:tabs>
                <w:tab w:val="clear" w:pos="4536"/>
                <w:tab w:val="clear" w:pos="9072"/>
              </w:tabs>
              <w:rPr>
                <w:rFonts w:ascii="Arial Narrow" w:hAnsi="Arial Narrow" w:cs="Times New Roman"/>
                <w:b/>
                <w:sz w:val="20"/>
              </w:rPr>
            </w:pPr>
            <w:r w:rsidRPr="005A7CDF" w:rsidR="002806FA">
              <w:rPr>
                <w:rFonts w:ascii="Arial Narrow" w:hAnsi="Arial Narrow" w:cs="Times New Roman"/>
                <w:b/>
                <w:sz w:val="20"/>
              </w:rPr>
              <w:t>1964</w:t>
            </w:r>
          </w:p>
          <w:p w:rsidR="00BF36B9" w:rsidRPr="008053CD" w:rsidP="0032565D">
            <w:pPr>
              <w:pStyle w:val="Footer"/>
              <w:tabs>
                <w:tab w:val="clear" w:pos="4536"/>
                <w:tab w:val="clear" w:pos="9072"/>
              </w:tabs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806FA" w:rsidRPr="005A7CDF" w:rsidP="002806FA">
            <w:pPr>
              <w:rPr>
                <w:rFonts w:ascii="Arial Narrow" w:hAnsi="Arial Narrow" w:cs="Times New Roman"/>
                <w:b/>
                <w:sz w:val="20"/>
              </w:rPr>
            </w:pPr>
            <w:r w:rsidR="008053CD">
              <w:rPr>
                <w:rFonts w:ascii="Arial Narrow" w:hAnsi="Arial Narrow" w:cs="Times New Roman"/>
                <w:sz w:val="20"/>
              </w:rPr>
              <w:t xml:space="preserve"> </w:t>
            </w:r>
            <w:r w:rsidRPr="005A7CDF">
              <w:rPr>
                <w:rFonts w:ascii="Arial Narrow" w:hAnsi="Arial Narrow" w:cs="Times New Roman"/>
                <w:b/>
                <w:sz w:val="20"/>
              </w:rPr>
              <w:t>§ 828a ods.1</w:t>
            </w:r>
          </w:p>
          <w:p w:rsidR="002806FA" w:rsidP="002806FA">
            <w:pPr>
              <w:rPr>
                <w:rFonts w:ascii="Arial Narrow" w:hAnsi="Arial Narrow" w:cs="Times New Roman"/>
                <w:sz w:val="20"/>
              </w:rPr>
            </w:pPr>
          </w:p>
          <w:p w:rsidR="002806FA" w:rsidP="002806FA">
            <w:pPr>
              <w:rPr>
                <w:rFonts w:ascii="Arial Narrow" w:hAnsi="Arial Narrow" w:cs="Times New Roman"/>
                <w:sz w:val="20"/>
              </w:rPr>
            </w:pPr>
          </w:p>
          <w:p w:rsidR="002806FA" w:rsidP="002806FA">
            <w:pPr>
              <w:rPr>
                <w:rFonts w:ascii="Arial Narrow" w:hAnsi="Arial Narrow" w:cs="Times New Roman"/>
                <w:sz w:val="20"/>
              </w:rPr>
            </w:pPr>
          </w:p>
          <w:p w:rsidR="002806FA" w:rsidRPr="005A7CDF" w:rsidP="002806FA">
            <w:pPr>
              <w:rPr>
                <w:rFonts w:ascii="Arial Narrow" w:hAnsi="Arial Narrow" w:cs="Times New Roman"/>
                <w:sz w:val="20"/>
              </w:rPr>
            </w:pPr>
            <w:r w:rsidRPr="005A7CDF">
              <w:rPr>
                <w:rFonts w:ascii="Arial Narrow" w:hAnsi="Arial Narrow" w:cs="Times New Roman"/>
                <w:sz w:val="20"/>
              </w:rPr>
              <w:t>§ 88 od</w:t>
            </w:r>
            <w:r w:rsidRPr="005A7CDF">
              <w:rPr>
                <w:rFonts w:ascii="Arial Narrow" w:hAnsi="Arial Narrow" w:cs="Times New Roman"/>
                <w:sz w:val="20"/>
              </w:rPr>
              <w:t xml:space="preserve">s.1 </w:t>
            </w:r>
          </w:p>
          <w:p w:rsidR="00361BDC" w:rsidRPr="00DF5FD8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53CD" w:rsidRPr="005A7CDF" w:rsidP="00E3727F">
            <w:pPr>
              <w:pStyle w:val="Point0"/>
              <w:spacing w:before="0" w:after="0"/>
              <w:ind w:left="0" w:right="114" w:firstLine="0"/>
              <w:rPr>
                <w:rFonts w:ascii="Arial Narrow" w:hAnsi="Arial Narrow" w:cs="Times New Roman"/>
                <w:b/>
                <w:sz w:val="20"/>
              </w:rPr>
            </w:pPr>
            <w:r w:rsidRPr="005A7CDF" w:rsidR="002806FA">
              <w:rPr>
                <w:rFonts w:ascii="Arial Narrow" w:hAnsi="Arial Narrow" w:cs="Times New Roman"/>
                <w:b/>
                <w:sz w:val="20"/>
              </w:rPr>
              <w:t>Poistnou zmluvou pri poistení právnej ochrany sa poisťovateľ zaväzuje uhradiť náklady poisteného spojené s uplatnením jeho práva v rozsahu vymedzenom v poistnej zmluve a poskytovať služby priamo spojené s týmto poistením za podmienok dohodnutých v po</w:t>
            </w:r>
            <w:r w:rsidRPr="005A7CDF" w:rsidR="002806FA">
              <w:rPr>
                <w:rFonts w:ascii="Arial Narrow" w:hAnsi="Arial Narrow" w:cs="Times New Roman"/>
                <w:b/>
                <w:sz w:val="20"/>
              </w:rPr>
              <w:t>istnej zmluve.</w:t>
            </w:r>
          </w:p>
          <w:p w:rsidR="002806FA" w:rsidP="0032565D">
            <w:pPr>
              <w:pStyle w:val="Point0"/>
              <w:spacing w:before="0" w:after="0"/>
              <w:ind w:left="0" w:right="114" w:firstLine="0"/>
              <w:jc w:val="left"/>
              <w:rPr>
                <w:rFonts w:ascii="Arial Narrow" w:hAnsi="Arial Narrow" w:cs="Times New Roman"/>
                <w:sz w:val="20"/>
              </w:rPr>
            </w:pPr>
          </w:p>
          <w:p w:rsidR="002806FA" w:rsidRPr="005A7CDF" w:rsidP="002806FA">
            <w:pPr>
              <w:pStyle w:val="BodyTextIndent"/>
              <w:spacing w:after="0"/>
              <w:ind w:left="0" w:firstLine="0"/>
              <w:rPr>
                <w:rFonts w:ascii="Arial Narrow" w:hAnsi="Arial Narrow" w:cs="Times New Roman"/>
                <w:sz w:val="20"/>
                <w:lang w:val="sk-SK"/>
              </w:rPr>
            </w:pPr>
            <w:r w:rsidRPr="005A7CDF">
              <w:rPr>
                <w:rFonts w:ascii="Arial Narrow" w:hAnsi="Arial Narrow" w:cs="Times New Roman"/>
                <w:sz w:val="20"/>
                <w:lang w:val="sk-SK"/>
              </w:rPr>
              <w:t xml:space="preserve">Pri vyporiadaní nárokov z poistenia právnej ochrany vrátane právneho poradenstva v tomto poistnom odvetví musí poisťovňa, poisťovňa z iného členského štátu alebo zahraničná poisťovňa zabezpečiť, aby </w:t>
            </w:r>
          </w:p>
          <w:p w:rsidR="002806FA" w:rsidRPr="005A7CDF" w:rsidP="002806FA">
            <w:pPr>
              <w:pStyle w:val="BodyText"/>
              <w:tabs>
                <w:tab w:val="left" w:pos="180"/>
              </w:tabs>
              <w:rPr>
                <w:rFonts w:ascii="Arial Narrow" w:hAnsi="Arial Narrow" w:cs="Times New Roman"/>
                <w:bCs/>
                <w:sz w:val="20"/>
              </w:rPr>
            </w:pPr>
            <w:r w:rsidRPr="005A7CDF">
              <w:rPr>
                <w:rFonts w:ascii="Arial Narrow" w:hAnsi="Arial Narrow" w:cs="Times New Roman"/>
                <w:bCs/>
                <w:sz w:val="20"/>
              </w:rPr>
              <w:t xml:space="preserve">a) žiadny z ich zamestnancov poverených </w:t>
            </w:r>
            <w:r w:rsidRPr="005A7CDF">
              <w:rPr>
                <w:rFonts w:ascii="Arial Narrow" w:hAnsi="Arial Narrow" w:cs="Times New Roman"/>
                <w:bCs/>
                <w:sz w:val="20"/>
              </w:rPr>
              <w:t>vyporiadaním nárokov z poistenia právnej ochrany vrátane právneho poradenstva v tomto poistnom</w:t>
            </w:r>
            <w:r w:rsidRPr="005A7CDF">
              <w:rPr>
                <w:rFonts w:ascii="Arial Narrow" w:hAnsi="Arial Narrow" w:cs="Times New Roman"/>
                <w:bCs/>
                <w:sz w:val="20"/>
              </w:rPr>
              <w:t xml:space="preserve"> odvetví nevykonával súčasne podobnú činnosť v inom poistnom odvetví poisťovne, poisťovne z iného členského štátu alebo zahraničnej poisťovne, ktorá poistnú zmluvu o poistení právnej ochrany uzavrela; to platí aj, ak je táto činnosť vykonávaná inou poisťovňou, poisťovňou z iného členského štátu alebo zahraničnou poisťovňou v inom poistnom odvetví neživotného poistenia, ktorá je vo vzťahu k poisťovni, poisťovni z iného členského štátu alebo zahraničnej poisťovni, ktorá poistnú zmluvu týkajúcu sa poistenia právnej ochrany uzavrela, osobou ovládanou alebo ovládajúcou,</w:t>
            </w:r>
          </w:p>
          <w:p w:rsidR="002806FA" w:rsidRPr="005A7CDF" w:rsidP="002806FA">
            <w:pPr>
              <w:pStyle w:val="BodyText"/>
              <w:rPr>
                <w:rFonts w:ascii="Arial Narrow" w:hAnsi="Arial Narrow" w:cs="Times New Roman"/>
                <w:bCs/>
                <w:sz w:val="20"/>
              </w:rPr>
            </w:pPr>
            <w:r w:rsidRPr="005A7CDF">
              <w:rPr>
                <w:rFonts w:ascii="Arial Narrow" w:hAnsi="Arial Narrow" w:cs="Times New Roman"/>
                <w:bCs/>
                <w:sz w:val="20"/>
              </w:rPr>
              <w:t>b) vyporiadanie nárokov z poistenia právnej ochrany vykonávala iná poisťovňa, poisťovňa z iného členského štátu alebo zahraničná poisťovňa nezávislá od poisťovne, poisťovne z iného členského štátu alebo zahraničnej poisťovne, uvedená v poistnej zmluve alebo v osobitnej zmluve; ak táto iná poisťovňa, poisťovňa z iného členského štátu alebo zahraničná poisťovňa je vo vzťahu k inej poisťovni, poisťovni z iného členského štátu alebo zahraničnej poisťovni osobou ovládanou alebo ovládajúcou, jej zamestnanci poverení vyporiadaním nárokov z poistenia právnej ochrany vrátane právneho poradenstva súvisiaceho s týmto vyporiadaním nesmú súčasne vykonávať rovnakú alebo podobnú činnosť v tejto inej poisťovni, poisťovni z iného členského štátu alebo zahraničnej poisťovni, alebo</w:t>
            </w:r>
          </w:p>
          <w:p w:rsidR="002806FA" w:rsidRPr="008053CD" w:rsidP="00E3727F">
            <w:pPr>
              <w:pStyle w:val="Point0"/>
              <w:spacing w:before="0" w:after="0"/>
              <w:ind w:left="0" w:right="114" w:firstLine="0"/>
              <w:rPr>
                <w:rFonts w:ascii="Arial Narrow" w:hAnsi="Arial Narrow" w:cs="Times New Roman"/>
                <w:b/>
                <w:sz w:val="20"/>
              </w:rPr>
            </w:pPr>
            <w:r w:rsidRPr="005A7CDF">
              <w:rPr>
                <w:rFonts w:ascii="Arial Narrow" w:hAnsi="Arial Narrow" w:cs="Times New Roman"/>
                <w:bCs/>
                <w:sz w:val="20"/>
              </w:rPr>
              <w:t>c) poistná zmluva obsahovala právo poisteného na výber právneho zástupcu pri ochrane jeho práv.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="00E120BD">
              <w:rPr>
                <w:rFonts w:ascii="Arial Narrow" w:hAnsi="Arial Narrow" w:cs="Times New Roman"/>
                <w:sz w:val="20"/>
              </w:rPr>
              <w:t>Ú</w:t>
            </w:r>
          </w:p>
          <w:p w:rsidR="00361BDC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DF5FD8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>Čl.4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1. Akákoľvek zmluva o poistení právnej ochrany bude vyslovene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uznávať, že:</w:t>
            </w:r>
          </w:p>
          <w:p w:rsid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a) poistená osoba má právo slobodného výberu právnika alebo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 xml:space="preserve">inej osoby náležito 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kvalifikovanej podľa vnútroštátneho práva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s cieľom obhajovať, zastupovať alebo slúžiť záujmom poistenej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osoby v akomkoľvek vyšetrovaní alebo konaní;</w:t>
            </w:r>
          </w:p>
          <w:p w:rsidR="009E697F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</w:p>
          <w:p w:rsidR="009E697F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</w:p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b) poistená osoba si slobodne vyberie právnika alebo, ak to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uprednostní a pokiaľ to umožňuje vnútroštátne právo, akúkoľvek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inú náležito spôsobilú osobu, ktorá bude slúžiť jej záujmom</w:t>
            </w:r>
          </w:p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vždy, keď vznikne konflikt záujmov.</w:t>
            </w:r>
          </w:p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2. Právnik znamená akúkoľvek osobu, ktorá je oprávnená vykonávať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svoje povolanie podľa jedného z označení stanovených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v smernici Rady 77/249/EHS z 22. marca 1977 na uľahčenie</w:t>
            </w:r>
          </w:p>
          <w:p w:rsidR="00317F51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DF5FD8" w:rsidR="00DF5FD8">
              <w:rPr>
                <w:rFonts w:ascii="Arial Narrow" w:hAnsi="Arial Narrow" w:cs="EUAlbertina-Regular-Identity-H"/>
                <w:sz w:val="20"/>
              </w:rPr>
              <w:t>účinného výkonu slobody právnikov poskytovať služby</w:t>
            </w:r>
            <w:r w:rsidR="006412FC">
              <w:rPr>
                <w:rFonts w:ascii="Arial Narrow" w:hAnsi="Arial Narrow" w:cs="EUAlbertina-Regular-Identity-H"/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="005008DE">
              <w:rPr>
                <w:rFonts w:ascii="Arial Narrow" w:hAnsi="Arial Narrow" w:cs="Times New Roman"/>
                <w:sz w:val="20"/>
              </w:rPr>
              <w:t>N</w:t>
            </w:r>
          </w:p>
          <w:p w:rsidR="00361BDC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E697F" w:rsidP="009E697F">
            <w:pPr>
              <w:pStyle w:val="Footer"/>
              <w:tabs>
                <w:tab w:val="clear" w:pos="4536"/>
                <w:tab w:val="clear" w:pos="9072"/>
              </w:tabs>
              <w:rPr>
                <w:rFonts w:ascii="Arial Narrow" w:hAnsi="Arial Narrow" w:cs="Times New Roman"/>
                <w:sz w:val="20"/>
              </w:rPr>
            </w:pPr>
          </w:p>
          <w:p w:rsidR="009E697F" w:rsidP="009E697F">
            <w:pPr>
              <w:pStyle w:val="Footer"/>
              <w:tabs>
                <w:tab w:val="clear" w:pos="4536"/>
                <w:tab w:val="clear" w:pos="9072"/>
              </w:tabs>
              <w:rPr>
                <w:rFonts w:ascii="Arial Narrow" w:hAnsi="Arial Narrow" w:cs="Times New Roman"/>
                <w:sz w:val="20"/>
              </w:rPr>
            </w:pPr>
          </w:p>
          <w:p w:rsidR="009E697F" w:rsidP="009E697F">
            <w:pPr>
              <w:pStyle w:val="Footer"/>
              <w:tabs>
                <w:tab w:val="clear" w:pos="4536"/>
                <w:tab w:val="clear" w:pos="9072"/>
              </w:tabs>
              <w:rPr>
                <w:rFonts w:ascii="Arial Narrow" w:hAnsi="Arial Narrow" w:cs="Times New Roman"/>
                <w:sz w:val="20"/>
              </w:rPr>
            </w:pPr>
          </w:p>
          <w:p w:rsidR="009E697F" w:rsidP="009E697F">
            <w:pPr>
              <w:pStyle w:val="Footer"/>
              <w:tabs>
                <w:tab w:val="clear" w:pos="4536"/>
                <w:tab w:val="clear" w:pos="9072"/>
              </w:tabs>
              <w:rPr>
                <w:rFonts w:ascii="Arial Narrow" w:hAnsi="Arial Narrow" w:cs="Times New Roman"/>
                <w:sz w:val="20"/>
              </w:rPr>
            </w:pPr>
          </w:p>
          <w:p w:rsidR="009E697F" w:rsidP="009E697F">
            <w:pPr>
              <w:pStyle w:val="Footer"/>
              <w:tabs>
                <w:tab w:val="clear" w:pos="4536"/>
                <w:tab w:val="clear" w:pos="9072"/>
              </w:tabs>
              <w:rPr>
                <w:rFonts w:ascii="Arial Narrow" w:hAnsi="Arial Narrow" w:cs="Times New Roman"/>
                <w:sz w:val="20"/>
              </w:rPr>
            </w:pPr>
          </w:p>
          <w:p w:rsidR="009E697F" w:rsidP="009E697F">
            <w:pPr>
              <w:pStyle w:val="Footer"/>
              <w:tabs>
                <w:tab w:val="clear" w:pos="4536"/>
                <w:tab w:val="clear" w:pos="9072"/>
              </w:tabs>
              <w:rPr>
                <w:rFonts w:ascii="Arial Narrow" w:hAnsi="Arial Narrow" w:cs="Times New Roman"/>
                <w:sz w:val="20"/>
              </w:rPr>
            </w:pPr>
          </w:p>
          <w:p w:rsidR="009E697F" w:rsidP="009E697F">
            <w:pPr>
              <w:pStyle w:val="Footer"/>
              <w:tabs>
                <w:tab w:val="clear" w:pos="4536"/>
                <w:tab w:val="clear" w:pos="9072"/>
              </w:tabs>
              <w:rPr>
                <w:rFonts w:ascii="Arial Narrow" w:hAnsi="Arial Narrow" w:cs="Times New Roman"/>
                <w:sz w:val="20"/>
              </w:rPr>
            </w:pPr>
          </w:p>
          <w:p w:rsidR="009E697F" w:rsidRPr="005A7CDF" w:rsidP="009E697F">
            <w:pPr>
              <w:pStyle w:val="Footer"/>
              <w:tabs>
                <w:tab w:val="clear" w:pos="4536"/>
                <w:tab w:val="clear" w:pos="9072"/>
              </w:tabs>
              <w:rPr>
                <w:rFonts w:ascii="Arial Narrow" w:hAnsi="Arial Narrow" w:cs="Times New Roman"/>
                <w:b/>
                <w:sz w:val="20"/>
              </w:rPr>
            </w:pPr>
            <w:r w:rsidRPr="005A7CDF">
              <w:rPr>
                <w:rFonts w:ascii="Arial Narrow" w:hAnsi="Arial Narrow" w:cs="Times New Roman"/>
                <w:b/>
                <w:sz w:val="20"/>
              </w:rPr>
              <w:t>40/</w:t>
            </w:r>
          </w:p>
          <w:p w:rsidR="004B3E19" w:rsidRPr="00DF5FD8" w:rsidP="009E697F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  <w:r w:rsidRPr="005A7CDF" w:rsidR="009E697F">
              <w:rPr>
                <w:rFonts w:ascii="Arial Narrow" w:hAnsi="Arial Narrow" w:cs="Times New Roman"/>
                <w:b/>
                <w:sz w:val="20"/>
              </w:rPr>
              <w:t>1964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E697F" w:rsidRPr="005A7CDF" w:rsidP="009E697F">
            <w:pPr>
              <w:rPr>
                <w:rFonts w:ascii="Arial Narrow" w:hAnsi="Arial Narrow" w:cs="Times New Roman"/>
                <w:sz w:val="20"/>
              </w:rPr>
            </w:pPr>
            <w:r w:rsidRPr="005A7CDF">
              <w:rPr>
                <w:rFonts w:ascii="Arial Narrow" w:hAnsi="Arial Narrow" w:cs="Times New Roman"/>
                <w:sz w:val="20"/>
              </w:rPr>
              <w:t xml:space="preserve">§ 88 ods.1 </w:t>
            </w:r>
          </w:p>
          <w:p w:rsidR="009E697F" w:rsidRPr="005A7CDF" w:rsidP="009E697F">
            <w:pPr>
              <w:rPr>
                <w:rFonts w:ascii="Arial Narrow" w:hAnsi="Arial Narrow" w:cs="Times New Roman"/>
                <w:sz w:val="20"/>
              </w:rPr>
            </w:pPr>
          </w:p>
          <w:p w:rsidR="009E697F" w:rsidRPr="005A7CDF" w:rsidP="009E697F">
            <w:pPr>
              <w:rPr>
                <w:rFonts w:ascii="Arial Narrow" w:hAnsi="Arial Narrow" w:cs="Times New Roman"/>
                <w:sz w:val="20"/>
              </w:rPr>
            </w:pPr>
          </w:p>
          <w:p w:rsidR="009E697F" w:rsidRPr="005A7CDF" w:rsidP="009E697F">
            <w:pPr>
              <w:rPr>
                <w:rFonts w:ascii="Arial Narrow" w:hAnsi="Arial Narrow" w:cs="Times New Roman"/>
                <w:sz w:val="20"/>
              </w:rPr>
            </w:pPr>
            <w:r w:rsidRPr="005A7CDF">
              <w:rPr>
                <w:rFonts w:ascii="Arial Narrow" w:hAnsi="Arial Narrow" w:cs="Times New Roman"/>
                <w:sz w:val="20"/>
              </w:rPr>
              <w:t>pís.c)</w:t>
            </w:r>
          </w:p>
          <w:p w:rsidR="009E697F" w:rsidP="009E697F">
            <w:pPr>
              <w:rPr>
                <w:rFonts w:ascii="Arial Narrow" w:hAnsi="Arial Narrow" w:cs="Times New Roman"/>
                <w:sz w:val="20"/>
              </w:rPr>
            </w:pPr>
          </w:p>
          <w:p w:rsidR="009E697F" w:rsidP="009E697F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F81359" w:rsidRPr="005A7CDF" w:rsidP="009E697F">
            <w:pPr>
              <w:ind w:firstLine="142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5A7CDF" w:rsidR="009E697F">
              <w:rPr>
                <w:rFonts w:ascii="Arial Narrow" w:hAnsi="Arial Narrow" w:cs="Times New Roman"/>
                <w:b/>
                <w:sz w:val="20"/>
              </w:rPr>
              <w:t>§ 828a ods.2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E697F" w:rsidRPr="005A7CDF" w:rsidP="00E3727F">
            <w:pPr>
              <w:pStyle w:val="Point0"/>
              <w:spacing w:before="0" w:after="0"/>
              <w:ind w:left="0" w:right="114" w:firstLine="0"/>
              <w:rPr>
                <w:rFonts w:ascii="Arial Narrow" w:hAnsi="Arial Narrow" w:cs="Times New Roman"/>
                <w:sz w:val="20"/>
              </w:rPr>
            </w:pPr>
            <w:r w:rsidRPr="005A7CDF">
              <w:rPr>
                <w:rFonts w:ascii="Arial Narrow" w:hAnsi="Arial Narrow" w:cs="Times New Roman"/>
                <w:sz w:val="20"/>
              </w:rPr>
              <w:t>Pri vyporiadaní nárokov z poistenia právnej ochrany vrátane právneho poradenstva v tomto poistnom odvetví musí poisťovňa, poisťovňa z iného členského štátu alebo zahraničná poisťovňa zabezpečiť, aby</w:t>
            </w:r>
          </w:p>
          <w:p w:rsidR="009E697F" w:rsidRPr="005A7CDF" w:rsidP="00E3727F">
            <w:pPr>
              <w:pStyle w:val="BodyText"/>
              <w:rPr>
                <w:rFonts w:ascii="Arial Narrow" w:hAnsi="Arial Narrow" w:cs="Times New Roman"/>
                <w:bCs/>
                <w:sz w:val="20"/>
              </w:rPr>
            </w:pPr>
            <w:r w:rsidRPr="005A7CDF">
              <w:rPr>
                <w:rFonts w:ascii="Arial Narrow" w:hAnsi="Arial Narrow" w:cs="Times New Roman"/>
                <w:bCs/>
                <w:sz w:val="20"/>
              </w:rPr>
              <w:t xml:space="preserve"> poistná zmluva obsahovala právo poisteného na </w:t>
            </w:r>
            <w:r w:rsidR="00C31FB0">
              <w:rPr>
                <w:rFonts w:ascii="Arial Narrow" w:hAnsi="Arial Narrow" w:cs="Times New Roman"/>
                <w:bCs/>
                <w:sz w:val="20"/>
              </w:rPr>
              <w:t xml:space="preserve">slobodný </w:t>
            </w:r>
            <w:r w:rsidRPr="005A7CDF">
              <w:rPr>
                <w:rFonts w:ascii="Arial Narrow" w:hAnsi="Arial Narrow" w:cs="Times New Roman"/>
                <w:bCs/>
                <w:sz w:val="20"/>
              </w:rPr>
              <w:t>výber právneho zástupcu pri ochrane jeho práv.</w:t>
            </w:r>
          </w:p>
          <w:p w:rsidR="009E697F" w:rsidRPr="008053CD" w:rsidP="00E3727F">
            <w:pPr>
              <w:pStyle w:val="Point0"/>
              <w:spacing w:before="0" w:after="0"/>
              <w:ind w:left="0" w:right="114" w:firstLine="0"/>
              <w:rPr>
                <w:rFonts w:ascii="Arial Narrow" w:hAnsi="Arial Narrow" w:cs="Times New Roman"/>
                <w:sz w:val="20"/>
              </w:rPr>
            </w:pPr>
          </w:p>
          <w:p w:rsidR="007A107D" w:rsidRPr="005A7CDF" w:rsidP="00E3727F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5A7CDF" w:rsidR="009E697F">
              <w:rPr>
                <w:rFonts w:ascii="Arial Narrow" w:hAnsi="Arial Narrow" w:cs="Times New Roman"/>
                <w:b/>
                <w:sz w:val="20"/>
              </w:rPr>
              <w:t>Poistná zmluva nemôže obmedziť poisteného v práve výberu svojho právneho zástupcu pri jeho zastupovaní a pri ochrane jeho práv.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RPr="00DF5FD8" w:rsidP="0032565D">
            <w:pPr>
              <w:rPr>
                <w:rFonts w:ascii="Arial Narrow" w:hAnsi="Arial Narrow" w:cs="Times New Roman"/>
                <w:sz w:val="20"/>
              </w:rPr>
            </w:pPr>
            <w:r w:rsidR="005008DE">
              <w:rPr>
                <w:rFonts w:ascii="Arial Narrow" w:hAnsi="Arial Narrow" w:cs="Times New Roman"/>
                <w:sz w:val="20"/>
              </w:rPr>
              <w:t>Ú</w:t>
            </w:r>
          </w:p>
          <w:p w:rsidR="00361BDC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RPr="00DF5FD8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9E697F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9E697F" w:rsidRPr="009E697F" w:rsidP="005A7CDF">
            <w:pPr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 xml:space="preserve">§ 2 ods.1 z.č. 586/2001 Z.z. </w:t>
            </w:r>
            <w:r w:rsidRPr="009E697F">
              <w:rPr>
                <w:rFonts w:ascii="Arial Narrow" w:hAnsi="Arial Narrow" w:cs="Times New Roman"/>
                <w:sz w:val="20"/>
              </w:rPr>
              <w:t>o advokácii a o zmene a doplnení zákona č. 455/1991 Zb. o živnostenskom podnikaní (živnostenský zákon) v znení neskorších predpisov</w:t>
            </w:r>
            <w:r w:rsidR="00320481">
              <w:rPr>
                <w:rFonts w:ascii="Arial Narrow" w:hAnsi="Arial Narrow" w:cs="Times New Roman"/>
                <w:sz w:val="20"/>
              </w:rPr>
              <w:t xml:space="preserve"> v znení neskorších predpisov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DF5FD8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>Čl.5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F5FD8" w:rsidRPr="00E120BD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E120BD">
              <w:rPr>
                <w:rFonts w:ascii="Arial Narrow" w:hAnsi="Arial Narrow" w:cs="EUAlbertina-Regular-Identity-H"/>
                <w:sz w:val="20"/>
              </w:rPr>
              <w:t>1. Každý členský štát môže poskytnúť výnimku z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> </w:t>
            </w:r>
            <w:r w:rsidRPr="00E120BD">
              <w:rPr>
                <w:rFonts w:ascii="Arial Narrow" w:hAnsi="Arial Narrow" w:cs="EUAlbertina-Regular-Identity-H"/>
                <w:sz w:val="20"/>
              </w:rPr>
              <w:t>uplatňovania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článku 4 ods. 1 pre poistenie právnej ochrany, ak sú splnené tieto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podmienky:</w:t>
            </w:r>
          </w:p>
          <w:p w:rsidR="00DF5FD8" w:rsidRPr="00E120BD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E120BD">
              <w:rPr>
                <w:rFonts w:ascii="Arial Narrow" w:hAnsi="Arial Narrow" w:cs="EUAlbertina-Regular-Identity-H"/>
                <w:sz w:val="20"/>
              </w:rPr>
              <w:t>a) mpoistenie je obmedzené na prípady vznikajúce z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> </w:t>
            </w:r>
            <w:r w:rsidRPr="00E120BD">
              <w:rPr>
                <w:rFonts w:ascii="Arial Narrow" w:hAnsi="Arial Narrow" w:cs="EUAlbertina-Regular-Identity-H"/>
                <w:sz w:val="20"/>
              </w:rPr>
              <w:t>používania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cestných vozidiel na území daného členského štátu;</w:t>
            </w:r>
          </w:p>
          <w:p w:rsidR="00DF5FD8" w:rsidRPr="00E120BD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E120BD">
              <w:rPr>
                <w:rFonts w:ascii="Arial Narrow" w:hAnsi="Arial Narrow" w:cs="EUAlbertina-Regular-Identity-H"/>
                <w:sz w:val="20"/>
              </w:rPr>
              <w:t>b) poistenie je spojené so zmluvou o poskytovaní pomoci v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> </w:t>
            </w:r>
            <w:r w:rsidRPr="00E120BD">
              <w:rPr>
                <w:rFonts w:ascii="Arial Narrow" w:hAnsi="Arial Narrow" w:cs="EUAlbertina-Regular-Identity-H"/>
                <w:sz w:val="20"/>
              </w:rPr>
              <w:t>prípade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nehody alebo poruchy týkajúcej sa cestného vozidla;</w:t>
            </w:r>
          </w:p>
          <w:p w:rsidR="006412FC" w:rsidRPr="00E120BD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E120BD" w:rsidR="00DF5FD8">
              <w:rPr>
                <w:rFonts w:ascii="Arial Narrow" w:hAnsi="Arial Narrow" w:cs="EUAlbertina-Regular-Identity-H"/>
                <w:sz w:val="20"/>
              </w:rPr>
              <w:t>c) ani poisťovateľ právnej ochrany ani poisťovateľ poskytovania</w:t>
            </w:r>
            <w:r w:rsidRPr="00E120BD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 w:rsidR="00DF5FD8">
              <w:rPr>
                <w:rFonts w:ascii="Arial Narrow" w:hAnsi="Arial Narrow" w:cs="EUAlbertina-Regular-Identity-H"/>
                <w:sz w:val="20"/>
              </w:rPr>
              <w:t>pomoci nie je činný v žiadnom odvetví poistenia zodpovednosti;</w:t>
            </w:r>
            <w:r w:rsidRPr="00E120BD">
              <w:rPr>
                <w:rFonts w:ascii="Arial Narrow" w:hAnsi="Arial Narrow" w:cs="EUAlbertina-Regular-Identity-H"/>
                <w:sz w:val="20"/>
              </w:rPr>
              <w:t xml:space="preserve"> </w:t>
            </w:r>
          </w:p>
          <w:p w:rsidR="00DF5FD8" w:rsidRPr="00E120BD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E120BD">
              <w:rPr>
                <w:rFonts w:ascii="Arial Narrow" w:hAnsi="Arial Narrow" w:cs="EUAlbertina-Regular-Identity-H"/>
                <w:sz w:val="20"/>
              </w:rPr>
              <w:t>d) sú prijaté opatrenia, aby právne poradenstvo a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> </w:t>
            </w:r>
            <w:r w:rsidRPr="00E120BD">
              <w:rPr>
                <w:rFonts w:ascii="Arial Narrow" w:hAnsi="Arial Narrow" w:cs="EUAlbertina-Regular-Identity-H"/>
                <w:sz w:val="20"/>
              </w:rPr>
              <w:t>zastupovanie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každej strany v spore bolo realizované úplne nezávislými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právnikmi, keď tieto stany sú poistené na právnu ochranu rovnakým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poisťovateľom.</w:t>
            </w:r>
          </w:p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E120BD">
              <w:rPr>
                <w:rFonts w:ascii="Arial Narrow" w:hAnsi="Arial Narrow" w:cs="EUAlbertina-Regular-Identity-H"/>
                <w:sz w:val="20"/>
              </w:rPr>
              <w:t>2. Výnimka poskytnutá členským štátom poisťovni podľa odseku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1 neovplyvní uplatňovanie článku 3 ods. 2.</w:t>
            </w:r>
          </w:p>
          <w:p w:rsidR="00317F51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="00E215EC">
              <w:rPr>
                <w:rFonts w:ascii="Arial Narrow" w:hAnsi="Arial Narrow" w:cs="Times New Roman"/>
                <w:sz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RPr="00DF5FD8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103ED" w:rsidRPr="00DF5FD8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RPr="00DF5FD8" w:rsidP="0032565D">
            <w:pPr>
              <w:pStyle w:val="ManualNumPar1Char"/>
              <w:spacing w:before="0" w:after="0"/>
              <w:ind w:left="0" w:firstLine="0"/>
              <w:jc w:val="left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RPr="00DF5FD8" w:rsidP="00E120BD">
            <w:pPr>
              <w:rPr>
                <w:rFonts w:ascii="Arial Narrow" w:hAnsi="Arial Narrow" w:cs="Times New Roman"/>
                <w:sz w:val="20"/>
              </w:rPr>
            </w:pPr>
            <w:r w:rsidR="00E120BD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DF5FD8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>Čl.6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Členský štát prijme všetky vhodné opatrenia, aby zabezpečil, že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bez toho, aby tým bolo dotknuté právo obrátiť sa s</w:t>
            </w:r>
            <w:r w:rsidR="006412FC">
              <w:rPr>
                <w:rFonts w:ascii="Arial Narrow" w:hAnsi="Arial Narrow" w:cs="EUAlbertina-Regular-Identity-H"/>
                <w:sz w:val="20"/>
              </w:rPr>
              <w:t> </w:t>
            </w:r>
            <w:r w:rsidRPr="00DF5FD8">
              <w:rPr>
                <w:rFonts w:ascii="Arial Narrow" w:hAnsi="Arial Narrow" w:cs="EUAlbertina-Regular-Identity-H"/>
                <w:sz w:val="20"/>
              </w:rPr>
              <w:t>opravným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prostriedkom na súdny orgán, ktoré môže byť stanovené</w:t>
            </w:r>
          </w:p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vnútroštátnym právom, sa ustanoví arbitráž alebo iný postup,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ktorý poskytuje porovnateľné záruky objektívnosti, pričom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v prípade rozdielnosti názorov medzi poisťovateľom právnej</w:t>
            </w:r>
          </w:p>
          <w:p w:rsidR="006412FC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 w:rsidR="00DF5FD8">
              <w:rPr>
                <w:rFonts w:ascii="Arial Narrow" w:hAnsi="Arial Narrow" w:cs="EUAlbertina-Regular-Identity-H"/>
                <w:sz w:val="20"/>
              </w:rPr>
              <w:t>ochrany a jeho poisteným, umožní prijať rozhodnutie o postoji,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 w:rsidR="00DF5FD8">
              <w:rPr>
                <w:rFonts w:ascii="Arial Narrow" w:hAnsi="Arial Narrow" w:cs="EUAlbertina-Regular-Identity-H"/>
                <w:sz w:val="20"/>
              </w:rPr>
              <w:t>ktorý sa prijme s cieľom spor vyriešiť.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</w:p>
          <w:p w:rsidR="00987825" w:rsidRPr="00DF5FD8" w:rsidP="007F7944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DF5FD8" w:rsidR="00DF5FD8">
              <w:rPr>
                <w:rFonts w:ascii="Arial Narrow" w:hAnsi="Arial Narrow" w:cs="EUAlbertina-Regular-Identity-H"/>
                <w:sz w:val="20"/>
              </w:rPr>
              <w:t>V zmluve o poistení musí byť uvedené právo poistenej osoby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 w:rsidR="00DF5FD8">
              <w:rPr>
                <w:rFonts w:ascii="Arial Narrow" w:hAnsi="Arial Narrow" w:cs="EUAlbertina-Regular-Identity-H"/>
                <w:sz w:val="20"/>
              </w:rPr>
              <w:t>využiť takýto postup.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47A33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53CD" w:rsidRPr="005A7CDF" w:rsidP="008053CD">
            <w:pPr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5A7CDF">
              <w:rPr>
                <w:rFonts w:ascii="Arial Narrow" w:hAnsi="Arial Narrow" w:cs="Times New Roman"/>
                <w:b/>
                <w:sz w:val="20"/>
              </w:rPr>
              <w:t>40/</w:t>
            </w:r>
          </w:p>
          <w:p w:rsidR="00B47A33" w:rsidRPr="005A7CDF" w:rsidP="008053CD">
            <w:pPr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5A7CDF" w:rsidR="008053CD">
              <w:rPr>
                <w:rFonts w:ascii="Arial Narrow" w:hAnsi="Arial Narrow" w:cs="Times New Roman"/>
                <w:b/>
                <w:sz w:val="20"/>
              </w:rPr>
              <w:t>1964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47A33" w:rsidRPr="005A7CDF" w:rsidP="0032565D">
            <w:pPr>
              <w:rPr>
                <w:rFonts w:ascii="Arial Narrow" w:hAnsi="Arial Narrow" w:cs="Times New Roman"/>
                <w:b/>
                <w:bCs/>
                <w:sz w:val="20"/>
              </w:rPr>
            </w:pPr>
            <w:r w:rsidRPr="005A7CDF" w:rsidR="008053CD">
              <w:rPr>
                <w:rFonts w:ascii="Arial Narrow" w:hAnsi="Arial Narrow" w:cs="Times New Roman"/>
                <w:b/>
                <w:bCs/>
                <w:sz w:val="20"/>
              </w:rPr>
              <w:t>§ 828a ods.3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47A33" w:rsidRPr="005A7CDF" w:rsidP="00E3727F">
            <w:pPr>
              <w:pStyle w:val="Text1CharChar"/>
              <w:spacing w:before="0" w:after="0"/>
              <w:ind w:left="0"/>
              <w:rPr>
                <w:rFonts w:ascii="Arial Narrow" w:hAnsi="Arial Narrow" w:cs="Times New Roman"/>
                <w:b/>
                <w:sz w:val="20"/>
                <w:szCs w:val="20"/>
                <w:lang w:val="sk-SK"/>
              </w:rPr>
            </w:pPr>
            <w:r w:rsidRPr="005A7CDF" w:rsidR="008053CD">
              <w:rPr>
                <w:rFonts w:ascii="Arial Narrow" w:hAnsi="Arial Narrow" w:cs="Times New Roman"/>
                <w:b/>
                <w:sz w:val="20"/>
                <w:szCs w:val="20"/>
                <w:lang w:val="sk-SK"/>
              </w:rPr>
              <w:t>Poisťovateľ je povinný uzavrieť rozhodcovskú zmluvu podľa osobitného predpisu na riešenie sporov vyplývajúcich z poistenia právnej ochrany, ak ten, kto s poisťovateľom poistnú zmluvu uzaviera, pri uzavretí poistnej zmluvy o to požiada. Údaj o uzavretí rozhodcovskej zmluvy podľa prvej vety sa uvedie v poistnej zmluve o poistení právnej ochrany. Ak vznikne spor vyplývajúci z poistenia právnej ochrany, poisťovateľ je povinný informovať poisteného o jeho práve podľa odseku 2 a o možnosti riešiť spor v rozhodcovskom konaní.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47A33" w:rsidRPr="00DF5FD8" w:rsidP="0032565D">
            <w:pPr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>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DF5FD8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>Čl.7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F5FD8" w:rsidRPr="00E120BD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E120BD">
              <w:rPr>
                <w:rFonts w:ascii="Arial Narrow" w:hAnsi="Arial Narrow" w:cs="EUAlbertina-Regular-Identity-H"/>
                <w:sz w:val="20"/>
              </w:rPr>
              <w:t>V prípade konfliktu záujmov alebo nezhody o spôsobe urovnania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sporu poisťovateľ právnej ochrany alebo podľa potreby úrad</w:t>
            </w:r>
            <w:r w:rsidRPr="00E120BD"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E120BD">
              <w:rPr>
                <w:rFonts w:ascii="Arial Narrow" w:hAnsi="Arial Narrow" w:cs="EUAlbertina-Regular-Identity-H"/>
                <w:sz w:val="20"/>
              </w:rPr>
              <w:t>pre vysporiadanie škôd bude informovať poistenú osobu o</w:t>
            </w:r>
          </w:p>
          <w:p w:rsidR="00DF5FD8" w:rsidRPr="00E120BD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E120BD">
              <w:rPr>
                <w:rFonts w:ascii="Arial Narrow" w:hAnsi="Arial Narrow" w:cs="EUAlbertina-Regular-Identity-H"/>
                <w:sz w:val="20"/>
              </w:rPr>
              <w:t>— práve uvedenom v článku 4,</w:t>
            </w:r>
          </w:p>
          <w:p w:rsidR="00065426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E120BD" w:rsidR="00DF5FD8">
              <w:rPr>
                <w:rFonts w:ascii="Arial Narrow" w:hAnsi="Arial Narrow" w:cs="EUAlbertina-Regular-Identity-H"/>
                <w:sz w:val="20"/>
              </w:rPr>
              <w:t>— možnosti využiť postup uvedený v článku 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7356B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5754A" w:rsidRPr="00DF5FD8" w:rsidP="0032565D">
            <w:pPr>
              <w:rPr>
                <w:rFonts w:ascii="Arial Narrow" w:hAnsi="Arial Narrow" w:cs="Times New Roman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120BD" w:rsidRPr="005A7CDF" w:rsidP="005A7CDF">
            <w:pPr>
              <w:rPr>
                <w:rFonts w:ascii="Arial Narrow" w:hAnsi="Arial Narrow" w:cs="Times New Roman"/>
                <w:sz w:val="20"/>
              </w:rPr>
            </w:pPr>
            <w:r w:rsidRPr="005A7CDF">
              <w:rPr>
                <w:rFonts w:ascii="Arial Narrow" w:hAnsi="Arial Narrow" w:cs="Times New Roman"/>
                <w:sz w:val="20"/>
              </w:rPr>
              <w:t xml:space="preserve">§ 88 ods.1 </w:t>
            </w:r>
          </w:p>
          <w:p w:rsidR="00E120BD" w:rsidRPr="005A7CDF" w:rsidP="005A7CDF">
            <w:pPr>
              <w:rPr>
                <w:rFonts w:ascii="Arial Narrow" w:hAnsi="Arial Narrow" w:cs="Times New Roman"/>
                <w:sz w:val="20"/>
              </w:rPr>
            </w:pPr>
          </w:p>
          <w:p w:rsidR="00E120BD" w:rsidRPr="005A7CDF" w:rsidP="005A7CDF">
            <w:pPr>
              <w:rPr>
                <w:rFonts w:ascii="Arial Narrow" w:hAnsi="Arial Narrow" w:cs="Times New Roman"/>
                <w:sz w:val="20"/>
              </w:rPr>
            </w:pPr>
          </w:p>
          <w:p w:rsidR="00E5754A" w:rsidRPr="005A7CDF" w:rsidP="005A7CDF">
            <w:pPr>
              <w:pStyle w:val="FootnoteText"/>
              <w:overflowPunct/>
              <w:adjustRightInd/>
              <w:textAlignment w:val="auto"/>
              <w:rPr>
                <w:rFonts w:ascii="Arial Narrow" w:hAnsi="Arial Narrow" w:cs="Times New Roman"/>
                <w:lang w:val="sk-SK"/>
              </w:rPr>
            </w:pPr>
            <w:r w:rsidRPr="005A7CDF" w:rsidR="00E120BD">
              <w:rPr>
                <w:rFonts w:ascii="Arial Narrow" w:hAnsi="Arial Narrow" w:cs="Times New Roman"/>
              </w:rPr>
              <w:t>pís.c)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120BD" w:rsidRPr="005A7CDF" w:rsidP="005A7CDF">
            <w:pPr>
              <w:pStyle w:val="Point0"/>
              <w:spacing w:before="0" w:after="0"/>
              <w:ind w:left="0" w:right="114" w:firstLine="0"/>
              <w:rPr>
                <w:rFonts w:ascii="Arial Narrow" w:hAnsi="Arial Narrow" w:cs="Times New Roman"/>
                <w:sz w:val="20"/>
              </w:rPr>
            </w:pPr>
            <w:r w:rsidRPr="005A7CDF">
              <w:rPr>
                <w:rFonts w:ascii="Arial Narrow" w:hAnsi="Arial Narrow" w:cs="Times New Roman"/>
                <w:sz w:val="20"/>
              </w:rPr>
              <w:t>Pri vyporiadaní nárokov z poistenia právnej ochrany vrátane právneho poradenstva v tomto poistnom odvetví musí poisťovňa, poisťovňa z iného členského štátu alebo zahraničná poisťovňa zabezpečiť, aby</w:t>
            </w:r>
          </w:p>
          <w:p w:rsidR="00E5754A" w:rsidRPr="005A7CDF" w:rsidP="005A7CDF">
            <w:pPr>
              <w:jc w:val="both"/>
              <w:rPr>
                <w:rFonts w:ascii="Arial Narrow" w:hAnsi="Arial Narrow" w:cs="Times New Roman"/>
                <w:bCs/>
                <w:sz w:val="20"/>
              </w:rPr>
            </w:pPr>
            <w:r w:rsidRPr="005A7CDF" w:rsidR="00E120BD">
              <w:rPr>
                <w:rFonts w:ascii="Arial Narrow" w:hAnsi="Arial Narrow" w:cs="Times New Roman"/>
                <w:bCs/>
                <w:sz w:val="20"/>
              </w:rPr>
              <w:t xml:space="preserve"> poistná zmluva obsahovala právo poisteného na výber právneho zástupcu pri ochrane jeho práv.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="00E120BD">
              <w:rPr>
                <w:rFonts w:ascii="Arial Narrow" w:hAnsi="Arial Narrow" w:cs="Times New Roman"/>
                <w:sz w:val="20"/>
              </w:rPr>
              <w:t>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DF5FD8" w:rsidP="0032565D">
            <w:pPr>
              <w:pStyle w:val="FootnoteText"/>
              <w:overflowPunct/>
              <w:adjustRightInd/>
              <w:ind w:firstLine="142"/>
              <w:jc w:val="both"/>
              <w:textAlignment w:val="auto"/>
              <w:rPr>
                <w:rFonts w:ascii="Arial Narrow" w:hAnsi="Arial Narrow" w:cs="Times New Roman"/>
                <w:lang w:val="sk-SK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DF5FD8" w:rsidP="0032565D">
            <w:pPr>
              <w:pStyle w:val="FootnoteText"/>
              <w:overflowPunct/>
              <w:adjustRightInd/>
              <w:ind w:firstLine="142"/>
              <w:jc w:val="both"/>
              <w:textAlignment w:val="auto"/>
              <w:rPr>
                <w:rFonts w:ascii="Arial Narrow" w:hAnsi="Arial Narrow" w:cs="Times New Roman"/>
                <w:lang w:val="sk-SK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DF5FD8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>Čl.8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Členské štáty zrušia všetky ustanovenia, ktoré zakazujú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poisťovateľovi vykonávať na svojom území poistenie právnej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ochrany a iné poistné odvetví súčasne.</w:t>
            </w:r>
          </w:p>
          <w:p w:rsidR="00D1040A" w:rsidRPr="00DF5FD8" w:rsidP="0032565D">
            <w:pPr>
              <w:ind w:firstLine="142"/>
              <w:rPr>
                <w:rFonts w:ascii="Arial Narrow" w:hAnsi="Arial Narrow" w:cs="Times New Roman"/>
                <w:b w:val="0"/>
                <w:noProof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12CDA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5754A" w:rsidRPr="00DF5FD8" w:rsidP="0032565D">
            <w:pPr>
              <w:rPr>
                <w:rFonts w:ascii="Arial Narrow" w:hAnsi="Arial Narrow" w:cs="Times New Roman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12CDA" w:rsidRPr="00DF5FD8" w:rsidP="0032565D"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lang w:val="sk-SK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12CDA" w:rsidRPr="00DF5FD8" w:rsidP="0032565D">
            <w:pPr>
              <w:pStyle w:val="BodyText"/>
              <w:jc w:val="left"/>
              <w:rPr>
                <w:rFonts w:ascii="Arial Narrow" w:hAnsi="Arial Narrow" w:cs="Times New Roman"/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12CDA" w:rsidRPr="00DF5FD8" w:rsidP="00E120BD">
            <w:pPr>
              <w:rPr>
                <w:rFonts w:ascii="Arial Narrow" w:hAnsi="Arial Narrow" w:cs="Times New Roman"/>
                <w:sz w:val="20"/>
              </w:rPr>
            </w:pPr>
            <w:r w:rsidR="00E120BD">
              <w:rPr>
                <w:rFonts w:ascii="Arial Narrow" w:hAnsi="Arial Narrow" w:cs="Times New Roman"/>
                <w:sz w:val="20"/>
              </w:rPr>
              <w:t xml:space="preserve"> </w:t>
            </w:r>
            <w:r w:rsidRPr="00DF5FD8">
              <w:rPr>
                <w:rFonts w:ascii="Arial Narrow" w:hAnsi="Arial Narrow" w:cs="Times New Roman"/>
                <w:sz w:val="20"/>
              </w:rPr>
              <w:t>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DF5FD8" w:rsidP="005A7CDF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="00E215EC">
              <w:rPr>
                <w:rFonts w:ascii="Arial Narrow" w:hAnsi="Arial Narrow" w:cs="Times New Roman"/>
                <w:sz w:val="20"/>
              </w:rPr>
              <w:t>SR nezádza takéto opatrenia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DF5FD8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>Čl.9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Druhý pododsek písmena C prílohy k smernici 73/239/EHS znie:</w:t>
            </w:r>
          </w:p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„Riziká zahrnuté do odvetví 14, 15 a 17 v bode A sa nesmú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považovať za doplnkové riziká iných odvetví.</w:t>
            </w:r>
          </w:p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Napriek tomu riziko zahrnuté do odvetvia 17 (poistenie právnej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ochrany) možno považovať za doplnkové riziko odvetvia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18, ak sú splnené podmienky stanovené v prvom pododseku,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ak sa hlavné riziko týka výlučne pomoci poskytovanej osobám,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ktoré sa dostali do ťažkostí pri cestovaní, keď sú mimo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domova alebo keď sú mimo svojho trvalého bydliska.</w:t>
            </w:r>
          </w:p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Poistenie právnej ochrany možno považovať tiež za doplnkové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riziko podľa podmienok stanovených v prvom pododseku,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ktorý sa týka sporov alebo rizík vznikajúcich z používania</w:t>
            </w:r>
          </w:p>
          <w:p w:rsidR="00D1040A" w:rsidRPr="006412FC" w:rsidP="006412FC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6412FC" w:rsidR="00DF5FD8">
              <w:rPr>
                <w:rFonts w:ascii="Arial Narrow" w:hAnsi="Arial Narrow" w:cs="Times New Roman"/>
                <w:sz w:val="20"/>
              </w:rPr>
              <w:t>námorných plavidiel alebo v súvislosti s ním.“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067AD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29A0" w:rsidRPr="00DF5FD8" w:rsidP="0032565D">
            <w:pPr>
              <w:rPr>
                <w:rFonts w:ascii="Arial Narrow" w:hAnsi="Arial Narrow" w:cs="Times New Roman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812BE" w:rsidRPr="00DF5FD8" w:rsidP="0032565D">
            <w:pPr>
              <w:pStyle w:val="BodyText3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29A0" w:rsidRPr="00DF5FD8" w:rsidP="0032565D">
            <w:pPr>
              <w:ind w:firstLine="142"/>
              <w:rPr>
                <w:rFonts w:ascii="Arial Narrow" w:hAnsi="Arial Narrow" w:cs="Times New Roman"/>
                <w:sz w:val="20"/>
                <w:lang w:eastAsia="ko-K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067AD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>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631D51" w:rsidRPr="005A7CDF" w:rsidP="0032565D">
            <w:pPr>
              <w:rPr>
                <w:rFonts w:ascii="Arial Narrow" w:hAnsi="Arial Narrow" w:cs="Times New Roman"/>
                <w:sz w:val="20"/>
              </w:rPr>
            </w:pPr>
            <w:r w:rsidRPr="005A7CDF" w:rsidR="0007498F">
              <w:rPr>
                <w:rFonts w:ascii="Arial Narrow" w:hAnsi="Arial Narrow" w:cs="Times New Roman"/>
                <w:sz w:val="20"/>
              </w:rPr>
              <w:t>Uvedené v ú</w:t>
            </w:r>
            <w:r w:rsidRPr="005A7CDF" w:rsidR="00E215EC">
              <w:rPr>
                <w:rFonts w:ascii="Arial Narrow" w:hAnsi="Arial Narrow" w:cs="Times New Roman"/>
                <w:sz w:val="20"/>
              </w:rPr>
              <w:t>plnom znení smer. 73/239/EHS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DF5FD8" w:rsidP="0032565D">
            <w:pPr>
              <w:ind w:right="-70"/>
              <w:jc w:val="both"/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 xml:space="preserve">Čl. </w:t>
            </w:r>
            <w:r w:rsidRPr="00DF5FD8" w:rsidR="00192925">
              <w:rPr>
                <w:rFonts w:ascii="Arial Narrow" w:hAnsi="Arial Narrow" w:cs="Times New Roman"/>
                <w:sz w:val="20"/>
              </w:rPr>
              <w:t>1</w:t>
            </w:r>
            <w:r w:rsidRPr="00DF5FD8">
              <w:rPr>
                <w:rFonts w:ascii="Arial Narrow" w:hAnsi="Arial Narrow" w:cs="Times New Roman"/>
                <w:sz w:val="20"/>
              </w:rPr>
              <w:t>0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Členské štáty prijmú opatrenia potrebné na dosiahnutie súladu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s touto smernicou k 1. januáru 1990. Bezodkladne o</w:t>
            </w:r>
            <w:r w:rsidR="006412FC">
              <w:rPr>
                <w:rFonts w:ascii="Arial Narrow" w:hAnsi="Arial Narrow" w:cs="EUAlbertina-Regular-Identity-H"/>
                <w:sz w:val="20"/>
              </w:rPr>
              <w:t> </w:t>
            </w:r>
            <w:r w:rsidRPr="00DF5FD8">
              <w:rPr>
                <w:rFonts w:ascii="Arial Narrow" w:hAnsi="Arial Narrow" w:cs="EUAlbertina-Regular-Identity-H"/>
                <w:sz w:val="20"/>
              </w:rPr>
              <w:t>tom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>
              <w:rPr>
                <w:rFonts w:ascii="Arial Narrow" w:hAnsi="Arial Narrow" w:cs="EUAlbertina-Regular-Identity-H"/>
                <w:sz w:val="20"/>
              </w:rPr>
              <w:t>informujú Komisiu.</w:t>
            </w:r>
          </w:p>
          <w:p w:rsidR="00D1040A" w:rsidRPr="00DF5FD8" w:rsidP="00E215EC">
            <w:pPr>
              <w:rPr>
                <w:rFonts w:ascii="Arial Narrow" w:hAnsi="Arial Narrow" w:cs="Times New Roman"/>
                <w:sz w:val="20"/>
              </w:rPr>
            </w:pPr>
            <w:r w:rsidRPr="00DF5FD8" w:rsidR="00DF5FD8">
              <w:rPr>
                <w:rFonts w:ascii="Arial Narrow" w:hAnsi="Arial Narrow" w:cs="EUAlbertina-Regular-Identity-H"/>
                <w:sz w:val="20"/>
              </w:rPr>
              <w:t>Tieto opatrenia budú uplatňovať najneskôr od 1. júla 1990.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64A87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="00E215EC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6330" w:rsidRPr="00DF5FD8" w:rsidP="0032565D">
            <w:pPr>
              <w:pStyle w:val="FootnoteText"/>
              <w:overflowPunct/>
              <w:adjustRightInd/>
              <w:textAlignment w:val="auto"/>
              <w:rPr>
                <w:rFonts w:ascii="Arial Narrow" w:hAnsi="Arial Narrow" w:cs="Times New Roman"/>
                <w:lang w:val="sk-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6330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6330" w:rsidRPr="00DF5FD8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DF5FD8" w:rsidP="00E215EC">
            <w:pPr>
              <w:pStyle w:val="FootnoteText"/>
              <w:overflowPunct/>
              <w:adjustRightInd/>
              <w:textAlignment w:val="auto"/>
              <w:rPr>
                <w:rFonts w:ascii="Arial Narrow" w:hAnsi="Arial Narrow" w:cs="Times New Roman"/>
                <w:lang w:val="sk-SK"/>
              </w:rPr>
            </w:pPr>
            <w:r w:rsidR="00E215EC">
              <w:rPr>
                <w:rFonts w:ascii="Arial Narrow" w:hAnsi="Arial Narrow" w:cs="Times New Roman"/>
                <w:lang w:val="sk-SK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5A7CDF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765F" w:rsidRPr="00DF5FD8" w:rsidP="0032565D">
            <w:pPr>
              <w:rPr>
                <w:rFonts w:ascii="Arial Narrow" w:hAnsi="Arial Narrow" w:cs="Times New Roman"/>
                <w:sz w:val="20"/>
              </w:rPr>
            </w:pPr>
            <w:r w:rsidRPr="00DF5FD8" w:rsidR="00D1040A">
              <w:rPr>
                <w:rFonts w:ascii="Arial Narrow" w:hAnsi="Arial Narrow" w:cs="Times New Roman"/>
                <w:sz w:val="20"/>
              </w:rPr>
              <w:t>Čl.</w:t>
            </w:r>
            <w:r w:rsidRPr="00DF5FD8">
              <w:rPr>
                <w:rFonts w:ascii="Arial Narrow" w:hAnsi="Arial Narrow" w:cs="Times New Roman"/>
                <w:sz w:val="20"/>
              </w:rPr>
              <w:t xml:space="preserve"> </w:t>
            </w:r>
          </w:p>
          <w:p w:rsidR="00D1040A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DF5FD8" w:rsidR="002B765F">
              <w:rPr>
                <w:rFonts w:ascii="Arial Narrow" w:hAnsi="Arial Narrow" w:cs="Times New Roman"/>
                <w:sz w:val="20"/>
              </w:rPr>
              <w:t>11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DF5FD8" w:rsidR="00DF5FD8">
              <w:rPr>
                <w:rFonts w:ascii="Arial Narrow" w:hAnsi="Arial Narrow" w:cs="EUAlbertina-Regular-Identity-H"/>
                <w:sz w:val="20"/>
              </w:rPr>
              <w:t>Po oznámení tejto smernice členské štáty oznámia Komisii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 w:rsidR="00DF5FD8">
              <w:rPr>
                <w:rFonts w:ascii="Arial Narrow" w:hAnsi="Arial Narrow" w:cs="EUAlbertina-Regular-Identity-H"/>
                <w:sz w:val="20"/>
              </w:rPr>
              <w:t>texty hlavných ustanovení vnútroštátnych právnych predpisov,</w:t>
            </w:r>
            <w:r w:rsidR="006412FC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F5FD8" w:rsidR="00DF5FD8">
              <w:rPr>
                <w:rFonts w:ascii="Arial Narrow" w:hAnsi="Arial Narrow" w:cs="EUAlbertina-Regular-Identity-H"/>
                <w:sz w:val="20"/>
              </w:rPr>
              <w:t>ktoré prijmú v oblasti upravenej touto smernicou.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64A87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64A87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64A87" w:rsidRPr="00DF5FD8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64A87" w:rsidRPr="00DF5FD8" w:rsidP="0032565D">
            <w:pPr>
              <w:pStyle w:val="FootnoteText"/>
              <w:overflowPunct/>
              <w:adjustRightInd/>
              <w:ind w:firstLine="142"/>
              <w:textAlignment w:val="auto"/>
              <w:rPr>
                <w:rFonts w:ascii="Arial Narrow" w:hAnsi="Arial Narrow" w:cs="Times New Roman"/>
                <w:lang w:val="sk-SK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64A87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64A87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DF5FD8">
              <w:rPr>
                <w:rFonts w:ascii="Arial Narrow" w:hAnsi="Arial Narrow" w:cs="Times New Roman"/>
                <w:sz w:val="20"/>
              </w:rPr>
              <w:t>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008DE" w:rsidRPr="005A7CDF" w:rsidP="005008DE">
            <w:pPr>
              <w:ind w:right="28"/>
              <w:rPr>
                <w:rFonts w:ascii="Arial Narrow" w:hAnsi="Arial Narrow" w:cs="Times New Roman"/>
                <w:sz w:val="20"/>
              </w:rPr>
            </w:pPr>
            <w:r w:rsidRPr="005A7CDF">
              <w:rPr>
                <w:rFonts w:ascii="Arial Narrow" w:hAnsi="Arial Narrow" w:cs="Times New Roman"/>
                <w:sz w:val="20"/>
              </w:rPr>
              <w:t>§ 35</w:t>
            </w:r>
          </w:p>
          <w:p w:rsidR="005008DE" w:rsidRPr="005A7CDF" w:rsidP="005008DE">
            <w:pPr>
              <w:ind w:right="28"/>
              <w:rPr>
                <w:rFonts w:ascii="Arial Narrow" w:hAnsi="Arial Narrow" w:cs="Times New Roman"/>
                <w:bCs/>
                <w:sz w:val="20"/>
              </w:rPr>
            </w:pPr>
            <w:r w:rsidRPr="005A7CDF">
              <w:rPr>
                <w:rFonts w:ascii="Arial Narrow" w:hAnsi="Arial Narrow" w:cs="Times New Roman"/>
                <w:sz w:val="20"/>
              </w:rPr>
              <w:t>ods.7</w:t>
            </w:r>
          </w:p>
          <w:p w:rsidR="005008DE" w:rsidRPr="005A7CDF" w:rsidP="005008DE">
            <w:pPr>
              <w:ind w:right="28"/>
              <w:rPr>
                <w:rFonts w:ascii="Arial Narrow" w:hAnsi="Arial Narrow" w:cs="Times New Roman"/>
                <w:sz w:val="20"/>
              </w:rPr>
            </w:pPr>
            <w:r w:rsidRPr="005A7CDF">
              <w:rPr>
                <w:rFonts w:ascii="Arial Narrow" w:hAnsi="Arial Narrow" w:cs="Times New Roman"/>
                <w:sz w:val="20"/>
              </w:rPr>
              <w:t>zákona č. 575/ 2001 Z.z.</w:t>
            </w:r>
          </w:p>
          <w:p w:rsidR="008F4F05" w:rsidRPr="005A7CDF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DF5FD8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DF5FD8" w:rsidR="00192925">
              <w:rPr>
                <w:rFonts w:ascii="Arial Narrow" w:hAnsi="Arial Narrow" w:cs="Times New Roman"/>
                <w:sz w:val="20"/>
              </w:rPr>
              <w:t>Čl.</w:t>
            </w:r>
            <w:r w:rsidRPr="00DF5FD8" w:rsidR="001F4EB8">
              <w:rPr>
                <w:rFonts w:ascii="Arial Narrow" w:hAnsi="Arial Narrow" w:cs="Times New Roman"/>
                <w:sz w:val="20"/>
              </w:rPr>
              <w:t xml:space="preserve"> </w:t>
            </w:r>
            <w:r w:rsidRPr="00DF5FD8">
              <w:rPr>
                <w:rFonts w:ascii="Arial Narrow" w:hAnsi="Arial Narrow" w:cs="Times New Roman"/>
                <w:sz w:val="20"/>
              </w:rPr>
              <w:t>12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Táto smernica je adresovaná členským štátom.</w:t>
            </w:r>
          </w:p>
          <w:p w:rsidR="00DF5FD8" w:rsidRPr="00DF5FD8" w:rsidP="00DF5FD8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DF5FD8">
              <w:rPr>
                <w:rFonts w:ascii="Arial Narrow" w:hAnsi="Arial Narrow" w:cs="EUAlbertina-Regular-Identity-H"/>
                <w:sz w:val="20"/>
              </w:rPr>
              <w:t>V Luxemburgu 22. júna 1987</w:t>
            </w:r>
          </w:p>
          <w:p w:rsidR="00DF5FD8" w:rsidRPr="00DF5FD8" w:rsidP="00DF5FD8">
            <w:pPr>
              <w:autoSpaceDE/>
              <w:autoSpaceDN/>
              <w:rPr>
                <w:rFonts w:ascii="Arial Narrow" w:hAnsi="Arial Narrow" w:cs="EUAlbertina-Italic-Identity-H"/>
                <w:i/>
                <w:iCs/>
                <w:sz w:val="20"/>
              </w:rPr>
            </w:pPr>
            <w:r w:rsidRPr="00DF5FD8">
              <w:rPr>
                <w:rFonts w:ascii="Arial Narrow" w:hAnsi="Arial Narrow" w:cs="EUAlbertina-Italic-Identity-H"/>
                <w:i/>
                <w:iCs/>
                <w:sz w:val="20"/>
              </w:rPr>
              <w:t>Za Radu</w:t>
            </w:r>
          </w:p>
          <w:p w:rsidR="00DF5FD8" w:rsidRPr="00DF5FD8" w:rsidP="00DF5FD8">
            <w:pPr>
              <w:autoSpaceDE/>
              <w:autoSpaceDN/>
              <w:rPr>
                <w:rFonts w:ascii="Arial Narrow" w:hAnsi="Arial Narrow" w:cs="EUAlbertina-Italic-Identity-H"/>
                <w:i/>
                <w:iCs/>
                <w:sz w:val="20"/>
              </w:rPr>
            </w:pPr>
            <w:r w:rsidRPr="00DF5FD8">
              <w:rPr>
                <w:rFonts w:ascii="Arial Narrow" w:hAnsi="Arial Narrow" w:cs="EUAlbertina-Italic-Identity-H"/>
                <w:i/>
                <w:iCs/>
                <w:sz w:val="20"/>
              </w:rPr>
              <w:t>predseda</w:t>
            </w:r>
          </w:p>
          <w:p w:rsidR="00D1040A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DF5FD8" w:rsidR="00DF5FD8">
              <w:rPr>
                <w:rFonts w:ascii="Arial Narrow" w:hAnsi="Arial Narrow" w:cs="EUAlbertina-Regular-Identity-H"/>
                <w:sz w:val="20"/>
              </w:rPr>
              <w:t>L. TINDEMANS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64A87" w:rsidRPr="00DF5FD8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="00E215EC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64A87" w:rsidRPr="00DF5FD8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E2D8B" w:rsidRPr="00DF5FD8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72A97" w:rsidRPr="00DF5FD8" w:rsidP="0032565D">
            <w:pPr>
              <w:pStyle w:val="Point1"/>
              <w:spacing w:before="0" w:after="0"/>
              <w:ind w:left="360" w:hanging="36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E2D8B" w:rsidRPr="00DF5FD8" w:rsidP="00E215EC">
            <w:pPr>
              <w:rPr>
                <w:rFonts w:ascii="Arial Narrow" w:hAnsi="Arial Narrow" w:cs="Times New Roman"/>
                <w:sz w:val="20"/>
              </w:rPr>
            </w:pPr>
            <w:r w:rsidR="00E215EC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DF5FD8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</w:tbl>
    <w:p w:rsidR="005B0AA3" w:rsidRPr="00DF5FD8" w:rsidP="00A04D35">
      <w:pPr>
        <w:ind w:firstLine="142"/>
        <w:rPr>
          <w:rFonts w:ascii="Arial Narrow" w:hAnsi="Arial Narrow" w:cs="Times New Roman"/>
          <w:sz w:val="20"/>
        </w:rPr>
      </w:pPr>
    </w:p>
    <w:sectPr>
      <w:footerReference w:type="even" r:id="rId4"/>
      <w:footerReference w:type="default" r:id="rId5"/>
      <w:pgSz w:w="16840" w:h="11907" w:orient="landscape" w:code="9"/>
      <w:pgMar w:top="510" w:right="397" w:bottom="510" w:left="510" w:header="284" w:footer="284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EUAlbertina-Bold-Identity-H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Albertina-Regular-Identity-H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EUAlbertina-Italic-Identity-H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7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E3727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7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04160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E3727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5F9"/>
    <w:multiLevelType w:val="hybridMultilevel"/>
    <w:tmpl w:val="2EC0097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50474"/>
    <w:multiLevelType w:val="hybridMultilevel"/>
    <w:tmpl w:val="129892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0575FA"/>
    <w:multiLevelType w:val="hybridMultilevel"/>
    <w:tmpl w:val="D654E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A6A18"/>
    <w:multiLevelType w:val="hybridMultilevel"/>
    <w:tmpl w:val="D49E645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0D02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695370"/>
    <w:multiLevelType w:val="hybridMultilevel"/>
    <w:tmpl w:val="8F16D67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EA34C8"/>
    <w:multiLevelType w:val="hybridMultilevel"/>
    <w:tmpl w:val="617E8A50"/>
    <w:lvl w:ilvl="0">
      <w:start w:val="1"/>
      <w:numFmt w:val="lowerRoman"/>
      <w:lvlText w:val="(%1)"/>
      <w:lvlJc w:val="left"/>
      <w:pPr>
        <w:tabs>
          <w:tab w:val="num" w:pos="1854"/>
        </w:tabs>
        <w:ind w:left="1701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Roman"/>
      <w:lvlText w:val="(%7)"/>
      <w:lvlJc w:val="left"/>
      <w:pPr>
        <w:tabs>
          <w:tab w:val="num" w:pos="1854"/>
        </w:tabs>
        <w:ind w:left="1701" w:hanging="567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702E3C"/>
    <w:multiLevelType w:val="hybridMultilevel"/>
    <w:tmpl w:val="C38C542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70073B"/>
    <w:multiLevelType w:val="hybridMultilevel"/>
    <w:tmpl w:val="7B12F6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805511"/>
    <w:multiLevelType w:val="multilevel"/>
    <w:tmpl w:val="5D90EFC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11">
    <w:nsid w:val="0B92085E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</w:abstractNum>
  <w:abstractNum w:abstractNumId="12">
    <w:nsid w:val="0E712EA7"/>
    <w:multiLevelType w:val="hybridMultilevel"/>
    <w:tmpl w:val="055C118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432DC9"/>
    <w:multiLevelType w:val="hybridMultilevel"/>
    <w:tmpl w:val="75C8D98E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7F27E1"/>
    <w:multiLevelType w:val="hybridMultilevel"/>
    <w:tmpl w:val="3E9AF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F83549E"/>
    <w:multiLevelType w:val="hybridMultilevel"/>
    <w:tmpl w:val="D90636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EC7AE2"/>
    <w:multiLevelType w:val="hybridMultilevel"/>
    <w:tmpl w:val="1638E6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263EE0"/>
    <w:multiLevelType w:val="hybridMultilevel"/>
    <w:tmpl w:val="6BA64348"/>
    <w:lvl w:ilvl="0">
      <w:start w:val="1"/>
      <w:numFmt w:val="lowerRoman"/>
      <w:lvlText w:val="(%1)"/>
      <w:lvlJc w:val="left"/>
      <w:pPr>
        <w:tabs>
          <w:tab w:val="num" w:pos="1287"/>
        </w:tabs>
        <w:ind w:left="1134" w:hanging="567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lowerRoman"/>
      <w:lvlText w:val="(%4)"/>
      <w:lvlJc w:val="left"/>
      <w:pPr>
        <w:tabs>
          <w:tab w:val="num" w:pos="1287"/>
        </w:tabs>
        <w:ind w:left="1134" w:hanging="567"/>
      </w:pPr>
    </w:lvl>
    <w:lvl w:ilvl="4">
      <w:start w:val="1"/>
      <w:numFmt w:val="lowerLetter"/>
      <w:lvlText w:val="(%5)"/>
      <w:lvlJc w:val="left"/>
      <w:pPr>
        <w:tabs>
          <w:tab w:val="num" w:pos="1134"/>
        </w:tabs>
        <w:ind w:left="1134" w:hanging="567"/>
      </w:pPr>
    </w:lvl>
    <w:lvl w:ilvl="5">
      <w:start w:val="2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45D7870"/>
    <w:multiLevelType w:val="hybridMultilevel"/>
    <w:tmpl w:val="1726718C"/>
    <w:lvl w:ilvl="0">
      <w:start w:val="2"/>
      <w:numFmt w:val="lowerLetter"/>
      <w:lvlText w:val="%1)"/>
      <w:lvlJc w:val="left"/>
      <w:pPr>
        <w:tabs>
          <w:tab w:val="num" w:pos="1818"/>
        </w:tabs>
        <w:ind w:left="1818" w:hanging="111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155B7714"/>
    <w:multiLevelType w:val="singleLevel"/>
    <w:tmpl w:val="60C0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5E80A51"/>
    <w:multiLevelType w:val="hybridMultilevel"/>
    <w:tmpl w:val="75688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887393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1A8345D8"/>
    <w:multiLevelType w:val="hybridMultilevel"/>
    <w:tmpl w:val="270695C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9F70EC"/>
    <w:multiLevelType w:val="hybridMultilevel"/>
    <w:tmpl w:val="B65204D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C2446A7"/>
    <w:multiLevelType w:val="hybridMultilevel"/>
    <w:tmpl w:val="60E0FE5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C797CA0"/>
    <w:multiLevelType w:val="hybridMultilevel"/>
    <w:tmpl w:val="2BA0078C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CA92D7C"/>
    <w:multiLevelType w:val="hybridMultilevel"/>
    <w:tmpl w:val="576414C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CC85324"/>
    <w:multiLevelType w:val="hybridMultilevel"/>
    <w:tmpl w:val="C7B85B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CE53725"/>
    <w:multiLevelType w:val="hybridMultilevel"/>
    <w:tmpl w:val="F760E08E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  <w:rtl w:val="0"/>
      </w:rPr>
    </w:lvl>
    <w:lvl w:ilvl="5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rtl w:val="0"/>
      </w:rPr>
    </w:lvl>
  </w:abstractNum>
  <w:abstractNum w:abstractNumId="29">
    <w:nsid w:val="21D17B3D"/>
    <w:multiLevelType w:val="hybridMultilevel"/>
    <w:tmpl w:val="8AE013C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85"/>
        </w:tabs>
        <w:ind w:left="1485" w:hanging="40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2217FCB"/>
    <w:multiLevelType w:val="hybridMultilevel"/>
    <w:tmpl w:val="5DD89A9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4481AC7"/>
    <w:multiLevelType w:val="singleLevel"/>
    <w:tmpl w:val="DCE874A2"/>
    <w:lvl w:ilvl="0">
      <w:start w:val="1"/>
      <w:numFmt w:val="lowerLetter"/>
      <w:lvlText w:val="(%1)"/>
      <w:lvlJc w:val="left"/>
      <w:pPr>
        <w:tabs>
          <w:tab w:val="num" w:pos="405"/>
        </w:tabs>
        <w:ind w:left="405" w:hanging="405"/>
      </w:pPr>
    </w:lvl>
  </w:abstractNum>
  <w:abstractNum w:abstractNumId="32">
    <w:nsid w:val="250028DC"/>
    <w:multiLevelType w:val="hybridMultilevel"/>
    <w:tmpl w:val="7CF8CFE4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5073B13"/>
    <w:multiLevelType w:val="hybridMultilevel"/>
    <w:tmpl w:val="1DF6EAD0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51F5771"/>
    <w:multiLevelType w:val="hybridMultilevel"/>
    <w:tmpl w:val="C3F8A526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5C11713"/>
    <w:multiLevelType w:val="multilevel"/>
    <w:tmpl w:val="E43689B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36">
    <w:nsid w:val="25C81A37"/>
    <w:multiLevelType w:val="hybridMultilevel"/>
    <w:tmpl w:val="B3624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6E71AAB"/>
    <w:multiLevelType w:val="hybridMultilevel"/>
    <w:tmpl w:val="19A63D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7633A25"/>
    <w:multiLevelType w:val="hybridMultilevel"/>
    <w:tmpl w:val="D04A1F80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9014E07"/>
    <w:multiLevelType w:val="hybridMultilevel"/>
    <w:tmpl w:val="33722B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91836CE"/>
    <w:multiLevelType w:val="hybridMultilevel"/>
    <w:tmpl w:val="614642B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96F3136"/>
    <w:multiLevelType w:val="hybridMultilevel"/>
    <w:tmpl w:val="54C46E8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AD14781"/>
    <w:multiLevelType w:val="hybridMultilevel"/>
    <w:tmpl w:val="BAEC7526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(%5)"/>
      <w:lvlJc w:val="left"/>
      <w:pPr>
        <w:tabs>
          <w:tab w:val="num" w:pos="1134"/>
        </w:tabs>
        <w:ind w:left="1134" w:hanging="567"/>
      </w:pPr>
    </w:lvl>
    <w:lvl w:ilvl="5">
      <w:start w:val="1"/>
      <w:numFmt w:val="lowerLetter"/>
      <w:lvlText w:val="(%6)"/>
      <w:lvlJc w:val="left"/>
      <w:pPr>
        <w:tabs>
          <w:tab w:val="num" w:pos="4707"/>
        </w:tabs>
        <w:ind w:left="4707" w:hanging="567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AFC4FD8"/>
    <w:multiLevelType w:val="hybridMultilevel"/>
    <w:tmpl w:val="C982F344"/>
    <w:lvl w:ilvl="0">
      <w:start w:val="2"/>
      <w:numFmt w:val="lowerLetter"/>
      <w:lvlText w:val="(%1)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B051AA9"/>
    <w:multiLevelType w:val="hybridMultilevel"/>
    <w:tmpl w:val="DB7CCFD0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B337E63"/>
    <w:multiLevelType w:val="hybridMultilevel"/>
    <w:tmpl w:val="DBA27E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C642803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</w:abstractNum>
  <w:abstractNum w:abstractNumId="47">
    <w:nsid w:val="2C725DAD"/>
    <w:multiLevelType w:val="hybridMultilevel"/>
    <w:tmpl w:val="241463B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647"/>
        </w:tabs>
        <w:ind w:left="164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CAA277A"/>
    <w:multiLevelType w:val="multilevel"/>
    <w:tmpl w:val="5D90EFC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49">
    <w:nsid w:val="2D635C56"/>
    <w:multiLevelType w:val="hybridMultilevel"/>
    <w:tmpl w:val="3EC8DF66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F742DDC"/>
    <w:multiLevelType w:val="hybridMultilevel"/>
    <w:tmpl w:val="1FF8F6F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DE1BBF"/>
    <w:multiLevelType w:val="hybridMultilevel"/>
    <w:tmpl w:val="433A5C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2786D85"/>
    <w:multiLevelType w:val="hybridMultilevel"/>
    <w:tmpl w:val="B6546CE6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rtl w:val="0"/>
      </w:rPr>
    </w:lvl>
  </w:abstractNum>
  <w:abstractNum w:abstractNumId="53">
    <w:nsid w:val="328F594D"/>
    <w:multiLevelType w:val="hybridMultilevel"/>
    <w:tmpl w:val="D0E8CA2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2CB549E"/>
    <w:multiLevelType w:val="hybridMultilevel"/>
    <w:tmpl w:val="4D24AE9E"/>
    <w:lvl w:ilvl="0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35E528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6">
    <w:nsid w:val="3675601C"/>
    <w:multiLevelType w:val="hybridMultilevel"/>
    <w:tmpl w:val="B2D895F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68E2080"/>
    <w:multiLevelType w:val="multilevel"/>
    <w:tmpl w:val="75688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8D21F84"/>
    <w:multiLevelType w:val="multilevel"/>
    <w:tmpl w:val="6EE6C6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59">
    <w:nsid w:val="39621A1C"/>
    <w:multiLevelType w:val="singleLevel"/>
    <w:tmpl w:val="60C0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>
    <w:nsid w:val="397C1365"/>
    <w:multiLevelType w:val="singleLevel"/>
    <w:tmpl w:val="8CA86D9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61">
    <w:nsid w:val="3E1F6934"/>
    <w:multiLevelType w:val="hybridMultilevel"/>
    <w:tmpl w:val="A0E4D8D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ECF5610"/>
    <w:multiLevelType w:val="hybridMultilevel"/>
    <w:tmpl w:val="32BEF4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04A2AC7"/>
    <w:multiLevelType w:val="hybridMultilevel"/>
    <w:tmpl w:val="B418768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2AA307B"/>
    <w:multiLevelType w:val="hybridMultilevel"/>
    <w:tmpl w:val="59C06C4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2AF7427"/>
    <w:multiLevelType w:val="multilevel"/>
    <w:tmpl w:val="E43689B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66">
    <w:nsid w:val="4433296B"/>
    <w:multiLevelType w:val="hybridMultilevel"/>
    <w:tmpl w:val="2FA41064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486106B"/>
    <w:multiLevelType w:val="hybridMultilevel"/>
    <w:tmpl w:val="89C865A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7972238"/>
    <w:multiLevelType w:val="hybridMultilevel"/>
    <w:tmpl w:val="F66637E2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A8B6F0E"/>
    <w:multiLevelType w:val="multilevel"/>
    <w:tmpl w:val="9B9C1872"/>
    <w:lvl w:ilvl="0">
      <w:start w:val="4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70">
    <w:nsid w:val="4AA96824"/>
    <w:multiLevelType w:val="hybridMultilevel"/>
    <w:tmpl w:val="A00A16B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3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240" w:firstLine="0"/>
      </w:pPr>
    </w:lvl>
    <w:lvl w:ilvl="5">
      <w:start w:val="1"/>
      <w:numFmt w:val="lowerLetter"/>
      <w:lvlText w:val="(%6)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AB53BF8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2">
    <w:nsid w:val="4D6315C5"/>
    <w:multiLevelType w:val="singleLevel"/>
    <w:tmpl w:val="D4147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3">
    <w:nsid w:val="4E560945"/>
    <w:multiLevelType w:val="hybridMultilevel"/>
    <w:tmpl w:val="894EF2CE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ECF16B7"/>
    <w:multiLevelType w:val="hybridMultilevel"/>
    <w:tmpl w:val="30E66B7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EF73014"/>
    <w:multiLevelType w:val="hybridMultilevel"/>
    <w:tmpl w:val="0DA8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FCA38F1"/>
    <w:multiLevelType w:val="hybridMultilevel"/>
    <w:tmpl w:val="51A467DE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FD73EF1"/>
    <w:multiLevelType w:val="hybridMultilevel"/>
    <w:tmpl w:val="ECECDA5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034204E"/>
    <w:multiLevelType w:val="multilevel"/>
    <w:tmpl w:val="CD7474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2A306F0"/>
    <w:multiLevelType w:val="singleLevel"/>
    <w:tmpl w:val="D25EF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0">
    <w:nsid w:val="52C173CA"/>
    <w:multiLevelType w:val="hybridMultilevel"/>
    <w:tmpl w:val="C86ED44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3872A1F"/>
    <w:multiLevelType w:val="hybridMultilevel"/>
    <w:tmpl w:val="27C0757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4FF0880"/>
    <w:multiLevelType w:val="hybridMultilevel"/>
    <w:tmpl w:val="7306309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77735DD"/>
    <w:multiLevelType w:val="hybridMultilevel"/>
    <w:tmpl w:val="0AD858C6"/>
    <w:lvl w:ilvl="0">
      <w:start w:val="1"/>
      <w:numFmt w:val="lowerLetter"/>
      <w:lvlText w:val="%1)"/>
      <w:lvlJc w:val="left"/>
      <w:pPr>
        <w:tabs>
          <w:tab w:val="num" w:pos="1110"/>
        </w:tabs>
        <w:ind w:left="1110" w:hanging="690"/>
      </w:pPr>
    </w:lvl>
    <w:lvl w:ilvl="1">
      <w:start w:val="1"/>
      <w:numFmt w:val="lowerLetter"/>
      <w:lvlText w:val="(%2)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Letter"/>
      <w:lvlText w:val="(%3)"/>
      <w:lvlJc w:val="left"/>
      <w:pPr>
        <w:tabs>
          <w:tab w:val="num" w:pos="3300"/>
        </w:tabs>
        <w:ind w:left="3300" w:hanging="1260"/>
      </w:pPr>
    </w:lvl>
    <w:lvl w:ilvl="3">
      <w:start w:val="4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4">
    <w:nsid w:val="57D25B96"/>
    <w:multiLevelType w:val="hybridMultilevel"/>
    <w:tmpl w:val="8560146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9000DA0"/>
    <w:multiLevelType w:val="multilevel"/>
    <w:tmpl w:val="CFB02E7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9793834"/>
    <w:multiLevelType w:val="hybridMultilevel"/>
    <w:tmpl w:val="5F3AC04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59886CB8"/>
    <w:multiLevelType w:val="singleLevel"/>
    <w:tmpl w:val="47F2A718"/>
    <w:lvl w:ilvl="0">
      <w:start w:val="1"/>
      <w:numFmt w:val="decimal"/>
      <w:lvlText w:val="(%1)"/>
      <w:lvlJc w:val="left"/>
      <w:pPr>
        <w:tabs>
          <w:tab w:val="num" w:pos="941"/>
        </w:tabs>
        <w:ind w:left="941" w:hanging="375"/>
      </w:pPr>
    </w:lvl>
  </w:abstractNum>
  <w:abstractNum w:abstractNumId="88">
    <w:nsid w:val="5EFA5D41"/>
    <w:multiLevelType w:val="hybridMultilevel"/>
    <w:tmpl w:val="92E848A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5FDF2804"/>
    <w:multiLevelType w:val="hybridMultilevel"/>
    <w:tmpl w:val="2A68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00913A6"/>
    <w:multiLevelType w:val="hybridMultilevel"/>
    <w:tmpl w:val="D390E0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60403499"/>
    <w:multiLevelType w:val="hybridMultilevel"/>
    <w:tmpl w:val="1CDEF1C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612221B7"/>
    <w:multiLevelType w:val="hybridMultilevel"/>
    <w:tmpl w:val="9CEC993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1AA1045"/>
    <w:multiLevelType w:val="singleLevel"/>
    <w:tmpl w:val="D4147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4">
    <w:nsid w:val="624C46D6"/>
    <w:multiLevelType w:val="hybridMultilevel"/>
    <w:tmpl w:val="8F6223AA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27F7AC7"/>
    <w:multiLevelType w:val="hybridMultilevel"/>
    <w:tmpl w:val="E75EC64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426614B"/>
    <w:multiLevelType w:val="singleLevel"/>
    <w:tmpl w:val="002E4A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7">
    <w:nsid w:val="648E7A08"/>
    <w:multiLevelType w:val="hybridMultilevel"/>
    <w:tmpl w:val="D2CA48CA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6514745C"/>
    <w:multiLevelType w:val="hybridMultilevel"/>
    <w:tmpl w:val="85B03036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73A7532"/>
    <w:multiLevelType w:val="hybridMultilevel"/>
    <w:tmpl w:val="D03C2F9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675867A1"/>
    <w:multiLevelType w:val="multilevel"/>
    <w:tmpl w:val="ACA22E7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101">
    <w:nsid w:val="67B602E7"/>
    <w:multiLevelType w:val="hybridMultilevel"/>
    <w:tmpl w:val="13FC01AE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7D829BB"/>
    <w:multiLevelType w:val="hybridMultilevel"/>
    <w:tmpl w:val="51DE13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68641F4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4">
    <w:nsid w:val="69AF219D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</w:abstractNum>
  <w:abstractNum w:abstractNumId="105">
    <w:nsid w:val="6A2B511C"/>
    <w:multiLevelType w:val="hybridMultilevel"/>
    <w:tmpl w:val="433CB9E4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6B421A01"/>
    <w:multiLevelType w:val="hybridMultilevel"/>
    <w:tmpl w:val="BA5CD8A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134" w:hanging="56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6C9A188D"/>
    <w:multiLevelType w:val="hybridMultilevel"/>
    <w:tmpl w:val="3C1C8E7C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6CF11566"/>
    <w:multiLevelType w:val="hybridMultilevel"/>
    <w:tmpl w:val="272E6C8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6E4A5102"/>
    <w:multiLevelType w:val="hybridMultilevel"/>
    <w:tmpl w:val="0F1615DE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  <w:rtl w:val="0"/>
      </w:rPr>
    </w:lvl>
    <w:lvl w:ilvl="5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6">
      <w:start w:val="1"/>
      <w:numFmt w:val="lowerRoman"/>
      <w:lvlText w:val="(%7)"/>
      <w:lvlJc w:val="left"/>
      <w:pPr>
        <w:tabs>
          <w:tab w:val="num" w:pos="5400"/>
        </w:tabs>
        <w:ind w:left="5247" w:hanging="567"/>
      </w:p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rtl w:val="0"/>
      </w:rPr>
    </w:lvl>
  </w:abstractNum>
  <w:abstractNum w:abstractNumId="110">
    <w:nsid w:val="6F817ED8"/>
    <w:multiLevelType w:val="singleLevel"/>
    <w:tmpl w:val="60C0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1">
    <w:nsid w:val="71FE7575"/>
    <w:multiLevelType w:val="hybridMultilevel"/>
    <w:tmpl w:val="902ED9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729B6782"/>
    <w:multiLevelType w:val="hybridMultilevel"/>
    <w:tmpl w:val="A9D49A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72A50422"/>
    <w:multiLevelType w:val="multilevel"/>
    <w:tmpl w:val="64D228CE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114">
    <w:nsid w:val="74A23ECE"/>
    <w:multiLevelType w:val="hybridMultilevel"/>
    <w:tmpl w:val="84122044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(%2)"/>
      <w:lvlJc w:val="left"/>
      <w:pPr>
        <w:tabs>
          <w:tab w:val="num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75E054DD"/>
    <w:multiLevelType w:val="hybridMultilevel"/>
    <w:tmpl w:val="DD98CBB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78274C3F"/>
    <w:multiLevelType w:val="hybridMultilevel"/>
    <w:tmpl w:val="A70AA47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8977CFE"/>
    <w:multiLevelType w:val="hybridMultilevel"/>
    <w:tmpl w:val="6422EE8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7C120A48"/>
    <w:multiLevelType w:val="hybridMultilevel"/>
    <w:tmpl w:val="559A7F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7C81265B"/>
    <w:multiLevelType w:val="hybridMultilevel"/>
    <w:tmpl w:val="459280A6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7D1B5505"/>
    <w:multiLevelType w:val="hybridMultilevel"/>
    <w:tmpl w:val="F0AA393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7D754021"/>
    <w:multiLevelType w:val="hybridMultilevel"/>
    <w:tmpl w:val="F7C4AB8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0"/>
  </w:num>
  <w:num w:numId="2">
    <w:abstractNumId w:val="4"/>
  </w:num>
  <w:num w:numId="3">
    <w:abstractNumId w:val="59"/>
  </w:num>
  <w:num w:numId="4">
    <w:abstractNumId w:val="31"/>
  </w:num>
  <w:num w:numId="5">
    <w:abstractNumId w:val="96"/>
  </w:num>
  <w:num w:numId="6">
    <w:abstractNumId w:val="71"/>
  </w:num>
  <w:num w:numId="7">
    <w:abstractNumId w:val="21"/>
  </w:num>
  <w:num w:numId="8">
    <w:abstractNumId w:val="93"/>
  </w:num>
  <w:num w:numId="9">
    <w:abstractNumId w:val="46"/>
  </w:num>
  <w:num w:numId="10">
    <w:abstractNumId w:val="104"/>
  </w:num>
  <w:num w:numId="11">
    <w:abstractNumId w:val="110"/>
  </w:num>
  <w:num w:numId="12">
    <w:abstractNumId w:val="11"/>
  </w:num>
  <w:num w:numId="13">
    <w:abstractNumId w:val="79"/>
  </w:num>
  <w:num w:numId="14">
    <w:abstractNumId w:val="72"/>
  </w:num>
  <w:num w:numId="15">
    <w:abstractNumId w:val="19"/>
  </w:num>
  <w:num w:numId="16">
    <w:abstractNumId w:val="78"/>
  </w:num>
  <w:num w:numId="17">
    <w:abstractNumId w:val="100"/>
  </w:num>
  <w:num w:numId="18">
    <w:abstractNumId w:val="69"/>
  </w:num>
  <w:num w:numId="19">
    <w:abstractNumId w:val="58"/>
  </w:num>
  <w:num w:numId="20">
    <w:abstractNumId w:val="48"/>
  </w:num>
  <w:num w:numId="21">
    <w:abstractNumId w:val="10"/>
  </w:num>
  <w:num w:numId="22">
    <w:abstractNumId w:val="113"/>
  </w:num>
  <w:num w:numId="23">
    <w:abstractNumId w:val="35"/>
  </w:num>
  <w:num w:numId="24">
    <w:abstractNumId w:val="65"/>
  </w:num>
  <w:num w:numId="25">
    <w:abstractNumId w:val="75"/>
  </w:num>
  <w:num w:numId="26">
    <w:abstractNumId w:val="18"/>
  </w:num>
  <w:num w:numId="27">
    <w:abstractNumId w:val="89"/>
  </w:num>
  <w:num w:numId="28">
    <w:abstractNumId w:val="103"/>
  </w:num>
  <w:num w:numId="29">
    <w:abstractNumId w:val="20"/>
  </w:num>
  <w:num w:numId="30">
    <w:abstractNumId w:val="55"/>
  </w:num>
  <w:num w:numId="31">
    <w:abstractNumId w:val="14"/>
  </w:num>
  <w:num w:numId="32">
    <w:abstractNumId w:val="83"/>
  </w:num>
  <w:num w:numId="33">
    <w:abstractNumId w:val="85"/>
  </w:num>
  <w:num w:numId="34">
    <w:abstractNumId w:val="87"/>
  </w:num>
  <w:num w:numId="35">
    <w:abstractNumId w:val="57"/>
  </w:num>
  <w:num w:numId="36">
    <w:abstractNumId w:val="1"/>
  </w:num>
  <w:num w:numId="37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9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/>
    <w:lvlOverride w:ilvl="8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5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0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5"/>
  </w:num>
  <w:num w:numId="121">
    <w:abstractNumId w:val="92"/>
  </w:num>
  <w:num w:numId="12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5426"/>
    <w:rsid w:val="0007026D"/>
    <w:rsid w:val="0007498F"/>
    <w:rsid w:val="001103ED"/>
    <w:rsid w:val="00192858"/>
    <w:rsid w:val="00192925"/>
    <w:rsid w:val="001F4EB8"/>
    <w:rsid w:val="00245766"/>
    <w:rsid w:val="002506EA"/>
    <w:rsid w:val="00272A97"/>
    <w:rsid w:val="002806FA"/>
    <w:rsid w:val="002A5890"/>
    <w:rsid w:val="002B765F"/>
    <w:rsid w:val="003129A0"/>
    <w:rsid w:val="00317F51"/>
    <w:rsid w:val="00320481"/>
    <w:rsid w:val="0032565D"/>
    <w:rsid w:val="00361BDC"/>
    <w:rsid w:val="003E74ED"/>
    <w:rsid w:val="004067AD"/>
    <w:rsid w:val="00486159"/>
    <w:rsid w:val="004B3E19"/>
    <w:rsid w:val="004C6330"/>
    <w:rsid w:val="004E2D8B"/>
    <w:rsid w:val="005008DE"/>
    <w:rsid w:val="005A7CDF"/>
    <w:rsid w:val="005B0AA3"/>
    <w:rsid w:val="005F497C"/>
    <w:rsid w:val="00631D51"/>
    <w:rsid w:val="006322E9"/>
    <w:rsid w:val="006412FC"/>
    <w:rsid w:val="006D7292"/>
    <w:rsid w:val="006E0181"/>
    <w:rsid w:val="00704160"/>
    <w:rsid w:val="007A107D"/>
    <w:rsid w:val="007F7944"/>
    <w:rsid w:val="008053CD"/>
    <w:rsid w:val="00807FBB"/>
    <w:rsid w:val="008D3B3F"/>
    <w:rsid w:val="008F4F05"/>
    <w:rsid w:val="00972FF1"/>
    <w:rsid w:val="00987825"/>
    <w:rsid w:val="009E0763"/>
    <w:rsid w:val="009E697F"/>
    <w:rsid w:val="00A04D35"/>
    <w:rsid w:val="00A16F9B"/>
    <w:rsid w:val="00AF30A3"/>
    <w:rsid w:val="00B32964"/>
    <w:rsid w:val="00B47A33"/>
    <w:rsid w:val="00B74452"/>
    <w:rsid w:val="00BC06EF"/>
    <w:rsid w:val="00BC42E5"/>
    <w:rsid w:val="00BD0C61"/>
    <w:rsid w:val="00BF36B9"/>
    <w:rsid w:val="00C31FB0"/>
    <w:rsid w:val="00C7356B"/>
    <w:rsid w:val="00C95810"/>
    <w:rsid w:val="00CF1893"/>
    <w:rsid w:val="00D1040A"/>
    <w:rsid w:val="00D76DCA"/>
    <w:rsid w:val="00D812BE"/>
    <w:rsid w:val="00DC57A6"/>
    <w:rsid w:val="00DE76A2"/>
    <w:rsid w:val="00DF5FD8"/>
    <w:rsid w:val="00DF7A56"/>
    <w:rsid w:val="00E120BD"/>
    <w:rsid w:val="00E215EC"/>
    <w:rsid w:val="00E3727F"/>
    <w:rsid w:val="00E5754A"/>
    <w:rsid w:val="00E64A87"/>
    <w:rsid w:val="00E823E8"/>
    <w:rsid w:val="00F12CDA"/>
    <w:rsid w:val="00F8135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3C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noProof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noProof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360"/>
      </w:tabs>
      <w:ind w:right="-285"/>
      <w:jc w:val="left"/>
      <w:outlineLvl w:val="2"/>
    </w:pPr>
    <w:rPr>
      <w:b/>
      <w:bCs/>
    </w:rPr>
  </w:style>
  <w:style w:type="paragraph" w:styleId="Heading5">
    <w:name w:val="heading 5"/>
    <w:basedOn w:val="Normal"/>
    <w:next w:val="Normal"/>
    <w:uiPriority w:val="9"/>
    <w:qFormat/>
    <w:rsid w:val="001A310D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CharChar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noProof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078D1"/>
    <w:rPr>
      <w:sz w:val="18"/>
      <w:rtl w:val="0"/>
    </w:rPr>
  </w:style>
  <w:style w:type="paragraph" w:styleId="FootnoteText">
    <w:name w:val="footnote text"/>
    <w:basedOn w:val="Normal"/>
    <w:semiHidden/>
    <w:pPr>
      <w:overflowPunct w:val="0"/>
      <w:autoSpaceDE/>
      <w:autoSpaceDN/>
      <w:jc w:val="left"/>
      <w:textAlignment w:val="baseline"/>
    </w:pPr>
    <w:rPr>
      <w:noProof/>
      <w:sz w:val="20"/>
      <w:lang w:val="en-GB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pPr>
      <w:overflowPunct w:val="0"/>
      <w:autoSpaceDE/>
      <w:autoSpaceDN/>
      <w:spacing w:line="360" w:lineRule="auto"/>
      <w:ind w:firstLine="708"/>
      <w:jc w:val="both"/>
      <w:textAlignment w:val="baseline"/>
    </w:pPr>
    <w:rPr>
      <w:noProof/>
    </w:rPr>
  </w:style>
  <w:style w:type="paragraph" w:styleId="BodyText3">
    <w:name w:val="Body Text 3"/>
    <w:basedOn w:val="Normal"/>
    <w:pPr>
      <w:jc w:val="left"/>
    </w:pPr>
    <w:rPr>
      <w:noProof/>
      <w:sz w:val="20"/>
    </w:rPr>
  </w:style>
  <w:style w:type="paragraph" w:styleId="BodyTextIndent">
    <w:name w:val="Body Text Indent"/>
    <w:basedOn w:val="Normal"/>
    <w:pPr>
      <w:spacing w:after="120"/>
      <w:ind w:left="284" w:hanging="284"/>
      <w:jc w:val="both"/>
    </w:pPr>
    <w:rPr>
      <w:noProof/>
      <w:lang w:val="en-GB"/>
    </w:rPr>
  </w:style>
  <w:style w:type="paragraph" w:styleId="BodyTextIndent3">
    <w:name w:val="Body Text Indent 3"/>
    <w:basedOn w:val="Normal"/>
    <w:pPr>
      <w:spacing w:after="120"/>
      <w:ind w:left="709"/>
      <w:jc w:val="both"/>
    </w:pPr>
    <w:rPr>
      <w:noProof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  <w:rtl w:val="0"/>
    </w:rPr>
  </w:style>
  <w:style w:type="paragraph" w:styleId="Title">
    <w:name w:val="Title"/>
    <w:basedOn w:val="Normal"/>
    <w:uiPriority w:val="10"/>
    <w:qFormat/>
    <w:pPr>
      <w:spacing w:after="120"/>
      <w:jc w:val="center"/>
    </w:pPr>
    <w:rPr>
      <w:b/>
      <w:noProof/>
      <w:lang w:val="en-GB"/>
    </w:rPr>
  </w:style>
  <w:style w:type="paragraph" w:styleId="BodyTextIndent2">
    <w:name w:val="Body Text Indent 2"/>
    <w:basedOn w:val="Normal"/>
    <w:pPr>
      <w:ind w:firstLine="708"/>
      <w:jc w:val="both"/>
    </w:pPr>
  </w:style>
  <w:style w:type="paragraph" w:customStyle="1" w:styleId="Point1">
    <w:name w:val="Point 1"/>
    <w:basedOn w:val="Normal"/>
    <w:pPr>
      <w:spacing w:before="120" w:after="120"/>
      <w:ind w:left="1417" w:hanging="567"/>
      <w:jc w:val="both"/>
    </w:pPr>
    <w:rPr>
      <w:szCs w:val="24"/>
      <w:lang w:val="en-GB" w:eastAsia="ko-KR"/>
    </w:rPr>
  </w:style>
  <w:style w:type="paragraph" w:customStyle="1" w:styleId="Text1">
    <w:name w:val="Text 1"/>
    <w:basedOn w:val="Normal"/>
    <w:pPr>
      <w:spacing w:before="120" w:after="120"/>
      <w:ind w:left="850"/>
      <w:jc w:val="both"/>
    </w:pPr>
    <w:rPr>
      <w:szCs w:val="24"/>
      <w:lang w:val="en-GB" w:eastAsia="ko-KR"/>
    </w:rPr>
  </w:style>
  <w:style w:type="paragraph" w:customStyle="1" w:styleId="Text2">
    <w:name w:val="Text 2"/>
    <w:basedOn w:val="Normal"/>
    <w:pPr>
      <w:spacing w:before="120" w:after="120"/>
      <w:ind w:left="850"/>
      <w:jc w:val="both"/>
    </w:pPr>
    <w:rPr>
      <w:szCs w:val="24"/>
      <w:lang w:val="en-GB" w:eastAsia="ko-KR"/>
    </w:rPr>
  </w:style>
  <w:style w:type="paragraph" w:styleId="BalloonText">
    <w:name w:val="Balloon Text"/>
    <w:basedOn w:val="Normal"/>
    <w:semiHidden/>
    <w:rsid w:val="00796F3A"/>
    <w:pPr>
      <w:jc w:val="left"/>
    </w:pPr>
    <w:rPr>
      <w:rFonts w:ascii="Tahoma" w:hAnsi="Tahoma" w:cs="Tahoma"/>
      <w:sz w:val="16"/>
      <w:szCs w:val="16"/>
    </w:rPr>
  </w:style>
  <w:style w:type="paragraph" w:customStyle="1" w:styleId="N-textsodrkami">
    <w:name w:val="N-text s odrážkami"/>
    <w:basedOn w:val="Normal"/>
    <w:rsid w:val="00924772"/>
    <w:pPr>
      <w:tabs>
        <w:tab w:val="left" w:pos="284"/>
      </w:tabs>
      <w:spacing w:after="120"/>
      <w:ind w:left="284"/>
      <w:jc w:val="both"/>
    </w:pPr>
  </w:style>
  <w:style w:type="paragraph" w:customStyle="1" w:styleId="Zkladntext">
    <w:name w:val="Základní text"/>
    <w:rsid w:val="0092477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customStyle="1" w:styleId="NumPar1">
    <w:name w:val="NumPar 1"/>
    <w:basedOn w:val="Normal"/>
    <w:next w:val="Normal"/>
    <w:rsid w:val="000832AA"/>
    <w:pPr>
      <w:numPr>
        <w:ilvl w:val="0"/>
        <w:numId w:val="57"/>
      </w:numPr>
      <w:tabs>
        <w:tab w:val="left" w:pos="360"/>
      </w:tabs>
      <w:spacing w:before="120" w:after="120"/>
      <w:ind w:firstLine="0"/>
      <w:jc w:val="both"/>
    </w:pPr>
    <w:rPr>
      <w:szCs w:val="24"/>
      <w:lang w:val="en-GB" w:eastAsia="ko-KR"/>
    </w:rPr>
  </w:style>
  <w:style w:type="paragraph" w:customStyle="1" w:styleId="Text1CharChar">
    <w:name w:val="Text 1 Char Char"/>
    <w:basedOn w:val="Normal"/>
    <w:link w:val="Text1CharCharChar"/>
    <w:rsid w:val="00F05455"/>
    <w:pPr>
      <w:spacing w:before="120" w:after="120"/>
      <w:ind w:left="850"/>
      <w:jc w:val="both"/>
    </w:pPr>
    <w:rPr>
      <w:szCs w:val="24"/>
      <w:lang w:val="en-GB"/>
    </w:rPr>
  </w:style>
  <w:style w:type="character" w:customStyle="1" w:styleId="Text1CharCharChar">
    <w:name w:val="Text 1 Char Char Char"/>
    <w:basedOn w:val="DefaultParagraphFont"/>
    <w:link w:val="Text1CharChar"/>
    <w:rsid w:val="00F05455"/>
    <w:rPr>
      <w:sz w:val="24"/>
      <w:szCs w:val="24"/>
      <w:rtl w:val="0"/>
      <w:lang w:val="en-GB" w:bidi="ar-SA"/>
    </w:rPr>
  </w:style>
  <w:style w:type="paragraph" w:customStyle="1" w:styleId="Point0">
    <w:name w:val="Point 0"/>
    <w:basedOn w:val="Normal"/>
    <w:rsid w:val="00352292"/>
    <w:pPr>
      <w:spacing w:before="120" w:after="120"/>
      <w:ind w:left="850" w:hanging="850"/>
      <w:jc w:val="both"/>
    </w:pPr>
  </w:style>
  <w:style w:type="paragraph" w:customStyle="1" w:styleId="ManualNumPar1">
    <w:name w:val="Manual NumPar 1"/>
    <w:basedOn w:val="Normal"/>
    <w:next w:val="Text1CharChar"/>
    <w:rsid w:val="00A63B90"/>
    <w:pPr>
      <w:spacing w:before="120" w:after="120"/>
      <w:ind w:left="850" w:hanging="850"/>
      <w:jc w:val="both"/>
    </w:pPr>
  </w:style>
  <w:style w:type="paragraph" w:customStyle="1" w:styleId="Titrearticle">
    <w:name w:val="Titre article"/>
    <w:basedOn w:val="Normal"/>
    <w:next w:val="Normal"/>
    <w:rsid w:val="00B75BF5"/>
    <w:pPr>
      <w:keepNext/>
      <w:spacing w:before="360" w:after="120"/>
      <w:jc w:val="center"/>
    </w:pPr>
    <w:rPr>
      <w:i/>
    </w:rPr>
  </w:style>
  <w:style w:type="paragraph" w:customStyle="1" w:styleId="Normlny">
    <w:name w:val="_Normálny"/>
    <w:basedOn w:val="Normal"/>
    <w:rsid w:val="005B0AA3"/>
    <w:pPr>
      <w:autoSpaceDE/>
      <w:autoSpaceDN/>
      <w:jc w:val="left"/>
    </w:pPr>
    <w:rPr>
      <w:sz w:val="20"/>
    </w:rPr>
  </w:style>
  <w:style w:type="paragraph" w:customStyle="1" w:styleId="abc">
    <w:name w:val="abc"/>
    <w:basedOn w:val="Normal"/>
    <w:rsid w:val="005B0AA3"/>
    <w:pPr>
      <w:tabs>
        <w:tab w:val="left" w:pos="360"/>
        <w:tab w:val="left" w:pos="680"/>
      </w:tabs>
      <w:autoSpaceDE/>
      <w:autoSpaceDN/>
      <w:jc w:val="both"/>
    </w:pPr>
    <w:rPr>
      <w:sz w:val="20"/>
    </w:rPr>
  </w:style>
  <w:style w:type="paragraph" w:customStyle="1" w:styleId="Point2">
    <w:name w:val="Point 2"/>
    <w:basedOn w:val="Normal"/>
    <w:rsid w:val="00DB5BE4"/>
    <w:pPr>
      <w:spacing w:before="120" w:after="120"/>
      <w:ind w:left="1984" w:hanging="567"/>
      <w:jc w:val="both"/>
    </w:pPr>
  </w:style>
  <w:style w:type="paragraph" w:customStyle="1" w:styleId="Normlnywebov8">
    <w:name w:val="Normálny (webový)8"/>
    <w:basedOn w:val="Normal"/>
    <w:rsid w:val="00D711A4"/>
    <w:pPr>
      <w:spacing w:before="84" w:after="84"/>
      <w:ind w:left="251" w:right="251"/>
      <w:jc w:val="left"/>
    </w:pPr>
    <w:rPr>
      <w:sz w:val="22"/>
      <w:szCs w:val="22"/>
    </w:rPr>
  </w:style>
  <w:style w:type="paragraph" w:customStyle="1" w:styleId="ManualNumPar1Char">
    <w:name w:val="Manual NumPar 1 Char"/>
    <w:basedOn w:val="Normal"/>
    <w:next w:val="Text1CharChar"/>
    <w:link w:val="ManualNumPar1CharChar"/>
    <w:rsid w:val="00361BDC"/>
    <w:pPr>
      <w:spacing w:before="120" w:after="120"/>
      <w:ind w:left="850" w:hanging="850"/>
      <w:jc w:val="both"/>
    </w:pPr>
    <w:rPr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D272DF"/>
    <w:rPr>
      <w:i/>
      <w:iCs/>
      <w:rtl w:val="0"/>
    </w:rPr>
  </w:style>
  <w:style w:type="character" w:customStyle="1" w:styleId="ManualNumPar1CharChar">
    <w:name w:val="Manual NumPar 1 Char Char"/>
    <w:basedOn w:val="DefaultParagraphFont"/>
    <w:link w:val="ManualNumPar1Char"/>
    <w:rsid w:val="00BB1B8E"/>
    <w:rPr>
      <w:sz w:val="24"/>
      <w:szCs w:val="24"/>
      <w:rtl w:val="0"/>
      <w:lang w:val="en-GB" w:bidi="ar-SA"/>
    </w:rPr>
  </w:style>
  <w:style w:type="character" w:customStyle="1" w:styleId="ManualNumPar1CharCharChar">
    <w:name w:val="Manual NumPar 1 Char Char Char"/>
    <w:basedOn w:val="DefaultParagraphFont"/>
    <w:rsid w:val="002806FA"/>
    <w:rPr>
      <w:sz w:val="24"/>
      <w:szCs w:val="24"/>
      <w:rtl w:val="0"/>
      <w:lang w:val="en-GB" w:bidi="ar-SA"/>
    </w:rPr>
  </w:style>
  <w:style w:type="paragraph" w:customStyle="1" w:styleId="CharChar1">
    <w:name w:val="Char Char1"/>
    <w:basedOn w:val="Normal"/>
    <w:link w:val="DefaultParagraphFont"/>
    <w:rsid w:val="008D3B3F"/>
    <w:pPr>
      <w:spacing w:after="160" w:line="240" w:lineRule="exact"/>
      <w:jc w:val="left"/>
    </w:pPr>
    <w:rPr>
      <w:rFonts w:ascii="Tahoma" w:hAnsi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2084</Words>
  <Characters>11879</Characters>
  <Application>Microsoft Office Word</Application>
  <DocSecurity>0</DocSecurity>
  <Lines>0</Lines>
  <Paragraphs>0</Paragraphs>
  <ScaleCrop>false</ScaleCrop>
  <Company>Ministry of Finance</Company>
  <LinksUpToDate>false</LinksUpToDate>
  <CharactersWithSpaces>13936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TABUĹKA ZHODY</dc:title>
  <dc:creator>JUDr. Zamecnikova Petra</dc:creator>
  <cp:lastModifiedBy>;</cp:lastModifiedBy>
  <cp:revision>2</cp:revision>
  <cp:lastPrinted>2007-06-06T11:25:00Z</cp:lastPrinted>
  <dcterms:created xsi:type="dcterms:W3CDTF">2007-09-14T11:54:00Z</dcterms:created>
  <dcterms:modified xsi:type="dcterms:W3CDTF">2007-09-14T11:54:00Z</dcterms:modified>
</cp:coreProperties>
</file>