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72FF1" w:rsidRPr="00AF551A" w:rsidP="000464B0">
      <w:pPr>
        <w:ind w:right="-993" w:firstLine="142"/>
        <w:jc w:val="center"/>
        <w:rPr>
          <w:rFonts w:ascii="Arial Narrow" w:hAnsi="Arial Narrow" w:cs="Times New Roman"/>
          <w:b/>
          <w:szCs w:val="24"/>
        </w:rPr>
      </w:pPr>
      <w:r w:rsidRPr="00AF551A">
        <w:rPr>
          <w:rFonts w:ascii="Arial Narrow" w:hAnsi="Arial Narrow" w:cs="Times New Roman"/>
          <w:b/>
          <w:szCs w:val="24"/>
        </w:rPr>
        <w:t>TABUĽKA ZHODY</w:t>
      </w:r>
    </w:p>
    <w:p w:rsidR="003B0547" w:rsidRPr="00AF551A" w:rsidP="003B0547">
      <w:pPr>
        <w:tabs>
          <w:tab w:val="left" w:pos="0"/>
        </w:tabs>
        <w:ind w:firstLine="142"/>
        <w:jc w:val="center"/>
        <w:rPr>
          <w:rFonts w:ascii="Arial Narrow" w:hAnsi="Arial Narrow" w:cs="Times New Roman"/>
          <w:b/>
          <w:bCs/>
          <w:noProof/>
          <w:szCs w:val="24"/>
        </w:rPr>
      </w:pPr>
      <w:r w:rsidRPr="00AF551A" w:rsidR="006E0181">
        <w:rPr>
          <w:rFonts w:ascii="Arial Narrow" w:hAnsi="Arial Narrow" w:cs="Times New Roman"/>
          <w:b/>
          <w:noProof/>
          <w:szCs w:val="24"/>
        </w:rPr>
        <w:t>k </w:t>
      </w:r>
      <w:r w:rsidRPr="00AF551A" w:rsidR="006743E9">
        <w:rPr>
          <w:rFonts w:ascii="Arial Narrow" w:hAnsi="Arial Narrow" w:cs="Times New Roman"/>
          <w:b/>
          <w:noProof/>
          <w:szCs w:val="24"/>
        </w:rPr>
        <w:t xml:space="preserve"> </w:t>
      </w:r>
      <w:r w:rsidRPr="00AF551A">
        <w:rPr>
          <w:rFonts w:ascii="Arial Narrow" w:hAnsi="Arial Narrow" w:cs="Times New Roman"/>
          <w:b/>
          <w:noProof/>
          <w:szCs w:val="24"/>
        </w:rPr>
        <w:t>návrhu zákona o</w:t>
      </w:r>
      <w:r w:rsidRPr="00AF551A" w:rsidR="00AF551A">
        <w:rPr>
          <w:rFonts w:ascii="Arial Narrow" w:hAnsi="Arial Narrow" w:cs="Times New Roman"/>
          <w:b/>
          <w:noProof/>
          <w:szCs w:val="24"/>
        </w:rPr>
        <w:t> </w:t>
      </w:r>
      <w:r w:rsidRPr="00AF551A">
        <w:rPr>
          <w:rFonts w:ascii="Arial Narrow" w:hAnsi="Arial Narrow" w:cs="Times New Roman"/>
          <w:b/>
          <w:noProof/>
          <w:szCs w:val="24"/>
        </w:rPr>
        <w:t>poisťovníctve</w:t>
      </w:r>
      <w:r w:rsidRPr="00AF551A" w:rsidR="00AF551A">
        <w:rPr>
          <w:rFonts w:ascii="Arial Narrow" w:hAnsi="Arial Narrow" w:cs="Times New Roman"/>
          <w:b/>
          <w:noProof/>
          <w:szCs w:val="24"/>
        </w:rPr>
        <w:t xml:space="preserve"> a o zmene a doplnení niektorých zákonov</w:t>
      </w:r>
    </w:p>
    <w:p w:rsidR="00B32964" w:rsidRPr="003B0547" w:rsidP="003B0547">
      <w:pPr>
        <w:pStyle w:val="BodyText"/>
        <w:jc w:val="center"/>
        <w:rPr>
          <w:rFonts w:ascii="Arial Narrow" w:hAnsi="Arial Narrow" w:cs="Times New Roman"/>
          <w:b/>
          <w:szCs w:val="24"/>
        </w:rPr>
      </w:pPr>
      <w:r w:rsidRPr="003B0547" w:rsidR="00972FF1">
        <w:rPr>
          <w:rFonts w:ascii="Arial Narrow" w:hAnsi="Arial Narrow" w:cs="Times New Roman"/>
          <w:b/>
          <w:szCs w:val="24"/>
        </w:rPr>
        <w:t>s právom Európskych spoločenstiev a právom Európskej únie</w:t>
      </w:r>
    </w:p>
    <w:tbl>
      <w:tblPr>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
      <w:tblGrid>
        <w:gridCol w:w="397"/>
        <w:gridCol w:w="6101"/>
        <w:gridCol w:w="357"/>
        <w:gridCol w:w="815"/>
        <w:gridCol w:w="635"/>
        <w:gridCol w:w="5316"/>
        <w:gridCol w:w="425"/>
        <w:gridCol w:w="425"/>
        <w:gridCol w:w="1068"/>
        <w:gridCol w:w="411"/>
      </w:tblGrid>
      <w:tr>
        <w:tblPrEx>
          <w:tblW w:w="15950" w:type="dxa"/>
          <w:jc w:val="center"/>
          <w:tblInd w:w="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PrEx>
        <w:trPr>
          <w:trHeight w:val="284"/>
          <w:jc w:val="center"/>
        </w:trPr>
        <w:tc>
          <w:tcPr>
            <w:tcW w:w="6855"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D76DCA" w:rsidRPr="006039F3" w:rsidP="004F1478">
            <w:pPr>
              <w:rPr>
                <w:rFonts w:ascii="Arial Narrow" w:hAnsi="Arial Narrow" w:cs="Times New Roman"/>
                <w:b/>
                <w:sz w:val="20"/>
                <w:u w:val="single"/>
              </w:rPr>
            </w:pPr>
            <w:r w:rsidRPr="006039F3" w:rsidR="005F497C">
              <w:rPr>
                <w:rFonts w:ascii="Arial Narrow" w:hAnsi="Arial Narrow" w:cs="Times New Roman"/>
                <w:b/>
                <w:sz w:val="20"/>
                <w:u w:val="single"/>
              </w:rPr>
              <w:t xml:space="preserve">Právny akt </w:t>
            </w:r>
            <w:r w:rsidRPr="006039F3" w:rsidR="0007026D">
              <w:rPr>
                <w:rFonts w:ascii="Arial Narrow" w:hAnsi="Arial Narrow" w:cs="Times New Roman"/>
                <w:b/>
                <w:sz w:val="20"/>
                <w:u w:val="single"/>
              </w:rPr>
              <w:t>ES/</w:t>
            </w:r>
            <w:r w:rsidRPr="006039F3" w:rsidR="005F497C">
              <w:rPr>
                <w:rFonts w:ascii="Arial Narrow" w:hAnsi="Arial Narrow" w:cs="Times New Roman"/>
                <w:b/>
                <w:sz w:val="20"/>
                <w:u w:val="single"/>
              </w:rPr>
              <w:t>EÚ</w:t>
            </w:r>
          </w:p>
          <w:p w:rsidR="00C95810" w:rsidRPr="006039F3" w:rsidP="00C02544">
            <w:pPr>
              <w:pStyle w:val="BodyText"/>
              <w:rPr>
                <w:rFonts w:ascii="Arial Narrow" w:hAnsi="Arial Narrow" w:cs="Times New Roman"/>
                <w:b/>
                <w:sz w:val="20"/>
              </w:rPr>
            </w:pPr>
          </w:p>
          <w:p w:rsidR="000755FF" w:rsidRPr="006039F3" w:rsidP="00C02544">
            <w:pPr>
              <w:pStyle w:val="Normlnywebov8"/>
              <w:spacing w:before="0" w:after="0"/>
              <w:ind w:left="0" w:right="0"/>
              <w:jc w:val="both"/>
              <w:rPr>
                <w:rFonts w:ascii="Arial Narrow" w:hAnsi="Arial Narrow" w:cs="Tahoma"/>
                <w:b/>
                <w:sz w:val="20"/>
                <w:szCs w:val="20"/>
              </w:rPr>
            </w:pPr>
            <w:r w:rsidRPr="006039F3">
              <w:rPr>
                <w:rFonts w:ascii="Arial Narrow" w:hAnsi="Arial Narrow" w:cs="Tahoma"/>
                <w:b/>
                <w:sz w:val="20"/>
                <w:szCs w:val="20"/>
              </w:rPr>
              <w:t>Smernica Európskeho parlamentu a Rady 2002/87/ES</w:t>
            </w:r>
            <w:r w:rsidRPr="006039F3" w:rsidR="00C02544">
              <w:rPr>
                <w:rFonts w:ascii="Arial Narrow" w:hAnsi="Arial Narrow" w:cs="Tahoma"/>
                <w:b/>
                <w:sz w:val="20"/>
                <w:szCs w:val="20"/>
              </w:rPr>
              <w:t xml:space="preserve"> </w:t>
            </w:r>
            <w:r w:rsidRPr="006039F3">
              <w:rPr>
                <w:rFonts w:ascii="Arial Narrow" w:hAnsi="Arial Narrow" w:cs="Tahoma"/>
                <w:b/>
                <w:sz w:val="20"/>
                <w:szCs w:val="20"/>
              </w:rPr>
              <w:t>zo 16. decembra 2002</w:t>
            </w:r>
            <w:r w:rsidRPr="006039F3" w:rsidR="00C02544">
              <w:rPr>
                <w:rFonts w:ascii="Arial Narrow" w:hAnsi="Arial Narrow" w:cs="Tahoma"/>
                <w:b/>
                <w:sz w:val="20"/>
                <w:szCs w:val="20"/>
              </w:rPr>
              <w:t xml:space="preserve"> </w:t>
            </w:r>
            <w:r w:rsidRPr="006039F3">
              <w:rPr>
                <w:rFonts w:ascii="Arial Narrow" w:hAnsi="Arial Narrow" w:cs="Tahoma"/>
                <w:b/>
                <w:sz w:val="20"/>
                <w:szCs w:val="20"/>
              </w:rPr>
              <w:t>o doplnkovom dohľade nad úverovými inštitúciami, poisťovňami a investičnými spoločnosťami vo finančnom konglomeráte, ktorou sa menia a dopĺňajú smernice Rady 73/239/EHS, 79/267/EHS, 92/49/EHS, 92/96/EHS, 93/6/EHS a 93/22/EHS a smernice Európskeho parlamentu a Rady 98/78/ES a 200</w:t>
            </w:r>
            <w:r w:rsidRPr="006039F3">
              <w:rPr>
                <w:rFonts w:ascii="Arial Narrow" w:hAnsi="Arial Narrow" w:cs="Tahoma"/>
                <w:b/>
                <w:sz w:val="20"/>
                <w:szCs w:val="20"/>
              </w:rPr>
              <w:t>0/12/ES</w:t>
            </w:r>
            <w:r w:rsidRPr="006039F3" w:rsidR="00D37DFA">
              <w:rPr>
                <w:rFonts w:ascii="Arial Narrow" w:hAnsi="Arial Narrow" w:cs="Tahoma"/>
                <w:b/>
                <w:sz w:val="20"/>
                <w:szCs w:val="20"/>
              </w:rPr>
              <w:t xml:space="preserve"> v platnom znení</w:t>
            </w:r>
          </w:p>
          <w:p w:rsidR="00B42745" w:rsidRPr="006039F3" w:rsidP="000755FF">
            <w:pPr>
              <w:rPr>
                <w:rFonts w:ascii="Arial Narrow" w:hAnsi="Arial Narrow" w:cs="Times New Roman"/>
                <w:b/>
                <w:sz w:val="20"/>
              </w:rPr>
            </w:pPr>
          </w:p>
        </w:tc>
        <w:tc>
          <w:tcPr>
            <w:tcW w:w="9095"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rsidR="00BC42E5" w:rsidRPr="006039F3" w:rsidP="006C7016">
            <w:pPr>
              <w:pStyle w:val="Heading3"/>
              <w:ind w:right="0"/>
              <w:rPr>
                <w:rFonts w:ascii="Arial Narrow" w:hAnsi="Arial Narrow" w:cs="Times New Roman"/>
                <w:sz w:val="20"/>
                <w:u w:val="single"/>
              </w:rPr>
            </w:pPr>
            <w:r w:rsidRPr="006039F3" w:rsidR="00972FF1">
              <w:rPr>
                <w:rFonts w:ascii="Arial Narrow" w:hAnsi="Arial Narrow" w:cs="Times New Roman"/>
                <w:sz w:val="20"/>
                <w:u w:val="single"/>
              </w:rPr>
              <w:t>Všeobecne záväzné právne predpisy SR</w:t>
            </w:r>
          </w:p>
          <w:p w:rsidR="00245766" w:rsidRPr="006039F3" w:rsidP="00245766">
            <w:pPr>
              <w:rPr>
                <w:rFonts w:ascii="Arial Narrow" w:hAnsi="Arial Narrow" w:cs="Times New Roman"/>
                <w:b/>
                <w:sz w:val="20"/>
              </w:rPr>
            </w:pPr>
          </w:p>
          <w:p w:rsidR="00C70ED5" w:rsidRPr="006039F3" w:rsidP="00C70ED5">
            <w:pPr>
              <w:tabs>
                <w:tab w:val="left" w:pos="0"/>
              </w:tabs>
              <w:rPr>
                <w:rFonts w:ascii="Arial Narrow" w:hAnsi="Arial Narrow" w:cs="Times New Roman"/>
                <w:b w:val="0"/>
                <w:bCs/>
                <w:noProof/>
                <w:sz w:val="20"/>
              </w:rPr>
            </w:pPr>
            <w:r w:rsidRPr="006039F3">
              <w:rPr>
                <w:rFonts w:ascii="Arial Narrow" w:hAnsi="Arial Narrow" w:cs="Times New Roman"/>
                <w:b w:val="0"/>
                <w:noProof/>
                <w:sz w:val="20"/>
              </w:rPr>
              <w:t>Návrh zákona o</w:t>
            </w:r>
            <w:r w:rsidRPr="006039F3" w:rsidR="00A131A0">
              <w:rPr>
                <w:rFonts w:ascii="Arial Narrow" w:hAnsi="Arial Narrow" w:cs="Times New Roman"/>
                <w:b w:val="0"/>
                <w:noProof/>
                <w:sz w:val="20"/>
              </w:rPr>
              <w:t> </w:t>
            </w:r>
            <w:r w:rsidRPr="006039F3">
              <w:rPr>
                <w:rFonts w:ascii="Arial Narrow" w:hAnsi="Arial Narrow" w:cs="Times New Roman"/>
                <w:b w:val="0"/>
                <w:noProof/>
                <w:sz w:val="20"/>
              </w:rPr>
              <w:t>poisťovníctve</w:t>
            </w:r>
            <w:r w:rsidRPr="006039F3" w:rsidR="00A131A0">
              <w:rPr>
                <w:rFonts w:ascii="Arial Narrow" w:hAnsi="Arial Narrow" w:cs="Times New Roman"/>
                <w:b w:val="0"/>
                <w:noProof/>
                <w:sz w:val="20"/>
              </w:rPr>
              <w:t xml:space="preserve"> a o zmene a doplnení niektorých zákonov</w:t>
            </w:r>
          </w:p>
          <w:p w:rsidR="00245766" w:rsidRPr="006039F3" w:rsidP="00245766">
            <w:pPr>
              <w:rPr>
                <w:rFonts w:ascii="Arial Narrow" w:hAnsi="Arial Narrow" w:cs="Times New Roman"/>
                <w:b/>
                <w:sz w:val="20"/>
              </w:rPr>
            </w:pPr>
          </w:p>
          <w:p w:rsidR="00245766" w:rsidRPr="006039F3" w:rsidP="00245766">
            <w:pPr>
              <w:tabs>
                <w:tab w:val="left" w:pos="0"/>
              </w:tabs>
              <w:jc w:val="both"/>
              <w:rPr>
                <w:rFonts w:ascii="Arial Narrow" w:hAnsi="Arial Narrow" w:cs="Times New Roman"/>
                <w:b/>
                <w:bCs/>
                <w:noProof/>
                <w:sz w:val="20"/>
              </w:rPr>
            </w:pPr>
            <w:r w:rsidRPr="006039F3">
              <w:rPr>
                <w:rFonts w:ascii="Arial Narrow" w:hAnsi="Arial Narrow" w:cs="Times New Roman"/>
                <w:b/>
                <w:bCs/>
                <w:noProof/>
                <w:sz w:val="20"/>
              </w:rPr>
              <w:t>Zákon č. 566/2001 Z.z. o cenných papieroch a investičných službách a o zmene a doplnení niektorých zákonov (zákon o cenných</w:t>
            </w:r>
            <w:r w:rsidRPr="006039F3">
              <w:rPr>
                <w:rFonts w:ascii="Arial Narrow" w:hAnsi="Arial Narrow" w:cs="Times New Roman"/>
                <w:b/>
                <w:bCs/>
                <w:noProof/>
                <w:sz w:val="20"/>
              </w:rPr>
              <w:t xml:space="preserve"> papieroch)</w:t>
            </w:r>
            <w:r w:rsidRPr="006039F3" w:rsidR="000C2CA7">
              <w:rPr>
                <w:rFonts w:ascii="Arial Narrow" w:hAnsi="Arial Narrow" w:cs="Times New Roman"/>
                <w:b/>
                <w:bCs/>
                <w:noProof/>
                <w:sz w:val="20"/>
              </w:rPr>
              <w:t xml:space="preserve"> (ďalej len „566/2001 “)</w:t>
            </w:r>
          </w:p>
          <w:p w:rsidR="00895B14" w:rsidRPr="006039F3" w:rsidP="00245766">
            <w:pPr>
              <w:tabs>
                <w:tab w:val="left" w:pos="0"/>
              </w:tabs>
              <w:jc w:val="both"/>
              <w:rPr>
                <w:rFonts w:ascii="Arial Narrow" w:hAnsi="Arial Narrow" w:cs="Times New Roman"/>
                <w:b/>
                <w:bCs/>
                <w:noProof/>
                <w:sz w:val="20"/>
              </w:rPr>
            </w:pPr>
          </w:p>
          <w:p w:rsidR="00E00A68" w:rsidRPr="006039F3" w:rsidP="00E00A68">
            <w:pPr>
              <w:tabs>
                <w:tab w:val="left" w:pos="0"/>
              </w:tabs>
              <w:jc w:val="both"/>
              <w:rPr>
                <w:rFonts w:ascii="Arial Narrow" w:hAnsi="Arial Narrow" w:cs="Times New Roman"/>
                <w:b/>
                <w:bCs/>
                <w:noProof/>
                <w:sz w:val="20"/>
              </w:rPr>
            </w:pPr>
            <w:r w:rsidRPr="006039F3" w:rsidR="00895B14">
              <w:rPr>
                <w:rFonts w:ascii="Arial Narrow" w:hAnsi="Arial Narrow" w:cs="Times New Roman"/>
                <w:b/>
                <w:bCs/>
                <w:noProof/>
                <w:sz w:val="20"/>
              </w:rPr>
              <w:t>Zákon č. 483/2001 Z.z. o</w:t>
            </w:r>
            <w:r w:rsidRPr="006039F3">
              <w:rPr>
                <w:rFonts w:ascii="Arial Narrow" w:hAnsi="Arial Narrow" w:cs="Times New Roman"/>
                <w:b/>
                <w:bCs/>
                <w:noProof/>
                <w:sz w:val="20"/>
              </w:rPr>
              <w:t> </w:t>
            </w:r>
            <w:r w:rsidRPr="006039F3" w:rsidR="00895B14">
              <w:rPr>
                <w:rFonts w:ascii="Arial Narrow" w:hAnsi="Arial Narrow" w:cs="Times New Roman"/>
                <w:b/>
                <w:bCs/>
                <w:noProof/>
                <w:sz w:val="20"/>
              </w:rPr>
              <w:t>bankách</w:t>
            </w:r>
            <w:r w:rsidRPr="006039F3">
              <w:rPr>
                <w:rFonts w:ascii="Arial Narrow" w:hAnsi="Arial Narrow" w:cs="Times New Roman"/>
                <w:b/>
                <w:bCs/>
                <w:noProof/>
                <w:sz w:val="20"/>
              </w:rPr>
              <w:t xml:space="preserve"> v znení neskorších</w:t>
            </w:r>
            <w:r w:rsidRPr="006039F3" w:rsidR="00D37DFA">
              <w:rPr>
                <w:rFonts w:ascii="Arial Narrow" w:hAnsi="Arial Narrow" w:cs="Times New Roman"/>
                <w:b/>
                <w:bCs/>
                <w:noProof/>
                <w:sz w:val="20"/>
              </w:rPr>
              <w:t xml:space="preserve"> predpisov (ďalej len „483/2001</w:t>
            </w:r>
            <w:r w:rsidRPr="006039F3">
              <w:rPr>
                <w:rFonts w:ascii="Arial Narrow" w:hAnsi="Arial Narrow" w:cs="Times New Roman"/>
                <w:b/>
                <w:bCs/>
                <w:noProof/>
                <w:sz w:val="20"/>
              </w:rPr>
              <w:t>“)</w:t>
            </w:r>
          </w:p>
          <w:p w:rsidR="004A5246" w:rsidRPr="006039F3" w:rsidP="00245766">
            <w:pPr>
              <w:tabs>
                <w:tab w:val="left" w:pos="0"/>
              </w:tabs>
              <w:jc w:val="both"/>
              <w:rPr>
                <w:rFonts w:ascii="Arial Narrow" w:hAnsi="Arial Narrow" w:cs="Times New Roman"/>
                <w:b/>
                <w:bCs/>
                <w:noProof/>
                <w:sz w:val="20"/>
              </w:rPr>
            </w:pPr>
          </w:p>
          <w:p w:rsidR="00E00A68" w:rsidRPr="006039F3" w:rsidP="00E00A68">
            <w:pPr>
              <w:tabs>
                <w:tab w:val="left" w:pos="0"/>
              </w:tabs>
              <w:jc w:val="both"/>
              <w:rPr>
                <w:rFonts w:ascii="Arial Narrow" w:hAnsi="Arial Narrow" w:cs="Times New Roman"/>
                <w:b/>
                <w:bCs/>
                <w:noProof/>
                <w:sz w:val="20"/>
              </w:rPr>
            </w:pPr>
            <w:r w:rsidRPr="006039F3" w:rsidR="004A5246">
              <w:rPr>
                <w:rFonts w:ascii="Arial Narrow" w:hAnsi="Arial Narrow" w:cs="Times New Roman"/>
                <w:b/>
                <w:bCs/>
                <w:noProof/>
                <w:sz w:val="20"/>
              </w:rPr>
              <w:t>Zákon č. 594/2003 Z.z. o kolektívnom investovaní</w:t>
            </w:r>
            <w:r w:rsidRPr="006039F3">
              <w:rPr>
                <w:rFonts w:ascii="Arial Narrow" w:hAnsi="Arial Narrow" w:cs="Times New Roman"/>
                <w:b/>
                <w:bCs/>
                <w:noProof/>
                <w:sz w:val="20"/>
              </w:rPr>
              <w:t xml:space="preserve"> v znení neskorších predpisov (ďalej len „594/2003“)</w:t>
            </w:r>
          </w:p>
          <w:p w:rsidR="00C94369" w:rsidRPr="006039F3" w:rsidP="00245766">
            <w:pPr>
              <w:tabs>
                <w:tab w:val="left" w:pos="0"/>
              </w:tabs>
              <w:jc w:val="both"/>
              <w:rPr>
                <w:rFonts w:ascii="Arial Narrow" w:hAnsi="Arial Narrow" w:cs="Times New Roman"/>
                <w:b/>
                <w:bCs/>
                <w:noProof/>
                <w:sz w:val="20"/>
              </w:rPr>
            </w:pPr>
          </w:p>
          <w:p w:rsidR="00245766" w:rsidRPr="006039F3" w:rsidP="00D37DFA">
            <w:pPr>
              <w:tabs>
                <w:tab w:val="left" w:pos="0"/>
              </w:tabs>
              <w:jc w:val="both"/>
              <w:rPr>
                <w:rFonts w:ascii="Times New Roman" w:hAnsi="Times New Roman" w:cs="Times New Roman"/>
                <w:b w:val="0"/>
                <w:noProof/>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sidR="002A5890">
              <w:rPr>
                <w:rFonts w:ascii="Arial Narrow" w:hAnsi="Arial Narrow" w:cs="Times New Roman"/>
                <w:sz w:val="20"/>
              </w:rPr>
              <w:t xml:space="preserve"> </w:t>
            </w:r>
            <w:r w:rsidRPr="002B765F">
              <w:rPr>
                <w:rFonts w:ascii="Arial Narrow" w:hAnsi="Arial Narrow" w:cs="Times New Roman"/>
                <w:b/>
                <w:sz w:val="20"/>
              </w:rPr>
              <w:t>č.</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pStyle w:val="Heading2"/>
              <w:rPr>
                <w:rFonts w:ascii="Arial Narrow" w:hAnsi="Arial Narrow" w:cs="Times New Roman"/>
                <w:sz w:val="20"/>
              </w:rPr>
            </w:pPr>
            <w:r w:rsidRPr="002B765F">
              <w:rPr>
                <w:rFonts w:ascii="Arial Narrow" w:hAnsi="Arial Narrow" w:cs="Times New Roman"/>
                <w:sz w:val="20"/>
              </w:rPr>
              <w:t>Text</w:t>
            </w: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sidR="00CF1893">
              <w:rPr>
                <w:rFonts w:ascii="Arial Narrow" w:hAnsi="Arial Narrow" w:cs="Times New Roman"/>
                <w:b/>
                <w:sz w:val="20"/>
              </w:rPr>
              <w:t>Spô sob trans</w:t>
            </w:r>
            <w:r w:rsidRPr="002B765F">
              <w:rPr>
                <w:rFonts w:ascii="Arial Narrow" w:hAnsi="Arial Narrow" w:cs="Times New Roman"/>
                <w:b/>
                <w:sz w:val="20"/>
              </w:rPr>
              <w:t>pozície</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Pr>
                <w:rFonts w:ascii="Arial Narrow" w:hAnsi="Arial Narrow" w:cs="Times New Roman"/>
                <w:b/>
                <w:sz w:val="20"/>
              </w:rPr>
              <w:t>Číslo</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Pr>
                <w:rFonts w:ascii="Arial Narrow" w:hAnsi="Arial Narrow" w:cs="Times New Roman"/>
                <w:b/>
                <w:sz w:val="20"/>
              </w:rPr>
              <w:t>Článok</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Pr>
                <w:rFonts w:ascii="Arial Narrow" w:hAnsi="Arial Narrow" w:cs="Times New Roman"/>
                <w:b/>
                <w:sz w:val="20"/>
              </w:rPr>
              <w:t>Text</w:t>
            </w:r>
          </w:p>
          <w:p w:rsidR="00245766" w:rsidP="00245766">
            <w:pPr>
              <w:tabs>
                <w:tab w:val="left" w:pos="0"/>
              </w:tabs>
              <w:jc w:val="both"/>
              <w:rPr>
                <w:rFonts w:ascii="Arial Narrow" w:hAnsi="Arial Narrow" w:cs="Times New Roman"/>
                <w:b/>
                <w:bCs/>
                <w:noProof/>
                <w:sz w:val="20"/>
              </w:rPr>
            </w:pPr>
          </w:p>
          <w:p w:rsidR="00245766" w:rsidRPr="00245766" w:rsidP="00245766">
            <w:pPr>
              <w:tabs>
                <w:tab w:val="left" w:pos="0"/>
              </w:tabs>
              <w:jc w:val="both"/>
              <w:rPr>
                <w:rFonts w:ascii="Arial Narrow" w:hAnsi="Arial Narrow" w:cs="Times New Roman"/>
                <w:b/>
                <w:bCs/>
                <w:noProof/>
                <w:sz w:val="20"/>
              </w:rPr>
            </w:pPr>
          </w:p>
          <w:p w:rsidR="005F497C" w:rsidRPr="002B765F">
            <w:pPr>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Pr>
                <w:rFonts w:ascii="Arial Narrow" w:hAnsi="Arial Narrow" w:cs="Times New Roman"/>
                <w:b/>
                <w:sz w:val="20"/>
              </w:rPr>
              <w:t>Zhoda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Pr>
                <w:rFonts w:ascii="Arial Narrow" w:hAnsi="Arial Narrow" w:cs="Times New Roman"/>
                <w:b/>
                <w:sz w:val="20"/>
              </w:rPr>
              <w:t>Administratívna infraštruktúra</w:t>
            </w: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Pr>
                <w:rFonts w:ascii="Arial Narrow" w:hAnsi="Arial Narrow" w:cs="Times New Roman"/>
                <w:b/>
                <w:sz w:val="20"/>
              </w:rPr>
              <w:t>Poznámky</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F497C" w:rsidRPr="002B765F">
            <w:pPr>
              <w:rPr>
                <w:rFonts w:ascii="Arial Narrow" w:hAnsi="Arial Narrow" w:cs="Times New Roman"/>
                <w:b/>
                <w:sz w:val="20"/>
              </w:rPr>
            </w:pPr>
            <w:r w:rsidRPr="002B765F">
              <w:rPr>
                <w:rFonts w:ascii="Arial Narrow" w:hAnsi="Arial Narrow" w:cs="Times New Roman"/>
                <w:b/>
                <w:sz w:val="20"/>
              </w:rPr>
              <w:t xml:space="preserve">Štádium legislatívneho procesu </w:t>
            </w: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7078D1">
            <w:pPr>
              <w:rPr>
                <w:rFonts w:ascii="Arial Narrow" w:hAnsi="Arial Narrow" w:cs="Times New Roman"/>
                <w:sz w:val="20"/>
              </w:rPr>
            </w:pPr>
            <w:r w:rsidRPr="007078D1">
              <w:rPr>
                <w:rFonts w:ascii="Arial Narrow" w:hAnsi="Arial Narrow" w:cs="Times New Roman"/>
                <w:sz w:val="20"/>
              </w:rPr>
              <w:t>Čl.1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CIEĽ A DEFINÍCIE</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Cieľ</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Táto smernica ustanovuje predpisy na doplnkový dohľad nad regulovanými subjektmi, ktorým bolo udelené oprávnenie podľa článku 6 smernice 73/239/EHS, článku 6 smernice 79/267/EHS, článku 3 ods. 1 smernice 93/22/EHS alebo článku 4 smernice 2000/12/ES a ktoré sú súčasťou finančného konglomerátu. Taktiež mení príslušné sektorové predpisy platné pre subjekty, ktorých činnosť upravujú vy</w:t>
            </w:r>
            <w:r w:rsidRPr="00C02544">
              <w:rPr>
                <w:rFonts w:ascii="Arial Narrow" w:hAnsi="Arial Narrow" w:cs="Tahoma"/>
                <w:sz w:val="20"/>
                <w:szCs w:val="20"/>
              </w:rPr>
              <w:t>ššie uvedené smernice.</w:t>
            </w:r>
          </w:p>
          <w:p w:rsidR="00B74452"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pPr>
              <w:pStyle w:val="FootnoteText"/>
              <w:overflowPunct/>
              <w:adjustRightInd/>
              <w:textAlignment w:val="auto"/>
              <w:rPr>
                <w:rFonts w:ascii="Arial Narrow" w:hAnsi="Arial Narrow" w:cs="Times New Roman"/>
                <w:lang w:val="sk-SK"/>
              </w:rPr>
            </w:pPr>
          </w:p>
          <w:p w:rsidR="00D37DFA" w:rsidRPr="007078D1">
            <w:pPr>
              <w:pStyle w:val="FootnoteText"/>
              <w:overflowPunct/>
              <w:adjustRightInd/>
              <w:textAlignment w:val="auto"/>
              <w:rPr>
                <w:rFonts w:ascii="Arial Narrow" w:hAnsi="Arial Narrow" w:cs="Times New Roman"/>
                <w:lang w:val="sk-SK"/>
              </w:rPr>
            </w:pPr>
            <w:r>
              <w:rPr>
                <w:rFonts w:ascii="Arial Narrow" w:hAnsi="Arial Narrow" w:cs="Times New Roman"/>
                <w:lang w:val="sk-SK"/>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RPr="007078D1" w:rsidP="009952AA">
            <w:pPr>
              <w:rPr>
                <w:rFonts w:ascii="Arial Narrow" w:hAnsi="Arial Narrow" w:cs="Times New Roman"/>
                <w:sz w:val="20"/>
              </w:rPr>
            </w:pPr>
            <w:r w:rsidR="006039F3">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7DFA" w:rsidP="009952AA">
            <w:pPr>
              <w:rPr>
                <w:rFonts w:ascii="Arial Narrow" w:hAnsi="Arial Narrow" w:cs="Times New Roman"/>
                <w:sz w:val="20"/>
              </w:rPr>
            </w:pPr>
            <w:r>
              <w:rPr>
                <w:rFonts w:ascii="Arial Narrow" w:hAnsi="Arial Narrow" w:cs="Times New Roman"/>
                <w:sz w:val="20"/>
              </w:rPr>
              <w:t xml:space="preserve">§ 1 ods.1 </w:t>
            </w: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r>
              <w:rPr>
                <w:rFonts w:ascii="Arial Narrow" w:hAnsi="Arial Narrow" w:cs="Times New Roman"/>
                <w:sz w:val="20"/>
              </w:rPr>
              <w:t xml:space="preserve">§ 49 ods.1 </w:t>
            </w: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80F3F"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r>
              <w:rPr>
                <w:rFonts w:ascii="Arial Narrow" w:hAnsi="Arial Narrow" w:cs="Times New Roman"/>
                <w:sz w:val="20"/>
              </w:rPr>
              <w:t>ods.2</w:t>
            </w: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D37DFA" w:rsidP="009952AA">
            <w:pPr>
              <w:rPr>
                <w:rFonts w:ascii="Arial Narrow" w:hAnsi="Arial Narrow" w:cs="Times New Roman"/>
                <w:sz w:val="20"/>
              </w:rPr>
            </w:pPr>
          </w:p>
          <w:p w:rsidR="002506EA" w:rsidRPr="007078D1" w:rsidP="009952AA">
            <w:pPr>
              <w:rPr>
                <w:rFonts w:ascii="Arial Narrow" w:hAnsi="Arial Narrow" w:cs="Times New Roman"/>
                <w:sz w:val="20"/>
              </w:rPr>
            </w:pPr>
            <w:r w:rsidR="00D37DFA">
              <w:rPr>
                <w:rFonts w:ascii="Arial Narrow" w:hAnsi="Arial Narrow" w:cs="Times New Roman"/>
                <w:sz w:val="20"/>
              </w:rPr>
              <w:t xml:space="preserve"> § 52</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7DFA" w:rsidRPr="00D37DFA" w:rsidP="00D37DFA">
            <w:pPr>
              <w:jc w:val="both"/>
              <w:rPr>
                <w:rFonts w:ascii="Arial Narrow" w:hAnsi="Arial Narrow" w:cs="Times New Roman"/>
                <w:sz w:val="20"/>
              </w:rPr>
            </w:pPr>
            <w:r w:rsidRPr="00D37DFA">
              <w:rPr>
                <w:rFonts w:ascii="Arial Narrow" w:hAnsi="Arial Narrow" w:cs="Times New Roman"/>
                <w:sz w:val="20"/>
              </w:rPr>
              <w:t xml:space="preserve">Tento zákon upravuje </w:t>
            </w:r>
          </w:p>
          <w:p w:rsidR="00D37DFA" w:rsidRPr="00D37DFA" w:rsidP="00D37DFA">
            <w:pPr>
              <w:jc w:val="both"/>
              <w:rPr>
                <w:rFonts w:ascii="Arial Narrow" w:hAnsi="Arial Narrow" w:cs="Times New Roman"/>
                <w:sz w:val="20"/>
              </w:rPr>
            </w:pPr>
            <w:r w:rsidRPr="00D37DFA">
              <w:rPr>
                <w:rFonts w:ascii="Arial Narrow" w:hAnsi="Arial Narrow" w:cs="Times New Roman"/>
                <w:sz w:val="20"/>
              </w:rPr>
              <w:t>a) niektoré vzťahy súvisiace so vznikom, organizáciou, riadením, vykonávaním činnosti a zánikom poisťovní a zaisťovní,</w:t>
            </w:r>
          </w:p>
          <w:p w:rsidR="00D37DFA" w:rsidRPr="00D37DFA" w:rsidP="00D37DFA">
            <w:pPr>
              <w:jc w:val="both"/>
              <w:rPr>
                <w:rFonts w:ascii="Arial Narrow" w:hAnsi="Arial Narrow" w:cs="Times New Roman"/>
                <w:sz w:val="20"/>
              </w:rPr>
            </w:pPr>
            <w:r w:rsidRPr="00D37DFA">
              <w:rPr>
                <w:rFonts w:ascii="Arial Narrow" w:hAnsi="Arial Narrow" w:cs="Times New Roman"/>
                <w:sz w:val="20"/>
              </w:rPr>
              <w:t>b) niektoré vzťahy súvisiace s pôsobením poisťovní z iných členských štátov, zaisťovní z iných členských štátov, zahraničných poisťovní a zahraničných zaisťovní na území Slovenskej republiky,</w:t>
            </w:r>
          </w:p>
          <w:p w:rsidR="00D37DFA" w:rsidRPr="00D37DFA" w:rsidP="00D37DFA">
            <w:pPr>
              <w:jc w:val="both"/>
              <w:rPr>
                <w:rFonts w:ascii="Arial Narrow" w:hAnsi="Arial Narrow" w:cs="Times New Roman"/>
                <w:sz w:val="20"/>
              </w:rPr>
            </w:pPr>
            <w:r w:rsidRPr="00D37DFA">
              <w:rPr>
                <w:rFonts w:ascii="Arial Narrow" w:hAnsi="Arial Narrow" w:cs="Times New Roman"/>
                <w:sz w:val="20"/>
              </w:rPr>
              <w:t>c)</w:t>
            </w:r>
            <w:r w:rsidR="00D80F3F">
              <w:rPr>
                <w:rFonts w:ascii="Arial Narrow" w:hAnsi="Arial Narrow" w:cs="Times New Roman"/>
                <w:sz w:val="20"/>
              </w:rPr>
              <w:t xml:space="preserve"> výkon dohľadu</w:t>
            </w:r>
            <w:r w:rsidRPr="00D37DFA">
              <w:rPr>
                <w:rFonts w:ascii="Arial Narrow" w:hAnsi="Arial Narrow" w:cs="Times New Roman"/>
                <w:sz w:val="20"/>
              </w:rPr>
              <w:t>.</w:t>
            </w:r>
          </w:p>
          <w:p w:rsidR="00D37DFA" w:rsidRPr="00D37DFA" w:rsidP="00D37DFA">
            <w:pPr>
              <w:jc w:val="both"/>
              <w:rPr>
                <w:rFonts w:ascii="Arial Narrow" w:hAnsi="Arial Narrow" w:cs="Times New Roman"/>
                <w:sz w:val="20"/>
              </w:rPr>
            </w:pPr>
            <w:r w:rsidRPr="00D37DFA">
              <w:rPr>
                <w:rFonts w:ascii="Arial Narrow" w:hAnsi="Arial Narrow" w:cs="Times New Roman"/>
                <w:sz w:val="20"/>
              </w:rPr>
              <w:t>Národná banka Slovenska vykonáva dohľad nad činnosťou poisťovne alebo zaisťovne v skupine (ďalej len „dohľad nad skupinou“)</w:t>
            </w:r>
          </w:p>
          <w:p w:rsidR="00D37DFA" w:rsidRPr="00D37DFA" w:rsidP="00D37DFA">
            <w:pPr>
              <w:jc w:val="both"/>
              <w:rPr>
                <w:rFonts w:ascii="Arial Narrow" w:hAnsi="Arial Narrow" w:cs="Times New Roman"/>
                <w:sz w:val="20"/>
              </w:rPr>
            </w:pPr>
            <w:r w:rsidRPr="00D37DFA">
              <w:rPr>
                <w:rFonts w:ascii="Arial Narrow" w:hAnsi="Arial Narrow" w:cs="Times New Roman"/>
                <w:sz w:val="20"/>
              </w:rPr>
              <w:t>a) ktorá má účasť v aspoň jednej poisťovni, poisťovni z iného členského štátu, zahraničnej poisťovni alebo zaisťovni, zaisťovni z iného členské</w:t>
            </w:r>
            <w:r w:rsidR="00D80F3F">
              <w:rPr>
                <w:rFonts w:ascii="Arial Narrow" w:hAnsi="Arial Narrow" w:cs="Times New Roman"/>
                <w:sz w:val="20"/>
              </w:rPr>
              <w:t>ho štátu, zahraničnej zaisťovni,</w:t>
            </w:r>
          </w:p>
          <w:p w:rsidR="00D37DFA" w:rsidRPr="00D37DFA" w:rsidP="00D37DFA">
            <w:pPr>
              <w:jc w:val="both"/>
              <w:rPr>
                <w:rFonts w:ascii="Arial Narrow" w:hAnsi="Arial Narrow" w:cs="Times New Roman"/>
                <w:sz w:val="20"/>
              </w:rPr>
            </w:pPr>
            <w:r w:rsidRPr="00D37DFA">
              <w:rPr>
                <w:rFonts w:ascii="Arial Narrow" w:hAnsi="Arial Narrow" w:cs="Times New Roman"/>
                <w:sz w:val="20"/>
              </w:rPr>
              <w:t>b) ktorej materským podniko</w:t>
            </w:r>
            <w:r w:rsidRPr="00D37DFA">
              <w:rPr>
                <w:rFonts w:ascii="Arial Narrow" w:hAnsi="Arial Narrow" w:cs="Times New Roman"/>
                <w:sz w:val="20"/>
              </w:rPr>
              <w:t>m je</w:t>
            </w:r>
            <w:r w:rsidR="00D80F3F">
              <w:rPr>
                <w:rFonts w:ascii="Arial Narrow" w:hAnsi="Arial Narrow" w:cs="Times New Roman"/>
                <w:sz w:val="20"/>
              </w:rPr>
              <w:t xml:space="preserve"> poisťovacia</w:t>
            </w:r>
            <w:r w:rsidRPr="00D37DFA">
              <w:rPr>
                <w:rFonts w:ascii="Arial Narrow" w:hAnsi="Arial Narrow" w:cs="Times New Roman"/>
                <w:sz w:val="20"/>
              </w:rPr>
              <w:t xml:space="preserve"> holdingová </w:t>
            </w:r>
            <w:r w:rsidR="00D80F3F">
              <w:rPr>
                <w:rFonts w:ascii="Arial Narrow" w:hAnsi="Arial Narrow" w:cs="Times New Roman"/>
                <w:sz w:val="20"/>
              </w:rPr>
              <w:t>spoločnosť</w:t>
            </w:r>
            <w:r w:rsidRPr="00D37DFA">
              <w:rPr>
                <w:rFonts w:ascii="Arial Narrow" w:hAnsi="Arial Narrow" w:cs="Times New Roman"/>
                <w:sz w:val="20"/>
              </w:rPr>
              <w:t>, zahraničná poisťovňa alebo zahraničná zaisťovňa,</w:t>
            </w:r>
          </w:p>
          <w:p w:rsidR="00D37DFA" w:rsidRPr="00D37DFA" w:rsidP="00D37DFA">
            <w:pPr>
              <w:jc w:val="both"/>
              <w:rPr>
                <w:rFonts w:ascii="Arial Narrow" w:hAnsi="Arial Narrow" w:cs="Times New Roman"/>
                <w:sz w:val="20"/>
              </w:rPr>
            </w:pPr>
            <w:r w:rsidRPr="00D37DFA">
              <w:rPr>
                <w:rFonts w:ascii="Arial Narrow" w:hAnsi="Arial Narrow" w:cs="Times New Roman"/>
                <w:sz w:val="20"/>
              </w:rPr>
              <w:t>c) ktorej materským podnikom je zmiešaná</w:t>
            </w:r>
            <w:r w:rsidR="00D80F3F">
              <w:rPr>
                <w:rFonts w:ascii="Arial Narrow" w:hAnsi="Arial Narrow" w:cs="Times New Roman"/>
                <w:sz w:val="20"/>
              </w:rPr>
              <w:t xml:space="preserve"> poisťovacia holdingová spoločnosť</w:t>
            </w:r>
            <w:r w:rsidRPr="00D37DFA">
              <w:rPr>
                <w:rFonts w:ascii="Arial Narrow" w:hAnsi="Arial Narrow" w:cs="Times New Roman"/>
                <w:sz w:val="20"/>
              </w:rPr>
              <w:t>.</w:t>
            </w:r>
          </w:p>
          <w:p w:rsidR="00D37DFA" w:rsidRPr="00D37DFA" w:rsidP="00D37DFA">
            <w:pPr>
              <w:jc w:val="both"/>
              <w:rPr>
                <w:rFonts w:ascii="Arial Narrow" w:hAnsi="Arial Narrow" w:cs="Times New Roman"/>
                <w:sz w:val="20"/>
              </w:rPr>
            </w:pPr>
            <w:r w:rsidRPr="00D37DFA">
              <w:rPr>
                <w:rFonts w:ascii="Arial Narrow" w:hAnsi="Arial Narrow" w:cs="Times New Roman"/>
                <w:sz w:val="20"/>
              </w:rPr>
              <w:t>Predmetom dohľadu nad skupinou je:</w:t>
            </w:r>
          </w:p>
          <w:p w:rsidR="00D37DFA" w:rsidRPr="00D37DFA" w:rsidP="00D37DFA">
            <w:pPr>
              <w:jc w:val="both"/>
              <w:rPr>
                <w:rFonts w:ascii="Arial Narrow" w:hAnsi="Arial Narrow" w:cs="Times New Roman"/>
                <w:sz w:val="20"/>
              </w:rPr>
            </w:pPr>
            <w:r w:rsidRPr="00D37DFA">
              <w:rPr>
                <w:rFonts w:ascii="Arial Narrow" w:hAnsi="Arial Narrow" w:cs="Times New Roman"/>
                <w:sz w:val="20"/>
              </w:rPr>
              <w:t>a) príbuzná spoločnosť poisťovne alebo zaisťovne</w:t>
            </w:r>
          </w:p>
          <w:p w:rsidR="00D37DFA" w:rsidRPr="00D37DFA" w:rsidP="00D37DFA">
            <w:pPr>
              <w:jc w:val="both"/>
              <w:rPr>
                <w:rFonts w:ascii="Arial Narrow" w:hAnsi="Arial Narrow" w:cs="Times New Roman"/>
                <w:sz w:val="20"/>
              </w:rPr>
            </w:pPr>
            <w:r w:rsidRPr="00D37DFA">
              <w:rPr>
                <w:rFonts w:ascii="Arial Narrow" w:hAnsi="Arial Narrow" w:cs="Times New Roman"/>
                <w:sz w:val="20"/>
              </w:rPr>
              <w:t>b) spoločnosť s účasťou v poisťovni alebo zaisťovni</w:t>
            </w:r>
          </w:p>
          <w:p w:rsidR="00D37DFA" w:rsidRPr="00D37DFA" w:rsidP="00D37DFA">
            <w:pPr>
              <w:jc w:val="both"/>
              <w:rPr>
                <w:rFonts w:ascii="Arial Narrow" w:hAnsi="Arial Narrow" w:cs="Times New Roman"/>
                <w:sz w:val="20"/>
              </w:rPr>
            </w:pPr>
            <w:r w:rsidRPr="00D37DFA">
              <w:rPr>
                <w:rFonts w:ascii="Arial Narrow" w:hAnsi="Arial Narrow" w:cs="Times New Roman"/>
                <w:sz w:val="20"/>
              </w:rPr>
              <w:t>c) príbuzná spoločnosť s účasťou v poisťovni alebo v zaisťovni</w:t>
            </w:r>
          </w:p>
          <w:p w:rsidR="00F9346C" w:rsidRPr="00D37DFA" w:rsidP="0004140F">
            <w:pPr>
              <w:jc w:val="both"/>
              <w:rPr>
                <w:rFonts w:ascii="Arial Narrow" w:hAnsi="Arial Narrow" w:cs="Times New Roman"/>
                <w:sz w:val="20"/>
              </w:rPr>
            </w:pPr>
            <w:r w:rsidRPr="00D37DFA" w:rsidR="00D37DFA">
              <w:rPr>
                <w:rFonts w:ascii="Arial Narrow" w:hAnsi="Arial Narrow" w:cs="Times New Roman"/>
                <w:sz w:val="20"/>
              </w:rPr>
              <w:t>Doplňujúcim dohľadom je sledovanie a regulácia rizík finančných konglomerátov, ktorých súčasťou sú poisťovne, poisťovne z iného členského štátu, zahraničné poisťovne vrátane ich pobočiek, zaisťovne, zaisťovne z iného členského štátu, zahraničné zaisťovne vrátane ich pobočiek, obchodníci s cennými papiermi, banky, inštitúcie elektronických peňazí, správcovské spoločnosti, na účely obmedzenia rizík, ktorým je poisťovňa, poisťovňa z iného členského štátu, zahraničná poisťovňa vrátane ich pobočiek, zaisťovňa, zaisťovňa z iného členského štátu, zahraničná zaisťovňa vrátane ich pobočiek alebo iná regulovaná osoba vystavená z dôvodu svojej účasti vo finančnom</w:t>
            </w:r>
            <w:r w:rsidRPr="00D37DFA" w:rsidR="00D37DFA">
              <w:rPr>
                <w:rFonts w:ascii="Arial Narrow" w:hAnsi="Arial Narrow" w:cs="Times New Roman"/>
                <w:sz w:val="20"/>
              </w:rPr>
              <w:t xml:space="preserve"> konglomeráte</w:t>
            </w:r>
            <w:r w:rsidR="00D37DFA">
              <w:rPr>
                <w:rFonts w:ascii="Arial Narrow" w:hAnsi="Arial Narrow" w:cs="Times New Roman"/>
                <w:sz w:val="20"/>
              </w:rPr>
              <w: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7078D1">
            <w:pPr>
              <w:rPr>
                <w:rFonts w:ascii="Arial Narrow" w:hAnsi="Arial Narrow" w:cs="Times New Roman"/>
                <w:sz w:val="20"/>
              </w:rPr>
            </w:pPr>
            <w:r w:rsidR="00D37DFA">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376C"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F30A3"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7078D1">
            <w:pPr>
              <w:rPr>
                <w:rFonts w:ascii="Arial Narrow" w:hAnsi="Arial Narrow" w:cs="Times New Roman"/>
                <w:sz w:val="20"/>
              </w:rPr>
            </w:pPr>
            <w:r w:rsidRPr="007078D1">
              <w:rPr>
                <w:rFonts w:ascii="Arial Narrow" w:hAnsi="Arial Narrow" w:cs="Times New Roman"/>
                <w:sz w:val="20"/>
              </w:rPr>
              <w:t>Čl.2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Definície</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Na účel tejto smernice:</w:t>
            </w: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"úverová inštitúcia" znamená úverovú inštitúciu v zmysle druhého pododseku článku 1 ods. 1 smernice 2000/12/ES;</w:t>
            </w: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RPr="00C02544"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"poisťovňa" znamená poisťovňu v zmysle článku 6 smernice 73/239/EHS, článku 6 smernice 79/267/EHS alebo článku 1 písm. b) smernice 98/78/ES;</w:t>
            </w: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2A367E"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RPr="00C02544"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"investičná spoločnosť" znamená investičnú spoločnosť v zmysle článku 1 ods. 2 smernice 93/22/EHS vrátane podnikov uvedených v článku 2 ods. 4 smernice 93/6/EHS;</w:t>
            </w: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D37DFA"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RPr="00C02544"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"regulovaný subjekt" znamená úverovú inštitúciu, poisťovňu alebo investičnú spoločnosť;</w:t>
            </w: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RPr="00C02544"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 "spoločnosť pre správu majetku" znamená správcovskú spoločnosť v zmysle článku 1a ods. 2 smernice Rady 85/611/EHS z 20. decembra 1985 o koordinácii zákonov, iných právnych predpisov a správnych opatrení týkajúcich sa podnikov kolektívneho investovania do prevoditeľných cenných papierov (PKIPCP) [14], ako aj spoločnosť so sídlom mimo spoločenstva, ktorá by potrebovala oprávnenie podľa článku 5 ods. 1 uvedenej smernice, ak by mala sídlo v spoločenstve;</w:t>
            </w: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RPr="00C02544"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6. "zaisťovňa" znamená zaisťovňu v zmysle článku 1 písm. c) smernice 98/78/ES;</w:t>
            </w: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53717E" w:rsidP="00C02544">
            <w:pPr>
              <w:pStyle w:val="Normlnywebov8"/>
              <w:spacing w:before="0" w:after="0"/>
              <w:ind w:left="0" w:right="0"/>
              <w:jc w:val="both"/>
              <w:rPr>
                <w:rFonts w:ascii="Arial Narrow" w:hAnsi="Arial Narrow" w:cs="Tahoma"/>
                <w:sz w:val="20"/>
                <w:szCs w:val="20"/>
              </w:rPr>
            </w:pPr>
          </w:p>
          <w:p w:rsidR="00433C79" w:rsidP="00C02544">
            <w:pPr>
              <w:pStyle w:val="Normlnywebov8"/>
              <w:spacing w:before="0" w:after="0"/>
              <w:ind w:left="0" w:right="0"/>
              <w:jc w:val="both"/>
              <w:rPr>
                <w:rFonts w:ascii="Arial Narrow" w:hAnsi="Arial Narrow" w:cs="Tahoma"/>
                <w:sz w:val="20"/>
                <w:szCs w:val="20"/>
              </w:rPr>
            </w:pPr>
          </w:p>
          <w:p w:rsidR="0053717E" w:rsidRPr="00C02544" w:rsidP="00C02544">
            <w:pPr>
              <w:pStyle w:val="Normlnywebov8"/>
              <w:spacing w:before="0" w:after="0"/>
              <w:ind w:left="0" w:right="0"/>
              <w:jc w:val="both"/>
              <w:rPr>
                <w:rFonts w:ascii="Arial Narrow" w:hAnsi="Arial Narrow" w:cs="Tahoma"/>
                <w:sz w:val="20"/>
                <w:szCs w:val="20"/>
              </w:rPr>
            </w:pP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7. "sektorové predpisy" znamenajú právne predpisy spoločenstva týkajúce sa dohľadu nad obozretným podnikaním</w:t>
            </w:r>
            <w:r w:rsidRPr="00C02544">
              <w:rPr>
                <w:rFonts w:ascii="Arial Narrow" w:hAnsi="Arial Narrow" w:cs="Tahoma"/>
                <w:sz w:val="20"/>
                <w:szCs w:val="20"/>
              </w:rPr>
              <w:t xml:space="preserve"> regulovaných subjektov, najmä smernice 73/239/EHS, 79/267/EHS, 98/78/ES, 93/6/EHS, 93/22/EHS a 2000/12/ES;</w:t>
            </w: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8. "finančný sektor" znamená sektor, ktorý tvorí jeden alebo viaceré nasledujúce subjekty:</w:t>
            </w:r>
          </w:p>
          <w:p w:rsidR="000C6FFE" w:rsidRPr="00C02544" w:rsidP="00C02544">
            <w:pPr>
              <w:pStyle w:val="Normlnywebov8"/>
              <w:spacing w:before="0" w:after="0"/>
              <w:ind w:left="0" w:right="0"/>
              <w:jc w:val="both"/>
              <w:rPr>
                <w:rFonts w:ascii="Arial Narrow" w:hAnsi="Arial Narrow" w:cs="Tahoma"/>
                <w:sz w:val="20"/>
                <w:szCs w:val="20"/>
              </w:rPr>
            </w:pP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úverová inštitúcia, finančná inštitúcia alebo podnik poskytujúci doplnkové bankové služby v zmysle článku 1 ods. 5 a 23 smernice 2000/12/ES (bankový sektor);</w:t>
            </w: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poisťovňa, zaisťovňa alebo holdingová poisťovňa v zmysle článku 1 písm. i) smernice 98/78/ES (sektor poisťovníctva);</w:t>
            </w:r>
          </w:p>
          <w:p w:rsidR="000C6FFE" w:rsidP="00C02544">
            <w:pPr>
              <w:pStyle w:val="Normlnywebov8"/>
              <w:spacing w:before="0" w:after="0"/>
              <w:ind w:left="0" w:right="0"/>
              <w:jc w:val="both"/>
              <w:rPr>
                <w:rFonts w:ascii="Arial Narrow" w:hAnsi="Arial Narrow" w:cs="Tahoma"/>
                <w:sz w:val="20"/>
                <w:szCs w:val="20"/>
              </w:rPr>
            </w:pPr>
          </w:p>
          <w:p w:rsidR="000C6FFE" w:rsidP="00C02544">
            <w:pPr>
              <w:pStyle w:val="Normlnywebov8"/>
              <w:spacing w:before="0" w:after="0"/>
              <w:ind w:left="0" w:right="0"/>
              <w:jc w:val="both"/>
              <w:rPr>
                <w:rFonts w:ascii="Arial Narrow" w:hAnsi="Arial Narrow" w:cs="Tahoma"/>
                <w:sz w:val="20"/>
                <w:szCs w:val="20"/>
              </w:rPr>
            </w:pPr>
          </w:p>
          <w:p w:rsidR="000C6FFE" w:rsidRPr="00C02544"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investičná spoločnosť alebo finančná inštitúcia v zmysle článku 2 ods. 7 smernice 93/6/EHS (sektor investičných služieb);</w:t>
            </w:r>
          </w:p>
          <w:p w:rsidR="000C6FFE"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 zmiešaná finančná holdingová spoločnosť;</w:t>
            </w:r>
          </w:p>
          <w:p w:rsidR="000C6FFE" w:rsidRPr="00C02544" w:rsidP="00C02544">
            <w:pPr>
              <w:pStyle w:val="Normlnywebov8"/>
              <w:spacing w:before="0" w:after="0"/>
              <w:ind w:left="0" w:right="0"/>
              <w:jc w:val="both"/>
              <w:rPr>
                <w:rFonts w:ascii="Arial Narrow" w:hAnsi="Arial Narrow" w:cs="Tahoma"/>
                <w:sz w:val="20"/>
                <w:szCs w:val="20"/>
              </w:rPr>
            </w:pP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9. "materský podnik" znamená materský podnik v zmysle článku 1 siedmej smernice Rady 83/349/EHS z 13. júna 1983 o konsolidovaných účtovných závierkach [15] a každú spoločnosť, ktorá podľa názoru príslušných orgánov efektívne uplatňuje dominantný vplyv nad inou spoločnosťou;</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10. "dcérsky podnik" znamená dcérsky podnik v zmysle článku 1 smernice 83/349/EHS a každú spoločnosť, nad ktorou podľa názoru príslušných orgánov materský podnik efektívne uplatňuje dominantný vplyv; všetky dcérske podniky dcérskych podnikov sa považujú za dcérske podniky materského podniku;</w:t>
            </w: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11. "účasť" znamená účasť v zmysle prvej vety článku 17 štvrtej smernice Rady 78/660/EHS z 25. júla 1978 o ročnej účtovnej závierke určitých typov obchodných podnikov [16] alebo priame alebo nepriame vlastníctvo 20 %, alebo viac hlasovacích práv alebo základného imania podniku;</w:t>
            </w:r>
          </w:p>
          <w:p w:rsidR="000C6FFE" w:rsidP="00C02544">
            <w:pPr>
              <w:pStyle w:val="Normlnywebov8"/>
              <w:spacing w:before="0" w:after="0"/>
              <w:ind w:left="0" w:right="0"/>
              <w:jc w:val="both"/>
              <w:rPr>
                <w:rFonts w:ascii="Arial Narrow" w:hAnsi="Arial Narrow" w:cs="Tahoma"/>
                <w:sz w:val="20"/>
                <w:szCs w:val="20"/>
              </w:rPr>
            </w:pPr>
          </w:p>
          <w:p w:rsidR="000C6FFE" w:rsidP="00C02544">
            <w:pPr>
              <w:pStyle w:val="Normlnywebov8"/>
              <w:spacing w:before="0" w:after="0"/>
              <w:ind w:left="0" w:right="0"/>
              <w:jc w:val="both"/>
              <w:rPr>
                <w:rFonts w:ascii="Arial Narrow" w:hAnsi="Arial Narrow" w:cs="Tahoma"/>
                <w:sz w:val="20"/>
                <w:szCs w:val="20"/>
              </w:rPr>
            </w:pPr>
          </w:p>
          <w:p w:rsidR="000C6FFE" w:rsidP="00C02544">
            <w:pPr>
              <w:pStyle w:val="Normlnywebov8"/>
              <w:spacing w:before="0" w:after="0"/>
              <w:ind w:left="0" w:right="0"/>
              <w:jc w:val="both"/>
              <w:rPr>
                <w:rFonts w:ascii="Arial Narrow" w:hAnsi="Arial Narrow" w:cs="Tahoma"/>
                <w:sz w:val="20"/>
                <w:szCs w:val="20"/>
              </w:rPr>
            </w:pPr>
          </w:p>
          <w:p w:rsidR="000C6FFE" w:rsidRPr="00C02544" w:rsidP="00C02544">
            <w:pPr>
              <w:pStyle w:val="Normlnywebov8"/>
              <w:spacing w:before="0" w:after="0"/>
              <w:ind w:left="0" w:right="0"/>
              <w:jc w:val="both"/>
              <w:rPr>
                <w:rFonts w:ascii="Arial Narrow" w:hAnsi="Arial Narrow" w:cs="Tahoma"/>
                <w:sz w:val="20"/>
                <w:szCs w:val="20"/>
              </w:rPr>
            </w:pP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12. "skupina" znamená skupinu podnikov, ktorá sa skladá z materského podniku, jej dcérskych podnikov a subjektov, v ktorých materský podnik alebo jeho dcérske podniky majú účasť, ako aj podnikov navzájom prepojených vzťahom v zmysle článku 12 ods. 1 smernice 83/349/EHS;</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13. "úzke väzby</w:t>
            </w:r>
            <w:r w:rsidRPr="00C02544">
              <w:rPr>
                <w:rFonts w:ascii="Arial Narrow" w:hAnsi="Arial Narrow" w:cs="Tahoma"/>
                <w:sz w:val="20"/>
                <w:szCs w:val="20"/>
              </w:rPr>
              <w:t>" znamená situáciu, pri ktorej dve alebo viaceré fyzické alebo právnické osoby sú prepojené:</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"účasťou", ktorá znamená vlastníctvo, priame alebo vo forme kontroly, 20 % alebo viac hlasovacích práv alebo základného imania podniku, alebo</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"kontrolou", ktorá znamená vzťah medzi materským podnikom a dcérskym podnikom, vo všetkých prípadoch uvedených v článku 1 ods. 1 a 2 smernice 83/349/EHS, alebo podobný vzťah medzi akoukoľvek právnickou alebo fyzickou osobu a podnikom; každý dcérsky podnik dcérskeho podniku sa tiež považuje za dcérsky podnik materského podniku, ktorý je na vrchole týchto podnikov.</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Situácia, v ktorej sú dve alebo viaceré fyzické alebo právnické osoby trvalo spojené s jednou a tou istou osobou vzťahom kontroly, sa tiež považuje za predstavuj</w:t>
            </w:r>
            <w:r w:rsidRPr="00C02544">
              <w:rPr>
                <w:rFonts w:ascii="Arial Narrow" w:hAnsi="Arial Narrow" w:cs="Tahoma"/>
                <w:sz w:val="20"/>
                <w:szCs w:val="20"/>
              </w:rPr>
              <w:t>úcu úzku väzbu medzi týmito osobami;</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14. "finančný konglomerát" znamená skupinu, ktorá spĺňa, s výhradou článku 3, tieto podmienky:</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na vrchole skupiny je regulovaný subjekt v zmysle článku 1 alebo aspoň jeden z dcérskych podnikov v skupine je regulovaným subjektom v zmysle článku 1;</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ak je na vrchole skupiny regulovaný subjekt v zmysle článku 1, tento je buď materským podnikom subjektu vo finančnom sektore, subjektom, ktorý vlastní účasť v subjekte vo finančnom sektore, alebo je subjektom prepojeným so subjektom vo finančnom sektore vzťahom v zmysle článku 12 ods. 1 smernice 83/349/EHS;</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ak na vrchole skupiny nie je regulovaný subjekt v zmysle článku 1, činnosti skupiny sa sústreďujú prevažne vo finančnom sektore v zmysle článku 3 ods. 1;</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 aspoň jeden zo subjektov v skupine sa nachádza v sektore poisťovníctva a aspoň jeden v bankovom sektore alebo v sektore investičných služieb;</w:t>
            </w: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e) konsolidované, resp. agregované činnosti subjektov skupiny v sektore poisťovníctva a konsolidované, resp. agregované činnosti subjektov skupiny v bankovom sektore a v sektore investičných služieb sú významné v zmysle článkov 3 ods. 2, ako aj 3.</w:t>
            </w: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Za finančný konglomerát sa považuje každá podskupina skupiny v zmysle bodu 12, ktorá spĺňa kritériá uvedené v tomto bode;</w:t>
            </w: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5C3E65" w:rsidRPr="00C02544"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15. "zmiešaná finančná holdingová spoločnosť" znamená materský podnik iný ako regulovaný subjekt, ktorý spolu so svojimi dcérskymi podnikmi, z ktorých aspoň jeden je regulovaným subjektom so sídlom v spoločenstve, a s ostatnými subjektmi predstavuje finančný konglomerát;</w:t>
            </w:r>
          </w:p>
          <w:p w:rsidR="005C3E65" w:rsidP="00C02544">
            <w:pPr>
              <w:pStyle w:val="Normlnywebov8"/>
              <w:spacing w:before="0" w:after="0"/>
              <w:ind w:left="0" w:right="0"/>
              <w:jc w:val="both"/>
              <w:rPr>
                <w:rFonts w:ascii="Arial Narrow" w:hAnsi="Arial Narrow" w:cs="Tahoma"/>
                <w:sz w:val="20"/>
                <w:szCs w:val="20"/>
              </w:rPr>
            </w:pPr>
          </w:p>
          <w:p w:rsidR="005C3E65" w:rsidP="00C02544">
            <w:pPr>
              <w:pStyle w:val="Normlnywebov8"/>
              <w:spacing w:before="0" w:after="0"/>
              <w:ind w:left="0" w:right="0"/>
              <w:jc w:val="both"/>
              <w:rPr>
                <w:rFonts w:ascii="Arial Narrow" w:hAnsi="Arial Narrow" w:cs="Tahoma"/>
                <w:sz w:val="20"/>
                <w:szCs w:val="20"/>
              </w:rPr>
            </w:pP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16. "príslušné orgány" znamenajú vnútroštátne orgány členských štátov, ktoré majú právomoc na základe zákona alebo nariadenia vykonávať dohľad nad úverovými inštitúciami, sporiteľňami resp. investičnými podnikmi buď na individuálnom, ale</w:t>
            </w:r>
            <w:r w:rsidRPr="00C02544">
              <w:rPr>
                <w:rFonts w:ascii="Arial Narrow" w:hAnsi="Arial Narrow" w:cs="Tahoma"/>
                <w:sz w:val="20"/>
                <w:szCs w:val="20"/>
              </w:rPr>
              <w:t>bo celoskupinovom základe;</w:t>
            </w:r>
          </w:p>
          <w:p w:rsidR="0025428B" w:rsidP="00C02544">
            <w:pPr>
              <w:pStyle w:val="Normlnywebov8"/>
              <w:spacing w:before="0" w:after="0"/>
              <w:ind w:left="0" w:right="0"/>
              <w:jc w:val="both"/>
              <w:rPr>
                <w:rFonts w:ascii="Arial Narrow" w:hAnsi="Arial Narrow" w:cs="Tahoma"/>
                <w:sz w:val="20"/>
                <w:szCs w:val="20"/>
              </w:rPr>
            </w:pPr>
          </w:p>
          <w:p w:rsidR="0025428B" w:rsidP="00C02544">
            <w:pPr>
              <w:pStyle w:val="Normlnywebov8"/>
              <w:spacing w:before="0" w:after="0"/>
              <w:ind w:left="0" w:right="0"/>
              <w:jc w:val="both"/>
              <w:rPr>
                <w:rFonts w:ascii="Arial Narrow" w:hAnsi="Arial Narrow" w:cs="Tahoma"/>
                <w:sz w:val="20"/>
                <w:szCs w:val="20"/>
              </w:rPr>
            </w:pPr>
          </w:p>
          <w:p w:rsidR="0025428B" w:rsidP="00C02544">
            <w:pPr>
              <w:pStyle w:val="Normlnywebov8"/>
              <w:spacing w:before="0" w:after="0"/>
              <w:ind w:left="0" w:right="0"/>
              <w:jc w:val="both"/>
              <w:rPr>
                <w:rFonts w:ascii="Arial Narrow" w:hAnsi="Arial Narrow" w:cs="Tahoma"/>
                <w:sz w:val="20"/>
                <w:szCs w:val="20"/>
              </w:rPr>
            </w:pPr>
          </w:p>
          <w:p w:rsidR="0025428B" w:rsidP="00C02544">
            <w:pPr>
              <w:pStyle w:val="Normlnywebov8"/>
              <w:spacing w:before="0" w:after="0"/>
              <w:ind w:left="0" w:right="0"/>
              <w:jc w:val="both"/>
              <w:rPr>
                <w:rFonts w:ascii="Arial Narrow" w:hAnsi="Arial Narrow" w:cs="Tahoma"/>
                <w:sz w:val="20"/>
                <w:szCs w:val="20"/>
              </w:rPr>
            </w:pPr>
          </w:p>
          <w:p w:rsidR="0025428B" w:rsidP="00C02544">
            <w:pPr>
              <w:pStyle w:val="Normlnywebov8"/>
              <w:spacing w:before="0" w:after="0"/>
              <w:ind w:left="0" w:right="0"/>
              <w:jc w:val="both"/>
              <w:rPr>
                <w:rFonts w:ascii="Arial Narrow" w:hAnsi="Arial Narrow" w:cs="Tahoma"/>
                <w:sz w:val="20"/>
                <w:szCs w:val="20"/>
              </w:rPr>
            </w:pPr>
          </w:p>
          <w:p w:rsidR="0025428B" w:rsidP="00C02544">
            <w:pPr>
              <w:pStyle w:val="Normlnywebov8"/>
              <w:spacing w:before="0" w:after="0"/>
              <w:ind w:left="0" w:right="0"/>
              <w:jc w:val="both"/>
              <w:rPr>
                <w:rFonts w:ascii="Arial Narrow" w:hAnsi="Arial Narrow" w:cs="Tahoma"/>
                <w:sz w:val="20"/>
                <w:szCs w:val="20"/>
              </w:rPr>
            </w:pPr>
          </w:p>
          <w:p w:rsidR="0025428B" w:rsidP="00C02544">
            <w:pPr>
              <w:pStyle w:val="Normlnywebov8"/>
              <w:spacing w:before="0" w:after="0"/>
              <w:ind w:left="0" w:right="0"/>
              <w:jc w:val="both"/>
              <w:rPr>
                <w:rFonts w:ascii="Arial Narrow" w:hAnsi="Arial Narrow" w:cs="Tahoma"/>
                <w:sz w:val="20"/>
                <w:szCs w:val="20"/>
              </w:rPr>
            </w:pPr>
          </w:p>
          <w:p w:rsidR="0025428B" w:rsidP="00C02544">
            <w:pPr>
              <w:pStyle w:val="Normlnywebov8"/>
              <w:spacing w:before="0" w:after="0"/>
              <w:ind w:left="0" w:right="0"/>
              <w:jc w:val="both"/>
              <w:rPr>
                <w:rFonts w:ascii="Arial Narrow" w:hAnsi="Arial Narrow" w:cs="Tahoma"/>
                <w:sz w:val="20"/>
                <w:szCs w:val="20"/>
              </w:rPr>
            </w:pPr>
          </w:p>
          <w:p w:rsidR="0025428B" w:rsidRPr="00C02544" w:rsidP="00C02544">
            <w:pPr>
              <w:pStyle w:val="Normlnywebov8"/>
              <w:spacing w:before="0" w:after="0"/>
              <w:ind w:left="0" w:right="0"/>
              <w:jc w:val="both"/>
              <w:rPr>
                <w:rFonts w:ascii="Arial Narrow" w:hAnsi="Arial Narrow" w:cs="Tahoma"/>
                <w:sz w:val="20"/>
                <w:szCs w:val="20"/>
              </w:rPr>
            </w:pPr>
          </w:p>
          <w:p w:rsidR="000755FF" w:rsidRPr="0073583F" w:rsidP="00C02544">
            <w:pPr>
              <w:pStyle w:val="Normlnywebov8"/>
              <w:spacing w:before="0" w:after="0"/>
              <w:ind w:left="0" w:right="0"/>
              <w:jc w:val="both"/>
              <w:rPr>
                <w:rFonts w:ascii="Arial Narrow" w:hAnsi="Arial Narrow" w:cs="Tahoma"/>
                <w:sz w:val="20"/>
                <w:szCs w:val="20"/>
              </w:rPr>
            </w:pPr>
            <w:r w:rsidRPr="0073583F">
              <w:rPr>
                <w:rFonts w:ascii="Arial Narrow" w:hAnsi="Arial Narrow" w:cs="Tahoma"/>
                <w:sz w:val="20"/>
                <w:szCs w:val="20"/>
              </w:rPr>
              <w:t>17. "relevantné príslušné orgány" znamenajú:</w:t>
            </w:r>
          </w:p>
          <w:p w:rsidR="000755FF" w:rsidRPr="0073583F" w:rsidP="00C02544">
            <w:pPr>
              <w:pStyle w:val="Normlnywebov8"/>
              <w:spacing w:before="0" w:after="0"/>
              <w:ind w:left="0" w:right="0"/>
              <w:jc w:val="both"/>
              <w:rPr>
                <w:rFonts w:ascii="Arial Narrow" w:hAnsi="Arial Narrow" w:cs="Tahoma"/>
                <w:sz w:val="20"/>
                <w:szCs w:val="20"/>
              </w:rPr>
            </w:pPr>
            <w:r w:rsidRPr="0073583F">
              <w:rPr>
                <w:rFonts w:ascii="Arial Narrow" w:hAnsi="Arial Narrow" w:cs="Tahoma"/>
                <w:sz w:val="20"/>
                <w:szCs w:val="20"/>
              </w:rPr>
              <w:t>a) príslušné orgány členských štátov, zodpovedné za celoskupinový dohľad v sektore nad každým z regulovaných subjektov vo finančnom konglomeráte;</w:t>
            </w:r>
          </w:p>
          <w:p w:rsidR="000755FF" w:rsidRPr="0073583F" w:rsidP="00C02544">
            <w:pPr>
              <w:pStyle w:val="Normlnywebov8"/>
              <w:spacing w:before="0" w:after="0"/>
              <w:ind w:left="0" w:right="0"/>
              <w:jc w:val="both"/>
              <w:rPr>
                <w:rFonts w:ascii="Arial Narrow" w:hAnsi="Arial Narrow" w:cs="Tahoma"/>
                <w:sz w:val="20"/>
                <w:szCs w:val="20"/>
              </w:rPr>
            </w:pPr>
            <w:r w:rsidRPr="0073583F">
              <w:rPr>
                <w:rFonts w:ascii="Arial Narrow" w:hAnsi="Arial Narrow" w:cs="Tahoma"/>
                <w:sz w:val="20"/>
                <w:szCs w:val="20"/>
              </w:rPr>
              <w:t>b) koordinátora vymenovaného podľa článku 10, ak je rozdielny od orgánov, ktoré sa ustanovujú v písmene a);</w:t>
            </w:r>
          </w:p>
          <w:p w:rsidR="000755FF" w:rsidRPr="00C02544" w:rsidP="00C02544">
            <w:pPr>
              <w:pStyle w:val="Normlnywebov8"/>
              <w:spacing w:before="0" w:after="0"/>
              <w:ind w:left="0" w:right="0"/>
              <w:jc w:val="both"/>
              <w:rPr>
                <w:rFonts w:ascii="Arial Narrow" w:hAnsi="Arial Narrow" w:cs="Tahoma"/>
                <w:sz w:val="20"/>
                <w:szCs w:val="20"/>
              </w:rPr>
            </w:pPr>
            <w:r w:rsidRPr="0073583F">
              <w:rPr>
                <w:rFonts w:ascii="Arial Narrow" w:hAnsi="Arial Narrow" w:cs="Tahoma"/>
                <w:sz w:val="20"/>
                <w:szCs w:val="20"/>
              </w:rPr>
              <w:t>c) ak je to vhodné, iné dotknuté príslušné orgány podľa názoru orgánov uvedených v písmenách a) a b); tento názor musí brať do úvahy trhový podiel regulovaných subjektov konglomerátu v iných členských štátoch, najmä ak prekračuje 5 %, a dôležitosť v konglomeráte ktoréhokoľvek regulovaného subjektu zriadeného v inom členskom štáte;</w:t>
            </w:r>
          </w:p>
          <w:p w:rsidR="000755FF"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18. "vnútroskupinové transakcie" znamenajú všetky transakcie, v ktorých regulované subjekty finančného konglomerátu buď priamo, alebo nepriamo využívajú iné spoločnosti tej istej skupiny alebo fyzickú alebo právnickú osobu prepojenú s podnikmi tejto skupiny "úzkou väzbou" na splnenie záväzku, zmluvnej alebo nezmluvnej povahy, odplatnej alebo bezodplatnej</w:t>
            </w:r>
            <w:r w:rsidRPr="00C02544">
              <w:rPr>
                <w:rFonts w:ascii="Arial Narrow" w:hAnsi="Arial Narrow" w:cs="Tahoma"/>
                <w:sz w:val="20"/>
                <w:szCs w:val="20"/>
              </w:rPr>
              <w:t xml:space="preserve"> povahy;</w:t>
            </w:r>
          </w:p>
          <w:p w:rsidR="0025428B" w:rsidP="00C02544">
            <w:pPr>
              <w:pStyle w:val="Normlnywebov8"/>
              <w:spacing w:before="0" w:after="0"/>
              <w:ind w:left="0" w:right="0"/>
              <w:jc w:val="both"/>
              <w:rPr>
                <w:rFonts w:ascii="Arial Narrow" w:hAnsi="Arial Narrow" w:cs="Tahoma"/>
                <w:sz w:val="20"/>
                <w:szCs w:val="20"/>
              </w:rPr>
            </w:pPr>
          </w:p>
          <w:p w:rsidR="0025428B" w:rsidRPr="00C02544" w:rsidP="00C02544">
            <w:pPr>
              <w:pStyle w:val="Normlnywebov8"/>
              <w:spacing w:before="0" w:after="0"/>
              <w:ind w:left="0" w:right="0"/>
              <w:jc w:val="both"/>
              <w:rPr>
                <w:rFonts w:ascii="Arial Narrow" w:hAnsi="Arial Narrow" w:cs="Tahoma"/>
                <w:sz w:val="20"/>
                <w:szCs w:val="20"/>
              </w:rPr>
            </w:pPr>
          </w:p>
          <w:p w:rsidR="000755FF"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19. "koncentrácia rizík" znamená každú angažovanosť subjektov finančného konglomerátu na riziku, ktorá potenciálne môže znamenať stratu a ktorá je dostatočne veľká, aby ohrozila platobnú schopnosť alebo finančnú situáciu všeobecne regulovaných subjektov vo finančnom konglomeráte; takáto angažovanosť môže byť zapríčinená rizikom protistrany/úverovým rizikom, investičným rizikom, poistným rizikom, trhovým rizikom, inými rizikami alebo kombináciou, alebo interakciou týchto rizík.</w:t>
            </w:r>
          </w:p>
          <w:p w:rsidR="00B74452"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3D46">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sz w:val="20"/>
              </w:rPr>
            </w:pPr>
            <w:r>
              <w:rPr>
                <w:rFonts w:ascii="Arial Narrow" w:hAnsi="Arial Narrow" w:cs="Times New Roman"/>
                <w:sz w:val="20"/>
              </w:rPr>
              <w:t>N</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433C79">
            <w:pPr>
              <w:rPr>
                <w:rFonts w:ascii="Arial Narrow" w:hAnsi="Arial Narrow" w:cs="Times New Roman"/>
                <w:sz w:val="20"/>
              </w:rPr>
            </w:pPr>
          </w:p>
          <w:p w:rsidR="00433C79">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r>
              <w:rPr>
                <w:rFonts w:ascii="Arial Narrow" w:hAnsi="Arial Narrow" w:cs="Times New Roman"/>
                <w:sz w:val="20"/>
              </w:rPr>
              <w:t>n.a.</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r>
              <w:rPr>
                <w:rFonts w:ascii="Arial Narrow" w:hAnsi="Arial Narrow" w:cs="Times New Roman"/>
                <w:sz w:val="20"/>
              </w:rPr>
              <w:t>N</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rsidRPr="007078D1">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rsidP="00BC06EF">
            <w:pPr>
              <w:rPr>
                <w:rFonts w:ascii="Arial Narrow" w:hAnsi="Arial Narrow" w:cs="Times New Roman"/>
                <w:sz w:val="20"/>
              </w:rPr>
            </w:pPr>
          </w:p>
          <w:p w:rsidR="00D37DFA" w:rsidP="00BC06EF">
            <w:pPr>
              <w:rPr>
                <w:rFonts w:ascii="Arial Narrow" w:hAnsi="Arial Narrow" w:cs="Times New Roman"/>
                <w:sz w:val="20"/>
              </w:rPr>
            </w:pPr>
          </w:p>
          <w:p w:rsidR="00D37DFA" w:rsidP="00BC06EF">
            <w:pPr>
              <w:rPr>
                <w:rFonts w:ascii="Arial Narrow" w:hAnsi="Arial Narrow" w:cs="Times New Roman"/>
                <w:b/>
                <w:sz w:val="20"/>
              </w:rPr>
            </w:pPr>
            <w:r w:rsidRPr="00D37DFA">
              <w:rPr>
                <w:rFonts w:ascii="Arial Narrow" w:hAnsi="Arial Narrow" w:cs="Times New Roman"/>
                <w:b/>
                <w:sz w:val="20"/>
              </w:rPr>
              <w:t>483/2001</w:t>
            </w: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r w:rsidR="006039F3">
              <w:rPr>
                <w:rFonts w:ascii="Arial Narrow" w:hAnsi="Arial Narrow" w:cs="Times New Roman"/>
                <w:sz w:val="20"/>
              </w:rPr>
              <w:t>Návrh zákona</w:t>
            </w: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336F96"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r>
              <w:rPr>
                <w:rFonts w:ascii="Arial Narrow" w:hAnsi="Arial Narrow" w:cs="Times New Roman"/>
                <w:b/>
                <w:sz w:val="20"/>
              </w:rPr>
              <w:t>566/2001</w:t>
            </w: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D37DFA"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P="00BC06EF">
            <w:pPr>
              <w:rPr>
                <w:rFonts w:ascii="Arial Narrow" w:hAnsi="Arial Narrow" w:cs="Times New Roman"/>
                <w:b/>
                <w:sz w:val="20"/>
              </w:rPr>
            </w:pPr>
          </w:p>
          <w:p w:rsidR="0053717E" w:rsidRPr="00D37DFA" w:rsidP="00BC06EF">
            <w:pPr>
              <w:rPr>
                <w:rFonts w:ascii="Arial Narrow" w:hAnsi="Arial Narrow" w:cs="Times New Roman"/>
                <w:b/>
                <w:sz w:val="20"/>
              </w:rPr>
            </w:pPr>
            <w:r>
              <w:rPr>
                <w:rFonts w:ascii="Arial Narrow" w:hAnsi="Arial Narrow" w:cs="Times New Roman"/>
                <w:b/>
                <w:sz w:val="20"/>
              </w:rPr>
              <w:t>594/2003</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06E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b/>
                <w:sz w:val="20"/>
              </w:rPr>
            </w:pPr>
            <w:r w:rsidRPr="00D37DFA">
              <w:rPr>
                <w:rFonts w:ascii="Arial Narrow" w:hAnsi="Arial Narrow" w:cs="Times New Roman"/>
                <w:b/>
                <w:sz w:val="20"/>
              </w:rPr>
              <w:t>§ 2 ods.1</w:t>
            </w:r>
          </w:p>
          <w:p w:rsidR="00D37DFA">
            <w:pPr>
              <w:rPr>
                <w:rFonts w:ascii="Arial Narrow" w:hAnsi="Arial Narrow" w:cs="Times New Roman"/>
                <w:b/>
                <w:sz w:val="20"/>
              </w:rPr>
            </w:pPr>
          </w:p>
          <w:p w:rsidR="00D37DFA">
            <w:pPr>
              <w:rPr>
                <w:rFonts w:ascii="Arial Narrow" w:hAnsi="Arial Narrow" w:cs="Times New Roman"/>
                <w:b/>
                <w:sz w:val="20"/>
              </w:rPr>
            </w:pPr>
          </w:p>
          <w:p w:rsidR="00D37DFA">
            <w:pPr>
              <w:rPr>
                <w:rFonts w:ascii="Arial Narrow" w:hAnsi="Arial Narrow" w:cs="Times New Roman"/>
                <w:b/>
                <w:sz w:val="20"/>
              </w:rPr>
            </w:pPr>
          </w:p>
          <w:p w:rsidR="00D37DFA">
            <w:pPr>
              <w:rPr>
                <w:rFonts w:ascii="Arial Narrow" w:hAnsi="Arial Narrow" w:cs="Times New Roman"/>
                <w:b/>
                <w:sz w:val="20"/>
              </w:rPr>
            </w:pPr>
          </w:p>
          <w:p w:rsidR="00D37DFA">
            <w:pPr>
              <w:rPr>
                <w:rFonts w:ascii="Arial Narrow" w:hAnsi="Arial Narrow" w:cs="Times New Roman"/>
                <w:b/>
                <w:sz w:val="20"/>
              </w:rPr>
            </w:pPr>
          </w:p>
          <w:p w:rsidR="00D37DFA">
            <w:pPr>
              <w:rPr>
                <w:rFonts w:ascii="Arial Narrow" w:hAnsi="Arial Narrow" w:cs="Times New Roman"/>
                <w:sz w:val="20"/>
              </w:rPr>
            </w:pPr>
            <w:r w:rsidRPr="00D37DFA">
              <w:rPr>
                <w:rFonts w:ascii="Arial Narrow" w:hAnsi="Arial Narrow" w:cs="Times New Roman"/>
                <w:sz w:val="20"/>
              </w:rPr>
              <w:t xml:space="preserve">§ 2 ods.1 </w:t>
            </w:r>
          </w:p>
          <w:p w:rsidR="00D37DFA">
            <w:pPr>
              <w:rPr>
                <w:rFonts w:ascii="Arial Narrow" w:hAnsi="Arial Narrow" w:cs="Times New Roman"/>
                <w:sz w:val="20"/>
              </w:rPr>
            </w:pPr>
          </w:p>
          <w:p w:rsidR="00D37DFA">
            <w:pPr>
              <w:rPr>
                <w:rFonts w:ascii="Arial Narrow" w:hAnsi="Arial Narrow" w:cs="Times New Roman"/>
                <w:sz w:val="20"/>
              </w:rPr>
            </w:pPr>
          </w:p>
          <w:p w:rsidR="002A367E">
            <w:pPr>
              <w:rPr>
                <w:rFonts w:ascii="Arial Narrow" w:hAnsi="Arial Narrow" w:cs="Times New Roman"/>
                <w:sz w:val="20"/>
              </w:rPr>
            </w:pPr>
          </w:p>
          <w:p w:rsidR="00D37DFA">
            <w:pPr>
              <w:rPr>
                <w:rFonts w:ascii="Arial Narrow" w:hAnsi="Arial Narrow" w:cs="Times New Roman"/>
                <w:sz w:val="20"/>
              </w:rPr>
            </w:pPr>
            <w:r w:rsidRPr="00D37DFA">
              <w:rPr>
                <w:rFonts w:ascii="Arial Narrow" w:hAnsi="Arial Narrow" w:cs="Times New Roman"/>
                <w:sz w:val="20"/>
              </w:rPr>
              <w:t xml:space="preserve">ods.2 </w:t>
            </w:r>
          </w:p>
          <w:p w:rsidR="00D37DF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sz w:val="20"/>
              </w:rPr>
            </w:pPr>
            <w:r w:rsidRPr="00D37DFA">
              <w:rPr>
                <w:rFonts w:ascii="Arial Narrow" w:hAnsi="Arial Narrow" w:cs="Times New Roman"/>
                <w:sz w:val="20"/>
              </w:rPr>
              <w:t xml:space="preserve">ods.3 </w:t>
            </w:r>
          </w:p>
          <w:p w:rsidR="00D37DF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sz w:val="20"/>
              </w:rPr>
            </w:pPr>
            <w:r w:rsidRPr="00D37DFA">
              <w:rPr>
                <w:rFonts w:ascii="Arial Narrow" w:hAnsi="Arial Narrow" w:cs="Times New Roman"/>
                <w:sz w:val="20"/>
              </w:rPr>
              <w:t xml:space="preserve">ods.4 </w:t>
            </w:r>
          </w:p>
          <w:p w:rsidR="00D37DF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sz w:val="20"/>
              </w:rPr>
            </w:pPr>
            <w:r w:rsidRPr="00D37DFA">
              <w:rPr>
                <w:rFonts w:ascii="Arial Narrow" w:hAnsi="Arial Narrow" w:cs="Times New Roman"/>
                <w:sz w:val="20"/>
              </w:rPr>
              <w:t>ods.5</w:t>
            </w:r>
          </w:p>
          <w:p w:rsidR="00D37DFA">
            <w:pPr>
              <w:rPr>
                <w:rFonts w:ascii="Arial Narrow" w:hAnsi="Arial Narrow" w:cs="Times New Roman"/>
                <w:sz w:val="20"/>
              </w:rPr>
            </w:pPr>
          </w:p>
          <w:p w:rsidR="00D37DFA">
            <w:pPr>
              <w:rPr>
                <w:rFonts w:ascii="Arial Narrow" w:hAnsi="Arial Narrow" w:cs="Times New Roman"/>
                <w:sz w:val="20"/>
              </w:rPr>
            </w:pPr>
          </w:p>
          <w:p w:rsidR="00D37DFA">
            <w:pPr>
              <w:rPr>
                <w:rFonts w:ascii="Arial Narrow" w:hAnsi="Arial Narrow" w:cs="Times New Roman"/>
                <w:b/>
                <w:sz w:val="20"/>
              </w:rPr>
            </w:pPr>
            <w:r w:rsidRPr="00D37DFA">
              <w:rPr>
                <w:rFonts w:ascii="Arial Narrow" w:hAnsi="Arial Narrow" w:cs="Times New Roman"/>
                <w:b/>
                <w:sz w:val="20"/>
              </w:rPr>
              <w:t>§ 54 ods.1</w:t>
            </w:r>
          </w:p>
          <w:p w:rsidR="00D37DFA">
            <w:pPr>
              <w:rPr>
                <w:rFonts w:ascii="Arial Narrow" w:hAnsi="Arial Narrow" w:cs="Times New Roman"/>
                <w:b/>
                <w:sz w:val="20"/>
              </w:rPr>
            </w:pPr>
          </w:p>
          <w:p w:rsidR="00D37DFA">
            <w:pPr>
              <w:rPr>
                <w:rFonts w:ascii="Arial Narrow" w:hAnsi="Arial Narrow" w:cs="Times New Roman"/>
                <w:b/>
                <w:sz w:val="20"/>
              </w:rPr>
            </w:pPr>
          </w:p>
          <w:p w:rsidR="00D37DFA">
            <w:pPr>
              <w:rPr>
                <w:rFonts w:ascii="Arial Narrow" w:hAnsi="Arial Narrow" w:cs="Times New Roman"/>
                <w:b/>
                <w:sz w:val="20"/>
              </w:rPr>
            </w:pPr>
          </w:p>
          <w:p w:rsidR="00D37DFA">
            <w:pPr>
              <w:rPr>
                <w:rFonts w:ascii="Arial Narrow" w:hAnsi="Arial Narrow" w:cs="Times New Roman"/>
                <w:b/>
                <w:sz w:val="20"/>
              </w:rPr>
            </w:pPr>
          </w:p>
          <w:p w:rsidR="00D37DFA">
            <w:pPr>
              <w:rPr>
                <w:rFonts w:ascii="Arial Narrow" w:hAnsi="Arial Narrow" w:cs="Times New Roman"/>
                <w:b/>
                <w:sz w:val="20"/>
              </w:rPr>
            </w:pPr>
            <w:r w:rsidR="0053717E">
              <w:rPr>
                <w:rFonts w:ascii="Arial Narrow" w:hAnsi="Arial Narrow" w:cs="Times New Roman"/>
                <w:b/>
                <w:sz w:val="20"/>
              </w:rPr>
              <w:t>ods.4</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D37DFA">
            <w:pPr>
              <w:rPr>
                <w:rFonts w:ascii="Arial Narrow" w:hAnsi="Arial Narrow" w:cs="Times New Roman"/>
                <w:sz w:val="20"/>
              </w:rPr>
            </w:pPr>
            <w:r w:rsidRPr="00D37DFA">
              <w:rPr>
                <w:rFonts w:ascii="Arial Narrow" w:hAnsi="Arial Narrow" w:cs="Times New Roman"/>
                <w:sz w:val="20"/>
              </w:rPr>
              <w:t>§ 53 pís.d)</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b/>
                <w:sz w:val="20"/>
              </w:rPr>
            </w:pPr>
            <w:r w:rsidRPr="0053717E">
              <w:rPr>
                <w:rFonts w:ascii="Arial Narrow" w:hAnsi="Arial Narrow" w:cs="Times New Roman"/>
                <w:b/>
                <w:sz w:val="20"/>
              </w:rPr>
              <w:t>§ 3 ods.1 ods.11</w:t>
            </w: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b/>
                <w:sz w:val="20"/>
              </w:rPr>
            </w:pPr>
          </w:p>
          <w:p w:rsidR="0053717E">
            <w:pPr>
              <w:rPr>
                <w:rFonts w:ascii="Arial Narrow" w:hAnsi="Arial Narrow" w:cs="Times New Roman"/>
                <w:sz w:val="20"/>
              </w:rPr>
            </w:pPr>
            <w:r w:rsidRPr="0053717E">
              <w:rPr>
                <w:rFonts w:ascii="Arial Narrow" w:hAnsi="Arial Narrow" w:cs="Times New Roman"/>
                <w:sz w:val="20"/>
              </w:rPr>
              <w:t xml:space="preserve">§ 2 ods.6 </w:t>
            </w:r>
          </w:p>
          <w:p w:rsidR="0053717E">
            <w:pPr>
              <w:rPr>
                <w:rFonts w:ascii="Arial Narrow" w:hAnsi="Arial Narrow" w:cs="Times New Roman"/>
                <w:sz w:val="20"/>
              </w:rPr>
            </w:pPr>
          </w:p>
          <w:p w:rsidR="0053717E">
            <w:pPr>
              <w:rPr>
                <w:rFonts w:ascii="Arial Narrow" w:hAnsi="Arial Narrow" w:cs="Times New Roman"/>
                <w:sz w:val="20"/>
              </w:rPr>
            </w:pPr>
          </w:p>
          <w:p w:rsidR="00433C79">
            <w:pPr>
              <w:rPr>
                <w:rFonts w:ascii="Arial Narrow" w:hAnsi="Arial Narrow" w:cs="Times New Roman"/>
                <w:sz w:val="20"/>
              </w:rPr>
            </w:pPr>
          </w:p>
          <w:p w:rsidR="0053717E">
            <w:pPr>
              <w:rPr>
                <w:rFonts w:ascii="Arial Narrow" w:hAnsi="Arial Narrow" w:cs="Times New Roman"/>
                <w:sz w:val="20"/>
              </w:rPr>
            </w:pPr>
            <w:r w:rsidRPr="0053717E">
              <w:rPr>
                <w:rFonts w:ascii="Arial Narrow" w:hAnsi="Arial Narrow" w:cs="Times New Roman"/>
                <w:sz w:val="20"/>
              </w:rPr>
              <w:t xml:space="preserve">ods.7 </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r w:rsidRPr="0053717E">
              <w:rPr>
                <w:rFonts w:ascii="Arial Narrow" w:hAnsi="Arial Narrow" w:cs="Times New Roman"/>
                <w:sz w:val="20"/>
              </w:rPr>
              <w:t xml:space="preserve">ods.8 </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r w:rsidRPr="0053717E">
              <w:rPr>
                <w:rFonts w:ascii="Arial Narrow" w:hAnsi="Arial Narrow" w:cs="Times New Roman"/>
                <w:sz w:val="20"/>
              </w:rPr>
              <w:t>ods.9</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r>
              <w:rPr>
                <w:rFonts w:ascii="Arial Narrow" w:hAnsi="Arial Narrow" w:cs="Times New Roman"/>
                <w:sz w:val="20"/>
              </w:rPr>
              <w:t>§ 53 pís.b)</w:t>
            </w: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r>
              <w:rPr>
                <w:rFonts w:ascii="Arial Narrow" w:hAnsi="Arial Narrow" w:cs="Times New Roman"/>
                <w:sz w:val="20"/>
              </w:rPr>
              <w:t>§ 3 pís.h)</w:t>
            </w: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r>
              <w:rPr>
                <w:rFonts w:ascii="Arial Narrow" w:hAnsi="Arial Narrow" w:cs="Times New Roman"/>
                <w:sz w:val="20"/>
              </w:rPr>
              <w:t>pís.g)</w:t>
            </w: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r>
              <w:rPr>
                <w:rFonts w:ascii="Arial Narrow" w:hAnsi="Arial Narrow" w:cs="Times New Roman"/>
                <w:sz w:val="20"/>
              </w:rPr>
              <w:t>§ 49 ods. 5 pís.f)</w:t>
            </w: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p>
          <w:p w:rsidR="000C6FFE">
            <w:pPr>
              <w:rPr>
                <w:rFonts w:ascii="Arial Narrow" w:hAnsi="Arial Narrow" w:cs="Times New Roman"/>
                <w:sz w:val="20"/>
              </w:rPr>
            </w:pPr>
            <w:r>
              <w:rPr>
                <w:rFonts w:ascii="Arial Narrow" w:hAnsi="Arial Narrow" w:cs="Times New Roman"/>
                <w:sz w:val="20"/>
              </w:rPr>
              <w:t>§ 53 pís.c)</w:t>
            </w: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r>
              <w:rPr>
                <w:rFonts w:ascii="Arial Narrow" w:hAnsi="Arial Narrow" w:cs="Times New Roman"/>
                <w:sz w:val="20"/>
              </w:rPr>
              <w:t>§ 3 pís.c)</w:t>
            </w: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r>
              <w:rPr>
                <w:rFonts w:ascii="Arial Narrow" w:hAnsi="Arial Narrow" w:cs="Times New Roman"/>
                <w:sz w:val="20"/>
              </w:rPr>
              <w:t>§ 53 pís.a)</w:t>
            </w: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r>
              <w:rPr>
                <w:rFonts w:ascii="Arial Narrow" w:hAnsi="Arial Narrow" w:cs="Times New Roman"/>
                <w:sz w:val="20"/>
              </w:rPr>
              <w:t>pís.e)</w:t>
            </w: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r>
              <w:rPr>
                <w:rFonts w:ascii="Arial Narrow" w:hAnsi="Arial Narrow" w:cs="Times New Roman"/>
                <w:sz w:val="20"/>
              </w:rPr>
              <w:t>§ 48 ods.3</w:t>
            </w:r>
            <w:r>
              <w:rPr>
                <w:rFonts w:ascii="Arial Narrow" w:hAnsi="Arial Narrow" w:cs="Times New Roman"/>
                <w:sz w:val="20"/>
              </w:rPr>
              <w:t xml:space="preserve"> ods.1</w:t>
            </w: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5C3E65">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r>
              <w:rPr>
                <w:rFonts w:ascii="Arial Narrow" w:hAnsi="Arial Narrow" w:cs="Times New Roman"/>
                <w:sz w:val="20"/>
              </w:rPr>
              <w:t xml:space="preserve">§ 60 ods.2 </w:t>
            </w: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p>
          <w:p w:rsidR="0025428B">
            <w:pPr>
              <w:rPr>
                <w:rFonts w:ascii="Arial Narrow" w:hAnsi="Arial Narrow" w:cs="Times New Roman"/>
                <w:sz w:val="20"/>
              </w:rPr>
            </w:pPr>
            <w:r>
              <w:rPr>
                <w:rFonts w:ascii="Arial Narrow" w:hAnsi="Arial Narrow" w:cs="Times New Roman"/>
                <w:sz w:val="20"/>
              </w:rPr>
              <w:t>§ 59 ods.2</w:t>
            </w:r>
          </w:p>
          <w:p w:rsidR="0025428B" w:rsidRPr="0053717E">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33A7" w:rsidP="00242466">
            <w:pPr>
              <w:pStyle w:val="BodyText"/>
              <w:rPr>
                <w:rFonts w:ascii="Arial Narrow" w:hAnsi="Arial Narrow" w:cs="Times New Roman"/>
                <w:sz w:val="20"/>
              </w:rPr>
            </w:pPr>
          </w:p>
          <w:p w:rsidR="00D37DFA" w:rsidP="00242466">
            <w:pPr>
              <w:pStyle w:val="BodyText"/>
              <w:rPr>
                <w:rFonts w:ascii="Arial Narrow" w:hAnsi="Arial Narrow" w:cs="Times New Roman"/>
                <w:sz w:val="20"/>
              </w:rPr>
            </w:pPr>
          </w:p>
          <w:p w:rsidR="00D37DFA" w:rsidRPr="00D37DFA" w:rsidP="00D37DFA">
            <w:pPr>
              <w:pStyle w:val="BodyText"/>
              <w:rPr>
                <w:rFonts w:ascii="Arial Narrow" w:hAnsi="Arial Narrow" w:cs="Times New Roman"/>
                <w:b/>
                <w:sz w:val="20"/>
              </w:rPr>
            </w:pPr>
            <w:r w:rsidRPr="00D37DFA">
              <w:rPr>
                <w:rFonts w:ascii="Arial Narrow" w:hAnsi="Arial Narrow" w:cs="Times New Roman"/>
                <w:b/>
                <w:sz w:val="20"/>
              </w:rPr>
              <w:t>Banka je právnická osoba so sídlom na území Slovenskej republiky založená ako akciová spoločnosť, 1) ktorá</w:t>
            </w:r>
          </w:p>
          <w:p w:rsidR="00D37DFA" w:rsidRPr="00D37DFA" w:rsidP="00D37DFA">
            <w:pPr>
              <w:pStyle w:val="BodyText"/>
              <w:rPr>
                <w:rFonts w:ascii="Arial Narrow" w:hAnsi="Arial Narrow" w:cs="Times New Roman"/>
                <w:b/>
                <w:sz w:val="20"/>
              </w:rPr>
            </w:pPr>
            <w:r w:rsidRPr="00D37DFA">
              <w:rPr>
                <w:rFonts w:ascii="Arial Narrow" w:hAnsi="Arial Narrow" w:cs="Times New Roman"/>
                <w:b/>
                <w:sz w:val="20"/>
              </w:rPr>
              <w:t>a) prijíma vklady a</w:t>
            </w:r>
          </w:p>
          <w:p w:rsidR="00D37DFA" w:rsidRPr="00D37DFA" w:rsidP="00D37DFA">
            <w:pPr>
              <w:pStyle w:val="BodyText"/>
              <w:rPr>
                <w:rFonts w:ascii="Arial Narrow" w:hAnsi="Arial Narrow" w:cs="Times New Roman"/>
                <w:b/>
                <w:sz w:val="20"/>
              </w:rPr>
            </w:pPr>
            <w:r w:rsidRPr="00D37DFA">
              <w:rPr>
                <w:rFonts w:ascii="Arial Narrow" w:hAnsi="Arial Narrow" w:cs="Times New Roman"/>
                <w:b/>
                <w:sz w:val="20"/>
              </w:rPr>
              <w:t xml:space="preserve"> b) poskytuje úvery</w:t>
            </w:r>
          </w:p>
          <w:p w:rsidR="00D37DFA" w:rsidP="00D37DFA">
            <w:pPr>
              <w:pStyle w:val="BodyText"/>
              <w:rPr>
                <w:rFonts w:ascii="Arial Narrow" w:hAnsi="Arial Narrow" w:cs="Times New Roman"/>
                <w:b/>
                <w:sz w:val="20"/>
              </w:rPr>
            </w:pPr>
            <w:r w:rsidRPr="00D37DFA">
              <w:rPr>
                <w:rFonts w:ascii="Arial Narrow" w:hAnsi="Arial Narrow" w:cs="Times New Roman"/>
                <w:b/>
                <w:sz w:val="20"/>
              </w:rPr>
              <w:t>a ktorá má na výkon činností podľa písmen a) a b) u</w:t>
            </w:r>
            <w:r w:rsidRPr="00D37DFA">
              <w:rPr>
                <w:rFonts w:ascii="Arial Narrow" w:hAnsi="Arial Narrow" w:cs="Times New Roman"/>
                <w:b/>
                <w:sz w:val="20"/>
              </w:rPr>
              <w:t>delené bankové povolenie. Iná právna forma banky sa zakazuje.</w:t>
            </w:r>
          </w:p>
          <w:p w:rsidR="00D37DFA" w:rsidP="00D37DFA">
            <w:pPr>
              <w:pStyle w:val="BodyText"/>
              <w:rPr>
                <w:rFonts w:ascii="Arial Narrow" w:hAnsi="Arial Narrow" w:cs="Times New Roman"/>
                <w:b/>
                <w:sz w:val="20"/>
              </w:rPr>
            </w:pPr>
          </w:p>
          <w:p w:rsidR="00D37DFA" w:rsidRPr="00D37DFA" w:rsidP="00D37DFA">
            <w:pPr>
              <w:jc w:val="both"/>
              <w:rPr>
                <w:rFonts w:ascii="Arial Narrow" w:hAnsi="Arial Narrow" w:cs="Times New Roman"/>
                <w:sz w:val="20"/>
              </w:rPr>
            </w:pPr>
            <w:r w:rsidRPr="00D37DFA">
              <w:rPr>
                <w:rFonts w:ascii="Arial Narrow" w:hAnsi="Arial Narrow" w:cs="Times New Roman"/>
                <w:sz w:val="20"/>
              </w:rPr>
              <w:t>Poisťovňa je</w:t>
            </w:r>
            <w:r w:rsidR="002A367E">
              <w:rPr>
                <w:rFonts w:ascii="Arial Narrow" w:hAnsi="Arial Narrow" w:cs="Times New Roman"/>
                <w:sz w:val="20"/>
              </w:rPr>
              <w:t xml:space="preserve"> právnická osoba založená ako akciová spoločnosť</w:t>
            </w:r>
            <w:r w:rsidRPr="00D37DFA">
              <w:rPr>
                <w:rFonts w:ascii="Arial Narrow" w:hAnsi="Arial Narrow" w:cs="Times New Roman"/>
                <w:sz w:val="20"/>
              </w:rPr>
              <w:t xml:space="preserve"> so sídlom na území Slovenskej republiky, ktorá vykonáva poisťovaciu činnosť na základe povolenia na vykonávanie poisťovacej činnosti udeleného Národnou bankou Slovenska v konaní podľa osobitného predpisu.</w:t>
            </w:r>
          </w:p>
          <w:p w:rsidR="00D37DFA" w:rsidRPr="00D37DFA" w:rsidP="00D37DFA">
            <w:pPr>
              <w:jc w:val="both"/>
              <w:rPr>
                <w:rFonts w:ascii="Arial Narrow" w:hAnsi="Arial Narrow" w:cs="Times New Roman"/>
                <w:sz w:val="20"/>
              </w:rPr>
            </w:pPr>
            <w:r w:rsidRPr="00D37DFA">
              <w:rPr>
                <w:rFonts w:ascii="Arial Narrow" w:hAnsi="Arial Narrow" w:cs="Times New Roman"/>
                <w:sz w:val="20"/>
              </w:rPr>
              <w:t>Poisťovňa z iného členského štátu je právnická osoba so sídlom na území iného členského štátu, ktorá má oprávnenie na vykonávanie poisťovacej činnosti udelené v domovskom členskom štá</w:t>
            </w:r>
            <w:r w:rsidRPr="00D37DFA">
              <w:rPr>
                <w:rFonts w:ascii="Arial Narrow" w:hAnsi="Arial Narrow" w:cs="Times New Roman"/>
                <w:sz w:val="20"/>
              </w:rPr>
              <w:t>te.</w:t>
            </w:r>
          </w:p>
          <w:p w:rsidR="00D37DFA" w:rsidRPr="00D37DFA" w:rsidP="00D37DFA">
            <w:pPr>
              <w:jc w:val="both"/>
              <w:rPr>
                <w:rFonts w:ascii="Arial Narrow" w:hAnsi="Arial Narrow" w:cs="Times New Roman"/>
                <w:sz w:val="20"/>
              </w:rPr>
            </w:pPr>
            <w:r w:rsidRPr="00D37DFA">
              <w:rPr>
                <w:rFonts w:ascii="Arial Narrow" w:hAnsi="Arial Narrow" w:cs="Times New Roman"/>
                <w:sz w:val="20"/>
              </w:rPr>
              <w:t>Pobočka poisťovne z iného členského štátu je organizačná zložka poisťovne z iného členského štátu umiestnená na území Slovenskej republiky; za pobočku sa považuje aj zriadenie kancelárie vedenej zamestnancom poisťovne z iného členského štátu alebo inou osobou, ktorá má oprávnenie časovo neobmedzene vykonávať poisťovaciu činnosť v mene poisťovne z iného členského štátu.</w:t>
            </w:r>
          </w:p>
          <w:p w:rsidR="00D37DFA" w:rsidRPr="00D37DFA" w:rsidP="00D37DFA">
            <w:pPr>
              <w:jc w:val="both"/>
              <w:rPr>
                <w:rFonts w:ascii="Arial Narrow" w:hAnsi="Arial Narrow" w:cs="Times New Roman"/>
                <w:sz w:val="20"/>
              </w:rPr>
            </w:pPr>
            <w:r w:rsidRPr="00D37DFA">
              <w:rPr>
                <w:rFonts w:ascii="Arial Narrow" w:hAnsi="Arial Narrow" w:cs="Times New Roman"/>
                <w:sz w:val="20"/>
              </w:rPr>
              <w:t>Zahraničná poisťovňa je právnická osoba so sídlom na území štátu, ktorý nie je členským štátom, ktorá má oprávnenie na vykonávanie poisťovacej činnosti udelené v štáte, v ktorom má sídlo.</w:t>
            </w:r>
          </w:p>
          <w:p w:rsidR="00D37DFA" w:rsidP="00D37DFA">
            <w:pPr>
              <w:pStyle w:val="BodyText"/>
              <w:rPr>
                <w:rFonts w:ascii="Arial Narrow" w:hAnsi="Arial Narrow" w:cs="Times New Roman"/>
                <w:sz w:val="20"/>
              </w:rPr>
            </w:pPr>
            <w:r w:rsidRPr="00D37DFA">
              <w:rPr>
                <w:rFonts w:ascii="Arial Narrow" w:hAnsi="Arial Narrow" w:cs="Times New Roman"/>
                <w:sz w:val="20"/>
              </w:rPr>
              <w:t>Pobočka zahraničnej poisťovne je organizačná zložka zahraničnej poisťovne umiestnená na území Slovenskej republiky.</w:t>
            </w:r>
          </w:p>
          <w:p w:rsidR="00D37DFA" w:rsidP="00D37DFA">
            <w:pPr>
              <w:pStyle w:val="BodyText"/>
              <w:rPr>
                <w:rFonts w:ascii="Arial Narrow" w:hAnsi="Arial Narrow" w:cs="Times New Roman"/>
                <w:sz w:val="20"/>
              </w:rPr>
            </w:pPr>
          </w:p>
          <w:p w:rsidR="00D37DFA" w:rsidP="00D37DFA">
            <w:pPr>
              <w:pStyle w:val="BodyText"/>
              <w:rPr>
                <w:rFonts w:ascii="Arial Narrow" w:hAnsi="Arial Narrow" w:cs="Times New Roman"/>
                <w:b/>
                <w:sz w:val="20"/>
              </w:rPr>
            </w:pPr>
            <w:r w:rsidRPr="00D37DFA">
              <w:rPr>
                <w:rFonts w:ascii="Arial Narrow" w:hAnsi="Arial Narrow" w:cs="Times New Roman"/>
                <w:b/>
                <w:sz w:val="20"/>
              </w:rPr>
              <w:t>Obchodníkom s cennými papiermi je akciová spoločnosť so sídlom na území Slovenskej republiky, ktorej predmetom činnosti je poskytovanie jednej alebo viacerých investičných služieb klientom alebo výkon jednej alebo viacerých investičných činností na základe povolenia na poskytovanie investičných služieb udeleného Národnou bankou Slovenska.</w:t>
            </w:r>
          </w:p>
          <w:p w:rsidR="0053717E" w:rsidRPr="0053717E" w:rsidP="00D37DFA">
            <w:pPr>
              <w:pStyle w:val="BodyText"/>
              <w:rPr>
                <w:rFonts w:ascii="Arial Narrow" w:hAnsi="Arial Narrow" w:cs="Times New Roman"/>
                <w:b/>
                <w:sz w:val="20"/>
              </w:rPr>
            </w:pPr>
            <w:r w:rsidRPr="0053717E">
              <w:rPr>
                <w:rFonts w:ascii="Arial Narrow" w:hAnsi="Arial Narrow" w:cs="Times New Roman"/>
                <w:b/>
                <w:sz w:val="20"/>
              </w:rPr>
              <w:t>Zahraničným obchodníkom s cennými papiermi je právnická osoba alebo fyzická osoba so sídlom mimo územia Slovenskej republiky, ktorá vykonáva investičné služby a ktorá má oprávnenie na výkon týchto činností udelené v štáte, v ktorom má sídlo.</w:t>
            </w:r>
          </w:p>
          <w:p w:rsidR="0053717E" w:rsidP="0053717E">
            <w:pPr>
              <w:tabs>
                <w:tab w:val="left" w:pos="0"/>
              </w:tabs>
              <w:jc w:val="both"/>
              <w:rPr>
                <w:rFonts w:ascii="Arial Narrow" w:hAnsi="Arial Narrow" w:cs="Times New Roman"/>
                <w:sz w:val="20"/>
              </w:rPr>
            </w:pPr>
          </w:p>
          <w:p w:rsidR="0053717E" w:rsidRPr="0053717E" w:rsidP="0053717E">
            <w:pPr>
              <w:tabs>
                <w:tab w:val="left" w:pos="0"/>
              </w:tabs>
              <w:jc w:val="both"/>
              <w:rPr>
                <w:rFonts w:ascii="Arial Narrow" w:hAnsi="Arial Narrow" w:cs="Times New Roman"/>
                <w:sz w:val="20"/>
              </w:rPr>
            </w:pPr>
            <w:r w:rsidRPr="0053717E">
              <w:rPr>
                <w:rFonts w:ascii="Arial Narrow" w:hAnsi="Arial Narrow" w:cs="Times New Roman"/>
                <w:sz w:val="20"/>
              </w:rPr>
              <w:t xml:space="preserve">Na účely tohto </w:t>
            </w:r>
            <w:r w:rsidRPr="0053717E">
              <w:rPr>
                <w:rFonts w:ascii="Arial Narrow" w:hAnsi="Arial Narrow" w:cs="Times New Roman"/>
                <w:sz w:val="20"/>
              </w:rPr>
              <w:t>zákona sa rozumie</w:t>
            </w:r>
          </w:p>
          <w:p w:rsidR="0053717E" w:rsidRPr="0053717E" w:rsidP="0053717E">
            <w:pPr>
              <w:pStyle w:val="BodyText"/>
              <w:rPr>
                <w:rFonts w:ascii="Arial Narrow" w:hAnsi="Arial Narrow" w:cs="Times New Roman"/>
                <w:sz w:val="20"/>
              </w:rPr>
            </w:pPr>
            <w:r w:rsidRPr="0053717E">
              <w:rPr>
                <w:rFonts w:ascii="Arial Narrow" w:hAnsi="Arial Narrow" w:cs="Times New Roman"/>
                <w:sz w:val="20"/>
              </w:rPr>
              <w:t>regulovanou osobou poisťovňa, poisťovňa z iného členského štátu, zahraničná poisťovňa vrátane jej pobočiek, zaisťovňa, zaisťovňa z iného členského štátu alebo zahraničná zaisťovňa vrátane jej pobočiek, banka, obchodník s cennými papiermi, správcovská spoločnosť a rovnaká zahraničná osoba,</w:t>
            </w:r>
          </w:p>
          <w:p w:rsidR="0053717E" w:rsidP="00D37DFA">
            <w:pPr>
              <w:pStyle w:val="BodyText"/>
              <w:rPr>
                <w:rFonts w:ascii="Arial Narrow" w:hAnsi="Arial Narrow" w:cs="Times New Roman"/>
                <w:b/>
                <w:sz w:val="20"/>
              </w:rPr>
            </w:pPr>
          </w:p>
          <w:p w:rsidR="0053717E" w:rsidRPr="0053717E" w:rsidP="00D37DFA">
            <w:pPr>
              <w:pStyle w:val="BodyText"/>
              <w:rPr>
                <w:rFonts w:ascii="Arial Narrow" w:hAnsi="Arial Narrow" w:cs="Times New Roman"/>
                <w:b/>
                <w:sz w:val="20"/>
              </w:rPr>
            </w:pPr>
            <w:r>
              <w:rPr>
                <w:rFonts w:ascii="Arial Narrow" w:hAnsi="Arial Narrow" w:cs="Times New Roman"/>
                <w:b/>
                <w:sz w:val="20"/>
              </w:rPr>
              <w:t>S</w:t>
            </w:r>
            <w:r w:rsidRPr="0053717E">
              <w:rPr>
                <w:rFonts w:ascii="Arial Narrow" w:hAnsi="Arial Narrow" w:cs="Times New Roman"/>
                <w:b/>
                <w:sz w:val="20"/>
              </w:rPr>
              <w:t>právcovská spoločnosť je akciová spoločnosť založená na účel podnikania so sídlom na území Slovenskej republiky, ktorej predmetom činnosti je vytváranie a spravovanie podielových fondov na základe povolenia na vznik a činnosť správcovskej spoločnosti udeleného Národnou bankou Slovenska; zapisuje sa do obchodného registra.</w:t>
            </w:r>
          </w:p>
          <w:p w:rsidR="0053717E" w:rsidP="00D37DFA">
            <w:pPr>
              <w:pStyle w:val="BodyText"/>
              <w:rPr>
                <w:rFonts w:ascii="Arial Narrow" w:hAnsi="Arial Narrow" w:cs="Times New Roman"/>
                <w:b/>
                <w:sz w:val="20"/>
              </w:rPr>
            </w:pPr>
            <w:r w:rsidRPr="0053717E">
              <w:rPr>
                <w:rFonts w:ascii="Arial Narrow" w:hAnsi="Arial Narrow" w:cs="Times New Roman"/>
                <w:b/>
                <w:sz w:val="20"/>
              </w:rPr>
              <w:t>Zahraničnou správcovskou spoločnosťou je právnická osoba so sídlom mimo územia Slovenskej republiky, ktorá vytvára a spravuje zahraničný subjekt kolektívneho investovania a ktorá má oprávnenie na výkon týchto činností udelené v štáte, v ktorom má sídlo.</w:t>
            </w:r>
          </w:p>
          <w:p w:rsidR="0053717E" w:rsidP="00D37DFA">
            <w:pPr>
              <w:pStyle w:val="BodyText"/>
              <w:rPr>
                <w:rFonts w:ascii="Arial Narrow" w:hAnsi="Arial Narrow" w:cs="Times New Roman"/>
                <w:b/>
                <w:sz w:val="20"/>
              </w:rPr>
            </w:pPr>
          </w:p>
          <w:p w:rsidR="0053717E" w:rsidRPr="0053717E" w:rsidP="0053717E">
            <w:pPr>
              <w:jc w:val="both"/>
              <w:rPr>
                <w:rFonts w:ascii="Arial Narrow" w:hAnsi="Arial Narrow" w:cs="Times New Roman"/>
                <w:sz w:val="20"/>
                <w:vertAlign w:val="superscript"/>
              </w:rPr>
            </w:pPr>
            <w:r w:rsidRPr="0053717E">
              <w:rPr>
                <w:rFonts w:ascii="Arial Narrow" w:hAnsi="Arial Narrow" w:cs="Times New Roman"/>
                <w:sz w:val="20"/>
              </w:rPr>
              <w:t xml:space="preserve">Zaisťovňa </w:t>
            </w:r>
            <w:r w:rsidRPr="00D37DFA" w:rsidR="00433C79">
              <w:rPr>
                <w:rFonts w:ascii="Arial Narrow" w:hAnsi="Arial Narrow" w:cs="Times New Roman"/>
                <w:sz w:val="20"/>
              </w:rPr>
              <w:t>je</w:t>
            </w:r>
            <w:r w:rsidR="00433C79">
              <w:rPr>
                <w:rFonts w:ascii="Arial Narrow" w:hAnsi="Arial Narrow" w:cs="Times New Roman"/>
                <w:sz w:val="20"/>
              </w:rPr>
              <w:t xml:space="preserve"> právnická osoba založená ako akciová spoločnosť</w:t>
            </w:r>
            <w:r w:rsidRPr="00D37DFA" w:rsidR="00433C79">
              <w:rPr>
                <w:rFonts w:ascii="Arial Narrow" w:hAnsi="Arial Narrow" w:cs="Times New Roman"/>
                <w:sz w:val="20"/>
              </w:rPr>
              <w:t xml:space="preserve"> </w:t>
            </w:r>
            <w:r w:rsidRPr="0053717E">
              <w:rPr>
                <w:rFonts w:ascii="Arial Narrow" w:hAnsi="Arial Narrow" w:cs="Times New Roman"/>
                <w:sz w:val="20"/>
              </w:rPr>
              <w:t>so sídlom na území Slovenskej republiky, ktorá vykonáva zaisťovaciu činnosť na základe povolenia na vykonávanie zaisťovacej činnosti udeleného Národnou bankou Slovenska v konaní podľa osobitného predpisu.</w:t>
            </w:r>
          </w:p>
          <w:p w:rsidR="0053717E" w:rsidRPr="0053717E" w:rsidP="0053717E">
            <w:pPr>
              <w:jc w:val="both"/>
              <w:rPr>
                <w:rFonts w:ascii="Arial Narrow" w:hAnsi="Arial Narrow" w:cs="Times New Roman"/>
                <w:sz w:val="20"/>
              </w:rPr>
            </w:pPr>
            <w:r w:rsidRPr="0053717E">
              <w:rPr>
                <w:rFonts w:ascii="Arial Narrow" w:hAnsi="Arial Narrow" w:cs="Times New Roman"/>
                <w:sz w:val="20"/>
              </w:rPr>
              <w:t>Kaptívna zaisťovňa je zaisťovňa vlastnená finančnou inštitúciou inou ako poisťovňa alebo zaisťovňa alebo skupina poisťovní alebo skupina zaisťovní alebo je vlastnená inou ako finančnou inštitúciou, cieľom ktorej je poskytnúť zaistenie výlučne na riziká inštitúcie alebo inštitúcií, ktorá alebo ktoré ju kontrolujú alebo ktorej alebo ktorých tvorí súčasť.</w:t>
            </w:r>
          </w:p>
          <w:p w:rsidR="0053717E" w:rsidRPr="0053717E" w:rsidP="0053717E">
            <w:pPr>
              <w:jc w:val="both"/>
              <w:rPr>
                <w:rFonts w:ascii="Arial Narrow" w:hAnsi="Arial Narrow" w:cs="Times New Roman"/>
                <w:sz w:val="20"/>
              </w:rPr>
            </w:pPr>
            <w:r w:rsidRPr="0053717E">
              <w:rPr>
                <w:rFonts w:ascii="Arial Narrow" w:hAnsi="Arial Narrow" w:cs="Times New Roman"/>
                <w:sz w:val="20"/>
              </w:rPr>
              <w:t>Zaisťovňa z iného členského štátu je právnická osoba so sídlom na území iného členského štátu, ktorá má oprávnenie na vykonávanie zaisťovacej činnosti udelené v domovskom členskom štáte.</w:t>
            </w:r>
          </w:p>
          <w:p w:rsidR="0053717E" w:rsidRPr="00171FE1" w:rsidP="0053717E">
            <w:pPr>
              <w:jc w:val="both"/>
              <w:rPr>
                <w:rFonts w:ascii="Arial Narrow" w:hAnsi="Arial Narrow" w:cs="Times New Roman"/>
                <w:sz w:val="22"/>
                <w:szCs w:val="22"/>
              </w:rPr>
            </w:pPr>
            <w:r w:rsidRPr="0053717E">
              <w:rPr>
                <w:rFonts w:ascii="Arial Narrow" w:hAnsi="Arial Narrow" w:cs="Times New Roman"/>
                <w:sz w:val="20"/>
              </w:rPr>
              <w:t>Pobočka zaisťovne z iného členského štátu je organizačná zložka zaisťovne z iného členského štátu umiestnená na území Slovenskej republiky; za pobočku sa považuje aj zriadenie kancelárie vedenej zamestnancom zaisťovne z iného členského štátu alebo inou osobou, ktorá má oprávnenie časovo neobmedzene vykonávať zaisťovaciu činnosť v mene za</w:t>
            </w:r>
            <w:r w:rsidR="00BC0F81">
              <w:rPr>
                <w:rFonts w:ascii="Arial Narrow" w:hAnsi="Arial Narrow" w:cs="Times New Roman"/>
                <w:sz w:val="20"/>
              </w:rPr>
              <w:t>isťovne z iného členského štátu</w:t>
            </w:r>
            <w:r w:rsidRPr="0053717E">
              <w:rPr>
                <w:rFonts w:ascii="Arial Narrow" w:hAnsi="Arial Narrow" w:cs="Times New Roman"/>
                <w:sz w:val="20"/>
              </w:rPr>
              <w:t>.</w:t>
            </w:r>
          </w:p>
          <w:p w:rsidR="0053717E" w:rsidP="00D37DFA">
            <w:pPr>
              <w:pStyle w:val="BodyText"/>
              <w:rPr>
                <w:rFonts w:ascii="Arial Narrow" w:hAnsi="Arial Narrow" w:cs="Times New Roman"/>
                <w:b/>
                <w:sz w:val="20"/>
              </w:rPr>
            </w:pPr>
          </w:p>
          <w:p w:rsidR="0053717E" w:rsidP="00D37DFA">
            <w:pPr>
              <w:pStyle w:val="BodyText"/>
              <w:rPr>
                <w:rFonts w:ascii="Arial Narrow" w:hAnsi="Arial Narrow" w:cs="Times New Roman"/>
                <w:b/>
                <w:sz w:val="20"/>
              </w:rPr>
            </w:pPr>
          </w:p>
          <w:p w:rsidR="0053717E" w:rsidP="00D37DFA">
            <w:pPr>
              <w:pStyle w:val="BodyText"/>
              <w:rPr>
                <w:rFonts w:ascii="Arial Narrow" w:hAnsi="Arial Narrow" w:cs="Times New Roman"/>
                <w:b/>
                <w:sz w:val="20"/>
              </w:rPr>
            </w:pPr>
          </w:p>
          <w:p w:rsidR="000C6FFE" w:rsidRPr="0053717E" w:rsidP="000C6FFE">
            <w:pPr>
              <w:tabs>
                <w:tab w:val="left" w:pos="0"/>
              </w:tabs>
              <w:jc w:val="both"/>
              <w:rPr>
                <w:rFonts w:ascii="Arial Narrow" w:hAnsi="Arial Narrow" w:cs="Times New Roman"/>
                <w:sz w:val="20"/>
              </w:rPr>
            </w:pPr>
            <w:r w:rsidRPr="0053717E">
              <w:rPr>
                <w:rFonts w:ascii="Arial Narrow" w:hAnsi="Arial Narrow" w:cs="Times New Roman"/>
                <w:sz w:val="20"/>
              </w:rPr>
              <w:t>Na účely tohto zákona sa rozumie</w:t>
            </w:r>
          </w:p>
          <w:p w:rsidR="000C6FFE" w:rsidRPr="000C6FFE" w:rsidP="000C6FFE">
            <w:pPr>
              <w:jc w:val="both"/>
              <w:rPr>
                <w:rFonts w:ascii="Arial Narrow" w:hAnsi="Arial Narrow" w:cs="Times New Roman"/>
                <w:b w:val="0"/>
                <w:noProof/>
                <w:sz w:val="20"/>
              </w:rPr>
            </w:pPr>
            <w:r w:rsidRPr="000C6FFE">
              <w:rPr>
                <w:rFonts w:ascii="Arial Narrow" w:hAnsi="Arial Narrow" w:cs="Times New Roman"/>
                <w:b w:val="0"/>
                <w:noProof/>
                <w:sz w:val="20"/>
              </w:rPr>
              <w:t>finančným sektorom sektor, v ktorom pôsobí jedna alebo viaceré z týchto právnických osôb:</w:t>
            </w:r>
          </w:p>
          <w:p w:rsidR="000C6FFE" w:rsidRPr="000C6FFE" w:rsidP="000C6FFE">
            <w:pPr>
              <w:tabs>
                <w:tab w:val="left" w:pos="360"/>
              </w:tabs>
              <w:ind w:left="323" w:hanging="240"/>
              <w:jc w:val="both"/>
              <w:rPr>
                <w:rFonts w:ascii="Arial Narrow" w:hAnsi="Arial Narrow" w:cs="Times New Roman"/>
                <w:sz w:val="20"/>
              </w:rPr>
            </w:pPr>
            <w:r w:rsidRPr="000C6FFE">
              <w:rPr>
                <w:rFonts w:ascii="Arial Narrow" w:hAnsi="Arial Narrow" w:cs="Times New Roman"/>
                <w:sz w:val="20"/>
              </w:rPr>
              <w:t xml:space="preserve">1. </w:t>
            </w:r>
            <w:r w:rsidR="00BC0F81">
              <w:rPr>
                <w:rFonts w:ascii="Arial Narrow" w:hAnsi="Arial Narrow" w:cs="Times New Roman"/>
                <w:sz w:val="20"/>
              </w:rPr>
              <w:t>úverová inštitúcia, finančná inštitúcia, okrem inštitúcie elektronických peňazí alebo podnik pomocných bankových služieb; tieto tvoria bankový sektor,</w:t>
            </w:r>
          </w:p>
          <w:p w:rsidR="000C6FFE" w:rsidRPr="000C6FFE" w:rsidP="000C6FFE">
            <w:pPr>
              <w:tabs>
                <w:tab w:val="left" w:pos="360"/>
              </w:tabs>
              <w:ind w:left="323" w:hanging="240"/>
              <w:jc w:val="both"/>
              <w:rPr>
                <w:rFonts w:ascii="Arial Narrow" w:hAnsi="Arial Narrow" w:cs="Times New Roman"/>
                <w:sz w:val="20"/>
              </w:rPr>
            </w:pPr>
            <w:r w:rsidRPr="000C6FFE">
              <w:rPr>
                <w:rFonts w:ascii="Arial Narrow" w:hAnsi="Arial Narrow" w:cs="Times New Roman"/>
                <w:sz w:val="20"/>
              </w:rPr>
              <w:t>2. poisťovňa, poisťovňa z iného členského štátu, zahraničná poisťovňa vrátane ich pobočiek, zaisťovňa, zaisťovňa z iného členského štátu alebo zahraničná zaisťovňa vrátane ich pobočiek alebo právnická osoba ovládajúca finančný konsolidovaný celok; tieto tvoria sektor poisťovníctva,</w:t>
            </w:r>
          </w:p>
          <w:p w:rsidR="000C6FFE" w:rsidRPr="000C6FFE" w:rsidP="000C6FFE">
            <w:pPr>
              <w:tabs>
                <w:tab w:val="left" w:pos="360"/>
              </w:tabs>
              <w:ind w:left="323" w:hanging="240"/>
              <w:jc w:val="both"/>
              <w:rPr>
                <w:rFonts w:ascii="Arial Narrow" w:hAnsi="Arial Narrow" w:cs="Times New Roman"/>
                <w:sz w:val="20"/>
              </w:rPr>
            </w:pPr>
            <w:r w:rsidRPr="000C6FFE">
              <w:rPr>
                <w:rFonts w:ascii="Arial Narrow" w:hAnsi="Arial Narrow" w:cs="Times New Roman"/>
                <w:sz w:val="20"/>
              </w:rPr>
              <w:t>3. obchodník s cennými papiermi alebo iná právnická osoba podľa osobitného zákona okrem inštitúcie elektronických peňazí; tieto tvoria sektor investičných služieb,</w:t>
            </w:r>
          </w:p>
          <w:p w:rsidR="000C6FFE" w:rsidRPr="000C6FFE" w:rsidP="000C6FFE">
            <w:pPr>
              <w:tabs>
                <w:tab w:val="left" w:pos="360"/>
              </w:tabs>
              <w:ind w:left="323" w:hanging="240"/>
              <w:jc w:val="both"/>
              <w:rPr>
                <w:rFonts w:ascii="Arial Narrow" w:hAnsi="Arial Narrow" w:cs="Times New Roman"/>
                <w:sz w:val="20"/>
              </w:rPr>
            </w:pPr>
            <w:r w:rsidRPr="000C6FFE">
              <w:rPr>
                <w:rFonts w:ascii="Arial Narrow" w:hAnsi="Arial Narrow" w:cs="Times New Roman"/>
                <w:sz w:val="20"/>
              </w:rPr>
              <w:t>4. zmiešaná finančná holdingová spoločnosť,</w:t>
            </w:r>
          </w:p>
          <w:p w:rsidR="0053717E" w:rsidP="00D37DFA">
            <w:pPr>
              <w:pStyle w:val="BodyText"/>
              <w:rPr>
                <w:rFonts w:ascii="Arial Narrow" w:hAnsi="Arial Narrow" w:cs="Times New Roman"/>
                <w:b/>
                <w:sz w:val="20"/>
              </w:rPr>
            </w:pPr>
          </w:p>
          <w:p w:rsidR="000C6FFE" w:rsidRPr="000C6FFE" w:rsidP="000C6FFE">
            <w:pPr>
              <w:jc w:val="both"/>
              <w:rPr>
                <w:rFonts w:ascii="Arial Narrow" w:hAnsi="Arial Narrow" w:cs="Times New Roman"/>
                <w:sz w:val="20"/>
              </w:rPr>
            </w:pPr>
            <w:r w:rsidRPr="000C6FFE">
              <w:rPr>
                <w:rFonts w:ascii="Arial Narrow" w:hAnsi="Arial Narrow" w:cs="Times New Roman"/>
                <w:sz w:val="20"/>
              </w:rPr>
              <w:t>Na účely tohto zákona sa rozumie</w:t>
            </w:r>
          </w:p>
          <w:p w:rsidR="000C6FFE" w:rsidRPr="000C6FFE" w:rsidP="000C6FFE">
            <w:pPr>
              <w:jc w:val="both"/>
              <w:rPr>
                <w:rFonts w:ascii="Arial Narrow" w:hAnsi="Arial Narrow" w:cs="Times New Roman"/>
                <w:sz w:val="20"/>
              </w:rPr>
            </w:pPr>
            <w:r w:rsidRPr="000C6FFE">
              <w:rPr>
                <w:rFonts w:ascii="Arial Narrow" w:hAnsi="Arial Narrow" w:cs="Times New Roman"/>
                <w:sz w:val="20"/>
              </w:rPr>
              <w:t>materskou spoločnosťou právnická osoba, ktorá vykonáva kontrolu podľa písmena f),</w:t>
            </w:r>
          </w:p>
          <w:p w:rsidR="000C6FFE" w:rsidP="00D37DFA">
            <w:pPr>
              <w:pStyle w:val="BodyText"/>
              <w:rPr>
                <w:rFonts w:ascii="Arial Narrow" w:hAnsi="Arial Narrow" w:cs="Times New Roman"/>
                <w:b/>
                <w:sz w:val="20"/>
              </w:rPr>
            </w:pPr>
          </w:p>
          <w:p w:rsidR="000C6FFE" w:rsidP="00D37DFA">
            <w:pPr>
              <w:pStyle w:val="BodyText"/>
              <w:rPr>
                <w:rFonts w:ascii="Arial Narrow" w:hAnsi="Arial Narrow" w:cs="Times New Roman"/>
                <w:sz w:val="20"/>
              </w:rPr>
            </w:pPr>
            <w:r w:rsidRPr="000C6FFE">
              <w:rPr>
                <w:rFonts w:ascii="Arial Narrow" w:hAnsi="Arial Narrow" w:cs="Times New Roman"/>
                <w:sz w:val="20"/>
              </w:rPr>
              <w:t>dcérskou spoločnosťou právnická osoba, nad ktorou sa vykonáva kontrola podľa písmena f), ako aj akákoľvek dcérska spoločnosť dcérskej spoločnosti</w:t>
            </w:r>
            <w:r>
              <w:rPr>
                <w:rFonts w:ascii="Arial Narrow" w:hAnsi="Arial Narrow" w:cs="Times New Roman"/>
                <w:sz w:val="20"/>
              </w:rPr>
              <w:t>,</w:t>
            </w:r>
          </w:p>
          <w:p w:rsidR="000C6FFE" w:rsidP="00D37DFA">
            <w:pPr>
              <w:pStyle w:val="BodyText"/>
              <w:rPr>
                <w:rFonts w:ascii="Arial Narrow" w:hAnsi="Arial Narrow" w:cs="Times New Roman"/>
                <w:sz w:val="20"/>
              </w:rPr>
            </w:pPr>
          </w:p>
          <w:p w:rsidR="000C6FFE" w:rsidRPr="000C6FFE" w:rsidP="000C6FFE">
            <w:pPr>
              <w:jc w:val="both"/>
              <w:rPr>
                <w:rFonts w:ascii="Arial Narrow" w:hAnsi="Arial Narrow" w:cs="Times New Roman"/>
                <w:sz w:val="20"/>
              </w:rPr>
            </w:pPr>
            <w:r w:rsidRPr="000C6FFE">
              <w:rPr>
                <w:rFonts w:ascii="Arial Narrow" w:hAnsi="Arial Narrow" w:cs="Times New Roman"/>
                <w:sz w:val="20"/>
              </w:rPr>
              <w:t>Na účely výkonu dohľadu nad skupinou sa rozumie</w:t>
            </w:r>
          </w:p>
          <w:p w:rsidR="000C6FFE" w:rsidP="000C6FFE">
            <w:pPr>
              <w:pStyle w:val="BodyText"/>
              <w:rPr>
                <w:rFonts w:ascii="Arial Narrow" w:hAnsi="Arial Narrow" w:cs="Times New Roman"/>
                <w:sz w:val="20"/>
              </w:rPr>
            </w:pPr>
          </w:p>
          <w:p w:rsidR="000C6FFE" w:rsidRPr="000C6FFE" w:rsidP="000C6FFE">
            <w:pPr>
              <w:pStyle w:val="BodyText"/>
              <w:rPr>
                <w:rFonts w:ascii="Arial Narrow" w:hAnsi="Arial Narrow" w:cs="Times New Roman"/>
                <w:sz w:val="20"/>
              </w:rPr>
            </w:pPr>
            <w:r w:rsidRPr="000C6FFE">
              <w:rPr>
                <w:rFonts w:ascii="Arial Narrow" w:hAnsi="Arial Narrow" w:cs="Times New Roman"/>
                <w:sz w:val="20"/>
              </w:rPr>
              <w:t>účasťou priamy alebo nepriamy podiel alebo ich súčet, ktorý predstavuje najmenej 20 % na základnom imaní právnickej osoby alebo na hlasovacích právach v právnickej osobe, alebo možnosť uplatňovania vplyvu na riadení právnickej osoby porovnateľného s vplyvom zodpovedajúcim tomuto podiel.</w:t>
            </w:r>
          </w:p>
          <w:p w:rsidR="000C6FFE" w:rsidP="00D37DFA">
            <w:pPr>
              <w:pStyle w:val="BodyText"/>
              <w:rPr>
                <w:rFonts w:ascii="Arial Narrow" w:hAnsi="Arial Narrow" w:cs="Times New Roman"/>
                <w:b/>
                <w:sz w:val="20"/>
              </w:rPr>
            </w:pPr>
          </w:p>
          <w:p w:rsidR="000C6FFE" w:rsidRPr="0053717E" w:rsidP="000C6FFE">
            <w:pPr>
              <w:tabs>
                <w:tab w:val="left" w:pos="0"/>
              </w:tabs>
              <w:jc w:val="both"/>
              <w:rPr>
                <w:rFonts w:ascii="Arial Narrow" w:hAnsi="Arial Narrow" w:cs="Times New Roman"/>
                <w:sz w:val="20"/>
              </w:rPr>
            </w:pPr>
            <w:r w:rsidRPr="0053717E">
              <w:rPr>
                <w:rFonts w:ascii="Arial Narrow" w:hAnsi="Arial Narrow" w:cs="Times New Roman"/>
                <w:sz w:val="20"/>
              </w:rPr>
              <w:t>Na účely tohto zákona sa rozumie</w:t>
            </w:r>
          </w:p>
          <w:p w:rsidR="000C6FFE" w:rsidP="000C6FFE">
            <w:pPr>
              <w:pStyle w:val="a2"/>
              <w:spacing w:line="240" w:lineRule="auto"/>
              <w:rPr>
                <w:rFonts w:ascii="Arial Narrow" w:hAnsi="Arial Narrow" w:cs="Times New Roman"/>
                <w:bCs/>
                <w:sz w:val="20"/>
                <w:lang w:val="sk-SK"/>
              </w:rPr>
            </w:pPr>
            <w:r w:rsidRPr="000C6FFE">
              <w:rPr>
                <w:rFonts w:ascii="Arial Narrow" w:hAnsi="Arial Narrow" w:cs="Times New Roman"/>
                <w:sz w:val="20"/>
                <w:lang w:val="sk-SK"/>
              </w:rPr>
              <w:t>skupinou skupina osôb navzájom prepojených vzťahom ovládania podľa §</w:t>
            </w:r>
            <w:r w:rsidRPr="000C6FFE">
              <w:rPr>
                <w:rFonts w:ascii="Arial Narrow" w:hAnsi="Arial Narrow" w:cs="Times New Roman"/>
                <w:bCs/>
                <w:sz w:val="20"/>
                <w:lang w:val="sk-SK"/>
              </w:rPr>
              <w:t xml:space="preserve"> 49</w:t>
            </w:r>
            <w:r w:rsidRPr="000C6FFE">
              <w:rPr>
                <w:rFonts w:ascii="Arial Narrow" w:hAnsi="Arial Narrow" w:cs="Times New Roman"/>
                <w:sz w:val="20"/>
                <w:lang w:val="sk-SK"/>
              </w:rPr>
              <w:t xml:space="preserve"> ods. 5 písm.</w:t>
            </w:r>
            <w:r>
              <w:rPr>
                <w:rFonts w:ascii="Arial Narrow" w:hAnsi="Arial Narrow" w:cs="Times New Roman"/>
                <w:sz w:val="20"/>
                <w:lang w:val="sk-SK"/>
              </w:rPr>
              <w:t xml:space="preserve"> </w:t>
            </w:r>
            <w:r w:rsidRPr="000C6FFE">
              <w:rPr>
                <w:rFonts w:ascii="Arial Narrow" w:hAnsi="Arial Narrow" w:cs="Times New Roman"/>
                <w:sz w:val="20"/>
                <w:lang w:val="sk-SK"/>
              </w:rPr>
              <w:t>e) bodu l.</w:t>
            </w:r>
            <w:r w:rsidRPr="000C6FFE">
              <w:rPr>
                <w:rFonts w:ascii="Arial Narrow" w:hAnsi="Arial Narrow" w:cs="Times New Roman"/>
                <w:bCs/>
                <w:sz w:val="20"/>
                <w:lang w:val="sk-SK"/>
              </w:rPr>
              <w:t xml:space="preserve"> </w:t>
            </w:r>
          </w:p>
          <w:p w:rsidR="000C6FFE" w:rsidRPr="000C6FFE" w:rsidP="000C6FFE">
            <w:pPr>
              <w:pStyle w:val="a2"/>
              <w:spacing w:line="240" w:lineRule="auto"/>
              <w:rPr>
                <w:rFonts w:ascii="Arial Narrow" w:hAnsi="Arial Narrow" w:cs="Times New Roman"/>
                <w:bCs/>
                <w:sz w:val="20"/>
                <w:lang w:val="sk-SK"/>
              </w:rPr>
            </w:pPr>
          </w:p>
          <w:p w:rsidR="005C3E65" w:rsidRPr="005C3E65" w:rsidP="005C3E65">
            <w:pPr>
              <w:jc w:val="both"/>
              <w:rPr>
                <w:rFonts w:ascii="Arial Narrow" w:hAnsi="Arial Narrow" w:cs="Times New Roman"/>
                <w:sz w:val="20"/>
              </w:rPr>
            </w:pPr>
            <w:r w:rsidRPr="005C3E65">
              <w:rPr>
                <w:rFonts w:ascii="Arial Narrow" w:hAnsi="Arial Narrow" w:cs="Times New Roman"/>
                <w:sz w:val="20"/>
              </w:rPr>
              <w:t>Na účely t</w:t>
            </w:r>
            <w:r w:rsidRPr="005C3E65">
              <w:rPr>
                <w:rFonts w:ascii="Arial Narrow" w:hAnsi="Arial Narrow" w:cs="Times New Roman"/>
                <w:sz w:val="20"/>
              </w:rPr>
              <w:t>ohto zákona sa rozumie</w:t>
            </w:r>
          </w:p>
          <w:p w:rsidR="005C3E65" w:rsidRPr="005C3E65" w:rsidP="005C3E65">
            <w:pPr>
              <w:jc w:val="both"/>
              <w:rPr>
                <w:rFonts w:ascii="Arial Narrow" w:hAnsi="Arial Narrow" w:cs="Times New Roman"/>
                <w:sz w:val="20"/>
              </w:rPr>
            </w:pPr>
            <w:r w:rsidRPr="005C3E65">
              <w:rPr>
                <w:rFonts w:ascii="Arial Narrow" w:hAnsi="Arial Narrow" w:cs="Times New Roman"/>
                <w:sz w:val="20"/>
              </w:rPr>
              <w:t>skupinou s úzkymi väzbami</w:t>
            </w:r>
            <w:r w:rsidR="00475080">
              <w:rPr>
                <w:rFonts w:ascii="Arial Narrow" w:hAnsi="Arial Narrow" w:cs="Times New Roman"/>
                <w:sz w:val="20"/>
              </w:rPr>
              <w:t xml:space="preserve"> najmenej</w:t>
            </w:r>
            <w:r w:rsidRPr="005C3E65">
              <w:rPr>
                <w:rFonts w:ascii="Arial Narrow" w:hAnsi="Arial Narrow" w:cs="Times New Roman"/>
                <w:sz w:val="20"/>
              </w:rPr>
              <w:t xml:space="preserve"> dve fyzické osoby alebo</w:t>
            </w:r>
            <w:r w:rsidR="00475080">
              <w:rPr>
                <w:rFonts w:ascii="Arial Narrow" w:hAnsi="Arial Narrow" w:cs="Times New Roman"/>
                <w:sz w:val="20"/>
              </w:rPr>
              <w:t xml:space="preserve"> najmenej dve právnické</w:t>
            </w:r>
            <w:r w:rsidRPr="005C3E65">
              <w:rPr>
                <w:rFonts w:ascii="Arial Narrow" w:hAnsi="Arial Narrow" w:cs="Times New Roman"/>
                <w:sz w:val="20"/>
              </w:rPr>
              <w:t xml:space="preserve"> osoby, kde má jedna z právnických osôb alebo fyzických osôb na druhej právnickej osobe priamy alebo nepriamy podiel na základnom imaní alebo na hlasova</w:t>
            </w:r>
            <w:r w:rsidRPr="005C3E65">
              <w:rPr>
                <w:rFonts w:ascii="Arial Narrow" w:hAnsi="Arial Narrow" w:cs="Times New Roman"/>
                <w:sz w:val="20"/>
              </w:rPr>
              <w:t>cích právach najmenej 20%, alebo túto právnickú osobu priamo či nepriamo kontroluje, alebo akýkoľvek vzťah dvoch alebo viacerých právnických osôb kontrolovaných tou istou právnickou osobou alebo fyzickou osobou,</w:t>
            </w:r>
          </w:p>
          <w:p w:rsidR="000C6FFE" w:rsidP="00D37DFA">
            <w:pPr>
              <w:pStyle w:val="BodyText"/>
              <w:rPr>
                <w:rFonts w:ascii="Arial Narrow" w:hAnsi="Arial Narrow" w:cs="Times New Roman"/>
                <w:b/>
                <w:sz w:val="20"/>
              </w:rPr>
            </w:pPr>
          </w:p>
          <w:p w:rsidR="005C3E65" w:rsidP="00D37DFA">
            <w:pPr>
              <w:pStyle w:val="BodyText"/>
              <w:rPr>
                <w:rFonts w:ascii="Arial Narrow" w:hAnsi="Arial Narrow" w:cs="Times New Roman"/>
                <w:b/>
                <w:sz w:val="20"/>
              </w:rPr>
            </w:pPr>
          </w:p>
          <w:p w:rsidR="005C3E65" w:rsidP="00D37DFA">
            <w:pPr>
              <w:pStyle w:val="BodyText"/>
              <w:rPr>
                <w:rFonts w:ascii="Arial Narrow" w:hAnsi="Arial Narrow" w:cs="Times New Roman"/>
                <w:b/>
                <w:sz w:val="20"/>
              </w:rPr>
            </w:pPr>
          </w:p>
          <w:p w:rsidR="00475080" w:rsidP="00D37DFA">
            <w:pPr>
              <w:pStyle w:val="BodyText"/>
              <w:rPr>
                <w:rFonts w:ascii="Arial Narrow" w:hAnsi="Arial Narrow" w:cs="Times New Roman"/>
                <w:b/>
                <w:sz w:val="20"/>
              </w:rPr>
            </w:pPr>
          </w:p>
          <w:p w:rsidR="005C3E65" w:rsidRPr="0053717E" w:rsidP="005C3E65">
            <w:pPr>
              <w:tabs>
                <w:tab w:val="left" w:pos="0"/>
              </w:tabs>
              <w:jc w:val="both"/>
              <w:rPr>
                <w:rFonts w:ascii="Arial Narrow" w:hAnsi="Arial Narrow" w:cs="Times New Roman"/>
                <w:sz w:val="20"/>
              </w:rPr>
            </w:pPr>
            <w:r w:rsidRPr="0053717E">
              <w:rPr>
                <w:rFonts w:ascii="Arial Narrow" w:hAnsi="Arial Narrow" w:cs="Times New Roman"/>
                <w:sz w:val="20"/>
              </w:rPr>
              <w:t>Na účely tohto zákona sa rozumie</w:t>
            </w:r>
          </w:p>
          <w:p w:rsidR="005C3E65" w:rsidRPr="005C3E65" w:rsidP="005C3E65">
            <w:pPr>
              <w:tabs>
                <w:tab w:val="left" w:pos="0"/>
                <w:tab w:val="left" w:pos="480"/>
              </w:tabs>
              <w:ind w:left="57" w:right="57"/>
              <w:jc w:val="both"/>
              <w:rPr>
                <w:rFonts w:ascii="Arial Narrow" w:hAnsi="Arial Narrow" w:cs="Times New Roman"/>
                <w:sz w:val="20"/>
              </w:rPr>
            </w:pPr>
            <w:r w:rsidRPr="005C3E65">
              <w:rPr>
                <w:rFonts w:ascii="Arial Narrow" w:hAnsi="Arial Narrow" w:cs="Times New Roman"/>
                <w:sz w:val="20"/>
              </w:rPr>
              <w:t>finančn</w:t>
            </w:r>
            <w:r w:rsidRPr="005C3E65">
              <w:rPr>
                <w:rFonts w:ascii="Arial Narrow" w:hAnsi="Arial Narrow" w:cs="Times New Roman"/>
                <w:sz w:val="20"/>
              </w:rPr>
              <w:t>ým konglomerátom</w:t>
            </w:r>
          </w:p>
          <w:p w:rsidR="005C3E65" w:rsidRPr="005C3E65" w:rsidP="005C3E65">
            <w:pPr>
              <w:tabs>
                <w:tab w:val="left" w:pos="0"/>
              </w:tabs>
              <w:ind w:left="57" w:right="57"/>
              <w:jc w:val="both"/>
              <w:rPr>
                <w:rFonts w:ascii="Arial Narrow" w:hAnsi="Arial Narrow" w:cs="Times New Roman"/>
                <w:sz w:val="20"/>
              </w:rPr>
            </w:pPr>
            <w:r w:rsidRPr="005C3E65">
              <w:rPr>
                <w:rFonts w:ascii="Arial Narrow" w:hAnsi="Arial Narrow" w:cs="Times New Roman"/>
                <w:sz w:val="20"/>
              </w:rPr>
              <w:t>1. skupina, ak</w:t>
            </w:r>
          </w:p>
          <w:p w:rsidR="005C3E65" w:rsidRPr="00D80F3F" w:rsidP="005C3E65">
            <w:pPr>
              <w:pStyle w:val="BodyTextIndent"/>
              <w:spacing w:after="0"/>
              <w:ind w:left="57" w:right="57" w:firstLine="0"/>
              <w:rPr>
                <w:rFonts w:ascii="Arial Narrow" w:hAnsi="Arial Narrow" w:cs="Times New Roman"/>
                <w:sz w:val="20"/>
                <w:lang w:val="pl-PL"/>
              </w:rPr>
            </w:pPr>
            <w:r w:rsidRPr="00D80F3F">
              <w:rPr>
                <w:rFonts w:ascii="Arial Narrow" w:hAnsi="Arial Narrow" w:cs="Times New Roman"/>
                <w:sz w:val="20"/>
                <w:lang w:val="pl-PL"/>
              </w:rPr>
              <w:t xml:space="preserve">1a. je ovládaná regulovanou osobou, </w:t>
            </w:r>
          </w:p>
          <w:p w:rsidR="005C3E65" w:rsidRPr="005C3E65" w:rsidP="005C3E65">
            <w:pPr>
              <w:pStyle w:val="BodyTextIndent"/>
              <w:spacing w:after="0"/>
              <w:ind w:left="57" w:right="57" w:firstLine="0"/>
              <w:rPr>
                <w:rFonts w:ascii="Arial Narrow" w:hAnsi="Arial Narrow" w:cs="Times New Roman"/>
                <w:sz w:val="20"/>
              </w:rPr>
            </w:pPr>
            <w:r w:rsidRPr="005C3E65">
              <w:rPr>
                <w:rFonts w:ascii="Arial Narrow" w:hAnsi="Arial Narrow" w:cs="Times New Roman"/>
                <w:sz w:val="20"/>
              </w:rPr>
              <w:t xml:space="preserve">1b. regulovaná osoba podľa bodu 1a. je materskou spoločnosťou osoby vo finančnom sektore alebo je osobou, ktorá má účasť podľa § </w:t>
            </w:r>
            <w:r w:rsidRPr="005C3E65">
              <w:rPr>
                <w:rFonts w:ascii="Arial Narrow" w:hAnsi="Arial Narrow" w:cs="Times New Roman"/>
                <w:bCs/>
                <w:sz w:val="20"/>
              </w:rPr>
              <w:t>49</w:t>
            </w:r>
            <w:r w:rsidRPr="005C3E65">
              <w:rPr>
                <w:rFonts w:ascii="Arial Narrow" w:hAnsi="Arial Narrow" w:cs="Times New Roman"/>
                <w:sz w:val="20"/>
              </w:rPr>
              <w:t xml:space="preserve"> ods. 5 písm. f) na osobe vo finančnom sektore alebo je osobou prepojenou s osobou vo finančnom sektore vzťahom ovládania podľa § 49 ods. 5 písm. e), </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1c. aspoň jedna z osôb v skupine je zo sektoru poisťovníctva a aspoň jedna z bankového sektoru alebo zo sektoru investičných služieb a</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1d. konsolidované činnosti alebo súhrn činností osôb v skupine v sektore poisťovníctva a konsolidované činnosti alebo súhrn činností osôb v skupine v bankovom sektore a v sektore investičných služieb sú významné podľa § 59 ods. 2 a 4,</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 xml:space="preserve">2. skupina, ak </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2a. aspoň jedna z dcérskych spoločností v skupine je regulovanou osobou,</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2b. nie je ovládaná regulovanou osobou a činnosť skupiny sa sústreďuje vo finančnom sektore podľa § 59 ods. 2 a 4,</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2c. aspoň jedna z osôb v skupine je zo sektoru poisťovníctva a aspoň jedna z bankového sektoru alebo zo sektoru investičných služieb a</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 xml:space="preserve">2d. konsolidované činnosti alebo súhrn činností osôb v skupine v sektore poisťovníctva a konsolidované činnosti alebo súhrn činností osôb v skupine v bankovom sektore a v sektore investičných služieb sú významné podľa § </w:t>
            </w:r>
            <w:r w:rsidRPr="005C3E65">
              <w:rPr>
                <w:rFonts w:ascii="Arial Narrow" w:hAnsi="Arial Narrow" w:cs="Times New Roman"/>
                <w:b w:val="0"/>
                <w:noProof/>
                <w:sz w:val="20"/>
              </w:rPr>
              <w:t>59 ods. 2 a 4,</w:t>
            </w:r>
          </w:p>
          <w:p w:rsidR="005C3E65" w:rsidRPr="005C3E65" w:rsidP="005C3E65">
            <w:pPr>
              <w:ind w:left="57" w:right="57"/>
              <w:jc w:val="both"/>
              <w:rPr>
                <w:rFonts w:ascii="Arial Narrow" w:hAnsi="Arial Narrow" w:cs="Times New Roman"/>
                <w:b w:val="0"/>
                <w:noProof/>
                <w:sz w:val="20"/>
              </w:rPr>
            </w:pPr>
            <w:r w:rsidRPr="005C3E65">
              <w:rPr>
                <w:rFonts w:ascii="Arial Narrow" w:hAnsi="Arial Narrow" w:cs="Times New Roman"/>
                <w:b w:val="0"/>
                <w:noProof/>
                <w:sz w:val="20"/>
              </w:rPr>
              <w:t>3. podskupina iného finančného konglomerátu, ktorá spĺňa podmienky podľa prvého bodu alebo druhého bodu,</w:t>
            </w:r>
          </w:p>
          <w:p w:rsidR="005C3E65" w:rsidP="00D37DFA">
            <w:pPr>
              <w:pStyle w:val="BodyText"/>
              <w:rPr>
                <w:rFonts w:ascii="Arial Narrow" w:hAnsi="Arial Narrow" w:cs="Times New Roman"/>
                <w:b/>
                <w:sz w:val="20"/>
              </w:rPr>
            </w:pPr>
          </w:p>
          <w:p w:rsidR="005C3E65" w:rsidRPr="005C3E65" w:rsidP="005C3E65">
            <w:pPr>
              <w:jc w:val="both"/>
              <w:rPr>
                <w:rFonts w:ascii="Arial Narrow" w:hAnsi="Arial Narrow" w:cs="Times New Roman"/>
                <w:b w:val="0"/>
                <w:noProof/>
                <w:sz w:val="20"/>
              </w:rPr>
            </w:pPr>
            <w:r w:rsidRPr="005C3E65">
              <w:rPr>
                <w:rFonts w:ascii="Arial Narrow" w:hAnsi="Arial Narrow" w:cs="Times New Roman"/>
                <w:b w:val="0"/>
                <w:noProof/>
                <w:sz w:val="20"/>
              </w:rPr>
              <w:t>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5C3E65" w:rsidP="00D37DFA">
            <w:pPr>
              <w:pStyle w:val="BodyText"/>
              <w:rPr>
                <w:rFonts w:ascii="Arial Narrow" w:hAnsi="Arial Narrow" w:cs="Times New Roman"/>
                <w:b/>
                <w:sz w:val="20"/>
              </w:rPr>
            </w:pPr>
          </w:p>
          <w:p w:rsidR="0025428B" w:rsidRPr="0025428B" w:rsidP="0025428B">
            <w:pPr>
              <w:jc w:val="both"/>
              <w:rPr>
                <w:rFonts w:ascii="Arial Narrow" w:hAnsi="Arial Narrow" w:cs="Times New Roman"/>
                <w:sz w:val="20"/>
              </w:rPr>
            </w:pPr>
            <w:r w:rsidRPr="0025428B">
              <w:rPr>
                <w:rFonts w:ascii="Arial Narrow" w:hAnsi="Arial Narrow" w:cs="Times New Roman"/>
                <w:sz w:val="20"/>
              </w:rPr>
              <w:t>Dohľad podľa odseku 1 vykonáva Národná banka Slovenska.</w:t>
            </w: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r w:rsidRPr="0025428B">
              <w:rPr>
                <w:rFonts w:ascii="Arial Narrow" w:hAnsi="Arial Narrow" w:cs="Times New Roman"/>
                <w:sz w:val="20"/>
              </w:rPr>
              <w:t xml:space="preserve">Dohľad podľa tohto zákona sa vykonáva nad činnosťou poisťovne, zaisťovne, pobočky zahraničnej poisťovne, pobočky zahraničnej zaisťovne, Slovenskou kanceláriou poisťovateľov; za podmienok podľa § </w:t>
            </w:r>
            <w:r w:rsidRPr="0025428B">
              <w:rPr>
                <w:rFonts w:ascii="Arial Narrow" w:hAnsi="Arial Narrow" w:cs="Times New Roman"/>
                <w:bCs/>
                <w:sz w:val="20"/>
              </w:rPr>
              <w:t>21</w:t>
            </w:r>
            <w:r w:rsidRPr="0025428B">
              <w:rPr>
                <w:rFonts w:ascii="Arial Narrow" w:hAnsi="Arial Narrow" w:cs="Times New Roman"/>
                <w:sz w:val="20"/>
              </w:rPr>
              <w:t xml:space="preserve"> ods. 3 a 4 podlieha dohľadu podľa tohto zákona aj poisťovacia činnosť poisťovne z iného členského štátu </w:t>
            </w:r>
            <w:r w:rsidRPr="0025428B">
              <w:rPr>
                <w:rFonts w:ascii="Arial Narrow" w:hAnsi="Arial Narrow" w:cs="Times New Roman"/>
                <w:bCs/>
                <w:sz w:val="20"/>
              </w:rPr>
              <w:t xml:space="preserve">a zaisťovacia činnosť zaisťovne z iného členského štátu </w:t>
            </w:r>
            <w:r w:rsidRPr="0025428B">
              <w:rPr>
                <w:rFonts w:ascii="Arial Narrow" w:hAnsi="Arial Narrow" w:cs="Times New Roman"/>
                <w:sz w:val="20"/>
              </w:rPr>
              <w:t xml:space="preserve">v rozsahu ustanovenom týmto zákonom a činnosť iných osôb súvisiaca s činnosťou alebo riadením poisťovne, zaisťovne, pobočky zahraničnej poisťovne alebo pobočky zahraničnej zaisťovne. Dohľad sa tiež vykonáva nad poisťovňami v skupine a zaisťovňami v skupine podľa § </w:t>
            </w:r>
            <w:r w:rsidRPr="0025428B">
              <w:rPr>
                <w:rFonts w:ascii="Arial Narrow" w:hAnsi="Arial Narrow" w:cs="Times New Roman"/>
                <w:bCs/>
                <w:sz w:val="20"/>
              </w:rPr>
              <w:t>49</w:t>
            </w:r>
            <w:r w:rsidRPr="0025428B">
              <w:rPr>
                <w:rFonts w:ascii="Arial Narrow" w:hAnsi="Arial Narrow" w:cs="Times New Roman"/>
                <w:sz w:val="20"/>
              </w:rPr>
              <w:t>.</w:t>
            </w: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P="00D37DFA">
            <w:pPr>
              <w:pStyle w:val="BodyText"/>
              <w:rPr>
                <w:rFonts w:ascii="Arial Narrow" w:hAnsi="Arial Narrow" w:cs="Times New Roman"/>
                <w:sz w:val="20"/>
              </w:rPr>
            </w:pPr>
          </w:p>
          <w:p w:rsidR="0025428B" w:rsidRPr="0025428B" w:rsidP="0025428B">
            <w:pPr>
              <w:jc w:val="both"/>
              <w:rPr>
                <w:rFonts w:ascii="Arial Narrow" w:hAnsi="Arial Narrow" w:cs="Times New Roman"/>
                <w:b w:val="0"/>
                <w:noProof/>
                <w:sz w:val="20"/>
              </w:rPr>
            </w:pPr>
            <w:r w:rsidRPr="0025428B">
              <w:rPr>
                <w:rFonts w:ascii="Arial Narrow" w:hAnsi="Arial Narrow" w:cs="Times New Roman"/>
                <w:b w:val="0"/>
                <w:noProof/>
                <w:sz w:val="20"/>
              </w:rPr>
              <w:t>Vnútroskupinovým obchodom sa na účely tohto zákona rozumie obchod, v ktorom regulované osoby tvoriace súčasť finančného konglomerátu priamo alebo nepriamo využívajú iné spoločnosti tej istej skupiny alebo fyzickú osobu alebo právnickú osobu, ktoré ovládajú na splnenie povinnosti, a to bez ohľadu na to, či je táto povinnosť určená zmluvou a či je splnenie tejto povinnosti za úhradu.</w:t>
            </w:r>
          </w:p>
          <w:p w:rsidR="0025428B" w:rsidP="0025428B">
            <w:pPr>
              <w:jc w:val="both"/>
              <w:rPr>
                <w:rFonts w:ascii="Arial Narrow" w:hAnsi="Arial Narrow" w:cs="Times New Roman"/>
                <w:b w:val="0"/>
                <w:noProof/>
                <w:sz w:val="20"/>
              </w:rPr>
            </w:pPr>
          </w:p>
          <w:p w:rsidR="0025428B" w:rsidRPr="0025428B" w:rsidP="0025428B">
            <w:pPr>
              <w:jc w:val="both"/>
              <w:rPr>
                <w:rFonts w:ascii="Arial Narrow" w:hAnsi="Arial Narrow" w:cs="Times New Roman"/>
                <w:b w:val="0"/>
                <w:noProof/>
                <w:sz w:val="20"/>
              </w:rPr>
            </w:pPr>
            <w:r w:rsidRPr="0025428B">
              <w:rPr>
                <w:rFonts w:ascii="Arial Narrow" w:hAnsi="Arial Narrow" w:cs="Times New Roman"/>
                <w:b w:val="0"/>
                <w:noProof/>
                <w:sz w:val="20"/>
              </w:rPr>
              <w:t>Koncentráciou rizík finančného konglomerátu sa na účely doplňujúceho dohľadu rozumie každá činnosť osôb tvoriacich súčasť finančného konglomerátu, ktorá môže spôsobiť takú stratu, ktorá môže ohroziť platobnú schopnosť a bezpečnosť regulovaných osôb tvoriacich súčasť finančného konglomerátu; takáto koncentrácia môže byť v riziku protistrany, úverovom riziku, investičnom riziku, poistnom riziku, trhovom riziku, riziku likvidity, operačnom riziku a inom riziku alebo kombinácii týchto rizík.</w:t>
            </w:r>
          </w:p>
          <w:p w:rsidR="0025428B" w:rsidRPr="000C6FFE" w:rsidP="00D37DFA">
            <w:pPr>
              <w:pStyle w:val="BodyText"/>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3717E">
            <w:pPr>
              <w:rPr>
                <w:rFonts w:ascii="Arial Narrow" w:hAnsi="Arial Narrow" w:cs="Times New Roman"/>
                <w:sz w:val="20"/>
              </w:rPr>
            </w:pPr>
          </w:p>
          <w:p w:rsidR="0053717E">
            <w:pPr>
              <w:rPr>
                <w:rFonts w:ascii="Arial Narrow" w:hAnsi="Arial Narrow" w:cs="Times New Roman"/>
                <w:sz w:val="20"/>
              </w:rPr>
            </w:pPr>
          </w:p>
          <w:p w:rsidR="00BC06EF">
            <w:pPr>
              <w:rPr>
                <w:rFonts w:ascii="Arial Narrow" w:hAnsi="Arial Narrow" w:cs="Times New Roman"/>
                <w:sz w:val="20"/>
              </w:rPr>
            </w:pPr>
            <w:r w:rsidR="0053717E">
              <w:rPr>
                <w:rFonts w:ascii="Arial Narrow" w:hAnsi="Arial Narrow" w:cs="Times New Roman"/>
                <w:sz w:val="20"/>
              </w:rPr>
              <w:t>Ú</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p>
          <w:p w:rsidR="00433C79">
            <w:pPr>
              <w:rPr>
                <w:rFonts w:ascii="Arial Narrow" w:hAnsi="Arial Narrow" w:cs="Times New Roman"/>
                <w:sz w:val="20"/>
              </w:rPr>
            </w:pPr>
          </w:p>
          <w:p w:rsidR="0053717E">
            <w:pPr>
              <w:rPr>
                <w:rFonts w:ascii="Arial Narrow" w:hAnsi="Arial Narrow" w:cs="Times New Roman"/>
                <w:sz w:val="20"/>
              </w:rPr>
            </w:pPr>
          </w:p>
          <w:p w:rsidR="00433C79">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r>
              <w:rPr>
                <w:rFonts w:ascii="Arial Narrow" w:hAnsi="Arial Narrow" w:cs="Times New Roman"/>
                <w:sz w:val="20"/>
              </w:rPr>
              <w:t>n.a.</w:t>
            </w:r>
          </w:p>
          <w:p w:rsidR="0053717E">
            <w:pPr>
              <w:rPr>
                <w:rFonts w:ascii="Arial Narrow" w:hAnsi="Arial Narrow" w:cs="Times New Roman"/>
                <w:sz w:val="20"/>
              </w:rPr>
            </w:pPr>
          </w:p>
          <w:p w:rsidR="0053717E">
            <w:pPr>
              <w:rPr>
                <w:rFonts w:ascii="Arial Narrow" w:hAnsi="Arial Narrow" w:cs="Times New Roman"/>
                <w:sz w:val="20"/>
              </w:rPr>
            </w:pPr>
          </w:p>
          <w:p w:rsidR="0053717E">
            <w:pPr>
              <w:rPr>
                <w:rFonts w:ascii="Arial Narrow" w:hAnsi="Arial Narrow" w:cs="Times New Roman"/>
                <w:sz w:val="20"/>
              </w:rPr>
            </w:pPr>
            <w:r>
              <w:rPr>
                <w:rFonts w:ascii="Arial Narrow" w:hAnsi="Arial Narrow" w:cs="Times New Roman"/>
                <w:sz w:val="20"/>
              </w:rPr>
              <w:t>Ú</w:t>
            </w:r>
          </w:p>
          <w:p w:rsidR="0053717E" w:rsidRPr="007078D1">
            <w:pPr>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3D46">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pPr>
              <w:rPr>
                <w:rFonts w:ascii="Arial Narrow" w:hAnsi="Arial Narrow" w:cs="Times New Roman"/>
                <w:sz w:val="20"/>
              </w:rPr>
            </w:pPr>
          </w:p>
          <w:p w:rsidR="00541C80" w:rsidRPr="007078D1">
            <w:pPr>
              <w:rPr>
                <w:rFonts w:ascii="Arial Narrow" w:hAnsi="Arial Narrow" w:cs="Times New Roman"/>
                <w:sz w:val="20"/>
              </w:rPr>
            </w:pPr>
            <w:r>
              <w:rPr>
                <w:rFonts w:ascii="Arial Narrow" w:hAnsi="Arial Narrow" w:cs="Times New Roman"/>
                <w:sz w:val="20"/>
              </w:rPr>
              <w:t>§ 49 ods.5 pís.e) návrhu tohto zákona</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7078D1">
            <w:pPr>
              <w:rPr>
                <w:rFonts w:ascii="Arial Narrow" w:hAnsi="Arial Narrow" w:cs="Times New Roman"/>
                <w:sz w:val="20"/>
              </w:rPr>
            </w:pPr>
            <w:r w:rsidRPr="007078D1">
              <w:rPr>
                <w:rFonts w:ascii="Arial Narrow" w:hAnsi="Arial Narrow" w:cs="Times New Roman"/>
                <w:sz w:val="20"/>
              </w:rPr>
              <w:t>Čl.3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Prahy na identifikáciu finančného konglomerátu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Skupina sa považuje za skupinu, ktorej činnosti sa sústreďujú prevažne vo finančnom sektore v zmysle článku 2 ods. 14 písm. c), ak podiel bilančnej sumy regulovaných a neregulovaných subjektov finančného sektora v skupine k bilančnej sume skupiny ako celku presahuje 40 %.</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Činnosti v rôznych finančných sektoroch sa považujú za významné v zmysle článku 2 ods. 14 písm. e), ak priemer z podielu bilančnej sumy tohto finančného sektora k bilančnej sume subjektov finančného sektora v skupine a z podielu kapitálových požiadaviek toho istého finančného sektora k celkovým kapitálovým požiadavkám subjektov finančného sektora v skupine musí byť za každý finančný sektor vyšší ako 10 %.</w:t>
            </w:r>
          </w:p>
          <w:p w:rsidR="009F046A" w:rsidP="00C02544">
            <w:pPr>
              <w:pStyle w:val="Normlnywebov8"/>
              <w:spacing w:before="0" w:after="0"/>
              <w:ind w:left="0" w:right="0"/>
              <w:jc w:val="both"/>
              <w:rPr>
                <w:rFonts w:ascii="Arial Narrow" w:hAnsi="Arial Narrow" w:cs="Tahoma"/>
                <w:sz w:val="20"/>
                <w:szCs w:val="20"/>
              </w:rPr>
            </w:pPr>
          </w:p>
          <w:p w:rsidR="009F046A"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Na účel tejto smernice najmenší finančný sektor vo finančnom konglomeráte je sektor s najmenším priemerom a najdôležitejší finančný sektor vo finančnom konglomeráte je sektor s najvyšším priemerom. Na účely výpočtu tohto priemeru a na meranie najmenšieho a najdôležitejšieho finančného sektora sa bankový sektor a sektor investičných služieb posudzujú spolu.</w:t>
            </w: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Transsektorové činnosti sa považujú za významné v zmysle článku 2 ods. 14 písm. e), ak bilančná suma najmenšieho finančného sektora v skupine je vyššia ako 6 mld. EUR. Ak skupina nedosiahne prah uvedený v odseku 2, príslušné orgány môžu rozhodnúť na základe spoločnej dohody, že skupinu nebudú považovať za finančný konglomerát alebo že nebudú uplatňovať ustanovenia článkov 7, 8 alebo 9, ak sú toho názoru, že zaradenie skupiny do pôsobnosti tejto smernice alebo uplatnenie týchto ustanovení nie je nutné, resp. by bolo nevhodné alebo nesprávne vo vzťahu k cieľom doplnkového dohľadu, berúc do úvahy napríklad skutočnosť, že: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relatívna veľkosť najmenšieho finančného sektora neprevyšuje 5 %, meraných buď z hľadiska priemeru uvedeného v odseku 2 alebo z hľadiska bilančnej sumy, alebo požiadaviek tohto finančného sektora na solventnosť; alebo</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trhový podiel v žiadnom členskom štáte neprekročí 5 %, meraných z hľadiska bilančnej sumy v bankovom sektore alebo sektore investičných služieb a z hľadiska predpísaného hrubého poistného v sektore poisťovníctva.</w:t>
            </w:r>
          </w:p>
          <w:p w:rsidR="009F046A" w:rsidP="00C02544">
            <w:pPr>
              <w:pStyle w:val="Normlnywebov8"/>
              <w:spacing w:before="0" w:after="0"/>
              <w:ind w:left="0" w:right="0"/>
              <w:jc w:val="both"/>
              <w:rPr>
                <w:rFonts w:ascii="Arial Narrow" w:hAnsi="Arial Narrow" w:cs="Tahoma"/>
                <w:sz w:val="20"/>
                <w:szCs w:val="20"/>
              </w:rPr>
            </w:pPr>
          </w:p>
          <w:p w:rsidR="009F046A"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Rozhodnutia prijaté podľa tohto odseku budú oznámené ostatným dotknutým príslušným orgánom.</w:t>
            </w:r>
          </w:p>
          <w:p w:rsidR="009F046A" w:rsidP="00C02544">
            <w:pPr>
              <w:pStyle w:val="Normlnywebov8"/>
              <w:spacing w:before="0" w:after="0"/>
              <w:ind w:left="0" w:right="0"/>
              <w:jc w:val="both"/>
              <w:rPr>
                <w:rFonts w:ascii="Arial Narrow" w:hAnsi="Arial Narrow" w:cs="Tahoma"/>
                <w:sz w:val="20"/>
                <w:szCs w:val="20"/>
              </w:rPr>
            </w:pPr>
          </w:p>
          <w:p w:rsidR="009F046A"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Príslušné orgány môžu pri uplatňovaní odsekov 1, 2 a 3 na základe spoločnej dohody: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vylúčiť subjekt z výpočtu podielov v prípadoch uvedených v článku 6 ods. 5;</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brať do úvahy dodržiavanie prahov zakotvených v odsekoch 1 a 2 za tri za sebou nasledujúce roky, aby sa zamedzilo náhlej zmene režimu, a nebrať do úvahy toto dodržiavanie, ak nastanú významné zmeny v štruktúre skupiny.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finančný konglomerát bol identifikovaný podľa odsekov 1, 2 a 3, rozhodnutia uvedené v prvom pododseku tohto odseku sa prijímajú na základe návrhu koordinátora tohto finančného konglomerátu.</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 Relevantné príslušné orgány môžu na účely uplatňovania odsekov 1 a 2 vo výnimočných prípadoch a na základe spoločnej dohody nahradiť kritérium založené na bilančnej sume jedným alebo oboma nasledujúcimi parametrami alebo pridať jeden alebo oba tieto parametre, ak sú toho názoru, že tieto parametre majú osobitný význam na účely doplnkového dohľadu podľa tejto smernice: štruktúra príjmov, mimosúvahové činnosti.</w:t>
            </w: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6. Ak podiely uvedené v nich klesnú pod 40 %, resp. 10 % v prípade konglomerátov, na ktoré sa už vzťahuje doplnkový dohľad, na nasledujúce tri roky uplatní sa na účely uplatňovania odsekov 1 a 2 nižší podiel vo výške 35 %, resp. 8 %, aby sa zabránilo náhlej zmene režimu.</w:t>
            </w:r>
          </w:p>
          <w:p w:rsidR="009F046A" w:rsidP="00C02544">
            <w:pPr>
              <w:pStyle w:val="Normlnywebov8"/>
              <w:spacing w:before="0" w:after="0"/>
              <w:ind w:left="0" w:right="0"/>
              <w:jc w:val="both"/>
              <w:rPr>
                <w:rFonts w:ascii="Arial Narrow" w:hAnsi="Arial Narrow" w:cs="Tahoma"/>
                <w:sz w:val="20"/>
                <w:szCs w:val="20"/>
              </w:rPr>
            </w:pPr>
          </w:p>
          <w:p w:rsidR="009F046A"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Podobne, ak bilančná suma najmenšieho finančného sektora skupiny klesne pod 6 mld. EUR v prípade konglomerátov, na ktoré sa už vzťahuje doplnkový dohľad, na účely uplatňovania odseku 3 sa na nasledujúce tri roky uplatní nižšia suma 5 mld. EUR, aby sa zabránilo náhlej zmene režimu.</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Koordinátor môže počas obdobia uvedeného v tomto odseku so súhlasom ostatných relevantných príslušných orgánov rozhodnúť, že prestanú platiť nižšie podiely alebo nižšia suma uvedená v tomto odseku.</w:t>
            </w:r>
          </w:p>
          <w:p w:rsidR="009F046A" w:rsidP="00C02544">
            <w:pPr>
              <w:pStyle w:val="Normlnywebov8"/>
              <w:spacing w:before="0" w:after="0"/>
              <w:ind w:left="0" w:right="0"/>
              <w:jc w:val="both"/>
              <w:rPr>
                <w:rFonts w:ascii="Arial Narrow" w:hAnsi="Arial Narrow" w:cs="Tahoma"/>
                <w:sz w:val="20"/>
                <w:szCs w:val="20"/>
              </w:rPr>
            </w:pPr>
          </w:p>
          <w:p w:rsidR="009F046A" w:rsidP="00C02544">
            <w:pPr>
              <w:pStyle w:val="Normlnywebov8"/>
              <w:spacing w:before="0" w:after="0"/>
              <w:ind w:left="0" w:right="0"/>
              <w:jc w:val="both"/>
              <w:rPr>
                <w:rFonts w:ascii="Arial Narrow" w:hAnsi="Arial Narrow" w:cs="Tahoma"/>
                <w:sz w:val="20"/>
                <w:szCs w:val="20"/>
              </w:rPr>
            </w:pPr>
          </w:p>
          <w:p w:rsidR="009F046A"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7. Výpočty uvedené v tomto článku, týkajúce sa bilančnej sumy, sa robia na základe agregovanej bilančnej sumy subjektov skupiny, podľa ich ročnej účtovnej závierky. Na účel tohto výpočtu sa podniky, v ktorých je vlastnená účasť, berú do úvahy z hľadiska výšky ich bilančnej sumy, ktorý zodpovedá agregovanému proporcionálnemu podielu vlastnenému skupinou. Ak je však k dispozícii konsolidovaná účtovná závierka, použije sa namiesto agregovanej bilančnej sumy.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Kapitálová primeranosť uvedená v odsekoch 2 a 3 sa počíta v súlade s ustanoveniami príslušných sektorových predpisov.</w:t>
            </w:r>
          </w:p>
          <w:p w:rsidR="00B74452"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rPr>
                <w:rFonts w:ascii="Arial Narrow" w:hAnsi="Arial Narrow" w:cs="Times New Roman"/>
                <w:sz w:val="20"/>
              </w:rPr>
            </w:pPr>
          </w:p>
          <w:p w:rsidR="00155BFE"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pStyle w:val="Footer"/>
              <w:tabs>
                <w:tab w:val="clear" w:pos="4536"/>
                <w:tab w:val="clear" w:pos="9072"/>
              </w:tabs>
              <w:rPr>
                <w:rFonts w:ascii="Arial Narrow" w:hAnsi="Arial Narrow" w:cs="Times New Roman"/>
                <w:sz w:val="20"/>
              </w:rPr>
            </w:pPr>
          </w:p>
          <w:p w:rsidR="006039F3" w:rsidRPr="007078D1">
            <w:pPr>
              <w:pStyle w:val="Footer"/>
              <w:tabs>
                <w:tab w:val="clear" w:pos="4536"/>
                <w:tab w:val="clear" w:pos="9072"/>
              </w:tabs>
              <w:rPr>
                <w:rFonts w:ascii="Arial Narrow" w:hAnsi="Arial Narrow" w:cs="Times New Roman"/>
                <w:sz w:val="20"/>
              </w:rPr>
            </w:pPr>
            <w:r>
              <w:rPr>
                <w:rFonts w:ascii="Arial Narrow" w:hAnsi="Arial Narrow" w:cs="Times New Roman"/>
                <w:sz w:val="20"/>
              </w:rPr>
              <w:t>Náv</w:t>
            </w:r>
            <w:r>
              <w:rPr>
                <w:rFonts w:ascii="Arial Narrow" w:hAnsi="Arial Narrow" w:cs="Times New Roman"/>
                <w:sz w:val="20"/>
              </w:rPr>
              <w:t>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rPr>
                <w:rFonts w:ascii="Arial Narrow" w:hAnsi="Arial Narrow" w:cs="Times New Roman"/>
                <w:sz w:val="20"/>
              </w:rPr>
            </w:pPr>
          </w:p>
          <w:p w:rsidR="00155BFE">
            <w:pPr>
              <w:rPr>
                <w:rFonts w:ascii="Arial Narrow" w:hAnsi="Arial Narrow" w:cs="Times New Roman"/>
                <w:sz w:val="20"/>
              </w:rPr>
            </w:pPr>
            <w:r>
              <w:rPr>
                <w:rFonts w:ascii="Arial Narrow" w:hAnsi="Arial Narrow" w:cs="Times New Roman"/>
                <w:sz w:val="20"/>
              </w:rPr>
              <w:t>§ 56 ods.1</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ods.2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ods.3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ods.4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ods.5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ods.6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ods.7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ods.8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ods.9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ods.10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ods.11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r w:rsidR="00155BFE">
              <w:rPr>
                <w:rFonts w:ascii="Arial Narrow" w:hAnsi="Arial Narrow" w:cs="Times New Roman"/>
                <w:sz w:val="20"/>
              </w:rPr>
              <w:t xml:space="preserve">ods.12 </w:t>
            </w: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9F046A">
            <w:pPr>
              <w:rPr>
                <w:rFonts w:ascii="Arial Narrow" w:hAnsi="Arial Narrow" w:cs="Times New Roman"/>
                <w:sz w:val="20"/>
              </w:rPr>
            </w:pPr>
          </w:p>
          <w:p w:rsidR="00155BFE" w:rsidRPr="007078D1">
            <w:pPr>
              <w:rPr>
                <w:rFonts w:ascii="Arial Narrow" w:hAnsi="Arial Narrow" w:cs="Times New Roman"/>
                <w:sz w:val="20"/>
              </w:rPr>
            </w:pPr>
            <w:r>
              <w:rPr>
                <w:rFonts w:ascii="Arial Narrow" w:hAnsi="Arial Narrow" w:cs="Times New Roman"/>
                <w:sz w:val="20"/>
              </w:rPr>
              <w:t>ods.13</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155BFE" w:rsidP="00E36C75">
            <w:pPr>
              <w:pStyle w:val="BodyText"/>
              <w:rPr>
                <w:rFonts w:ascii="Arial Narrow" w:hAnsi="Arial Narrow" w:cs="Times New Roman"/>
                <w:sz w:val="20"/>
              </w:rPr>
            </w:pPr>
          </w:p>
          <w:p w:rsidR="00155BFE" w:rsidRPr="00155BFE" w:rsidP="00155BFE">
            <w:pPr>
              <w:jc w:val="both"/>
              <w:rPr>
                <w:rFonts w:ascii="Arial Narrow" w:hAnsi="Arial Narrow" w:cs="Times New Roman"/>
                <w:sz w:val="20"/>
              </w:rPr>
            </w:pPr>
            <w:r w:rsidRPr="00155BFE">
              <w:rPr>
                <w:rFonts w:ascii="Arial Narrow" w:hAnsi="Arial Narrow" w:cs="Times New Roman"/>
                <w:sz w:val="20"/>
              </w:rPr>
              <w:t>Činnosti sa považujú za sústredené vo finančnom sektore, ak podiel celkových aktív regulovaných osôb a neregulovaných osôb finančného sektora v skupine k celkovým aktívam skupiny ako celku je vyšší ako 40 %.</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Činnosti vo finančných sektoroch sú významné, ak priemer z hodnôt podielov za každý finančný sektor je vyšší ako 10 %, pričom priemer sa vypočíta z týchto podielov :</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a) z podielu celkových aktív jedného finančného sektora k celkovým aktívam osôb finančného sektora v skupine a</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b) z podielu minimálnej výšky vlastných zdrojov jedného finančného sektora k súčtu minimálnej výšky vlastných zdrojov osôb finančného sektora v skupine.</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a na meranie najmenšieho finančného sektora vo finančnom konglomeráte a najvýznamnejšieho finančného sektora vo finančnom konglomeráte sa bankový sektor a sektor poisťovníctva považujú za jeden sektor.</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 xml:space="preserve">Ak skupina nedosiahne hodnotu priemeru z podielov podľa odseku 2, ale celkové aktíva najmenšieho finančného sektora v skupine sú vyššie ako 6 000 000 000 EUR, Národná banka Slovenska je oprávnená určiť po dohode s príslušnými orgánmi dohľadu iných členských štátov, ktoré zodpovedajú za dohľad nad regulovanými osobami tvoriacimi súčasť finančného konglomerátu, že skupina sa nebude považovať za finančný konglomerát alebo že sa nebudú uplatňovať ustanovenia § 58 až 61, ak vykonávanie doplňujúceho dohľadu nie je vhodné z hľadiska cieľov doplňujúceho dohľadu, najmä ak </w:t>
            </w:r>
          </w:p>
          <w:p w:rsidR="00155BFE" w:rsidRPr="00155BFE" w:rsidP="00155BFE">
            <w:pPr>
              <w:tabs>
                <w:tab w:val="left" w:pos="-3120"/>
              </w:tabs>
              <w:ind w:left="480" w:hanging="480"/>
              <w:jc w:val="both"/>
              <w:rPr>
                <w:rFonts w:ascii="Arial Narrow" w:hAnsi="Arial Narrow" w:cs="Times New Roman"/>
                <w:sz w:val="20"/>
              </w:rPr>
            </w:pPr>
            <w:r w:rsidRPr="00155BFE">
              <w:rPr>
                <w:rFonts w:ascii="Arial Narrow" w:hAnsi="Arial Narrow" w:cs="Times New Roman"/>
                <w:sz w:val="20"/>
              </w:rPr>
              <w:t>a)</w:t>
              <w:tab/>
              <w:t xml:space="preserve">priemer z podielov podľa odseku 2 nepresiahne 5%, </w:t>
            </w:r>
          </w:p>
          <w:p w:rsidR="00155BFE" w:rsidRPr="00155BFE" w:rsidP="00155BFE">
            <w:pPr>
              <w:tabs>
                <w:tab w:val="left" w:pos="-3120"/>
              </w:tabs>
              <w:ind w:left="480" w:hanging="480"/>
              <w:jc w:val="both"/>
              <w:rPr>
                <w:rFonts w:ascii="Arial Narrow" w:hAnsi="Arial Narrow" w:cs="Times New Roman"/>
                <w:sz w:val="20"/>
              </w:rPr>
            </w:pPr>
            <w:r w:rsidRPr="00155BFE">
              <w:rPr>
                <w:rFonts w:ascii="Arial Narrow" w:hAnsi="Arial Narrow" w:cs="Times New Roman"/>
                <w:sz w:val="20"/>
              </w:rPr>
              <w:t>b)</w:t>
              <w:tab/>
              <w:t xml:space="preserve">jeden z podielov podľa odseku 2 nepresiahne 5% alebo </w:t>
            </w:r>
          </w:p>
          <w:p w:rsidR="009F046A" w:rsidP="00155BFE">
            <w:pPr>
              <w:tabs>
                <w:tab w:val="left" w:pos="-3120"/>
              </w:tabs>
              <w:jc w:val="both"/>
              <w:rPr>
                <w:rFonts w:ascii="Arial Narrow" w:hAnsi="Arial Narrow" w:cs="Times New Roman"/>
                <w:b w:val="0"/>
                <w:noProof/>
                <w:sz w:val="20"/>
              </w:rPr>
            </w:pPr>
          </w:p>
          <w:p w:rsidR="00155BFE" w:rsidRPr="00155BFE" w:rsidP="00155BFE">
            <w:pPr>
              <w:tabs>
                <w:tab w:val="left" w:pos="-3120"/>
              </w:tabs>
              <w:jc w:val="both"/>
              <w:rPr>
                <w:rFonts w:ascii="Arial Narrow" w:hAnsi="Arial Narrow" w:cs="Times New Roman"/>
                <w:b w:val="0"/>
                <w:noProof/>
                <w:sz w:val="20"/>
              </w:rPr>
            </w:pPr>
            <w:r w:rsidRPr="00155BFE">
              <w:rPr>
                <w:rFonts w:ascii="Arial Narrow" w:hAnsi="Arial Narrow" w:cs="Times New Roman"/>
                <w:b w:val="0"/>
                <w:noProof/>
                <w:sz w:val="20"/>
              </w:rPr>
              <w:t>c) podiel na trhu najmenšieho finančného sektora vo finančnom konglomeráte nepresiahne 5 % v žiadnom členskom štáte, ak je meraný z hľadiska celkových aktív v bankovom sektore alebo v sektore investičných služieb a z hľadiska hrubej výšky predpísaného poistného z poistných zmlúv uzatvorených v sektore poisťovníctva.</w:t>
            </w:r>
          </w:p>
          <w:p w:rsidR="00155BFE" w:rsidRPr="00155BFE" w:rsidP="00155BFE">
            <w:pPr>
              <w:tabs>
                <w:tab w:val="left" w:pos="-3120"/>
              </w:tabs>
              <w:jc w:val="both"/>
              <w:rPr>
                <w:rFonts w:ascii="Arial Narrow" w:hAnsi="Arial Narrow" w:cs="Times New Roman"/>
                <w:b w:val="0"/>
                <w:noProof/>
                <w:sz w:val="20"/>
              </w:rPr>
            </w:pPr>
            <w:r w:rsidRPr="00155BFE">
              <w:rPr>
                <w:rFonts w:ascii="Arial Narrow" w:hAnsi="Arial Narrow" w:cs="Times New Roman"/>
                <w:b w:val="0"/>
                <w:noProof/>
                <w:sz w:val="20"/>
              </w:rPr>
              <w:t>Rozhodnutia Národnej banky Slovenska prijaté podľa odseku 4 oznámi Národná banka Slovenska príslušným orgánom dohľadu iných členských štátov, ktoré zodpovedajú za dohľad nad regulovanými osobami tvoriacimi súčasť finančné</w:t>
            </w:r>
            <w:r w:rsidRPr="00155BFE">
              <w:rPr>
                <w:rFonts w:ascii="Arial Narrow" w:hAnsi="Arial Narrow" w:cs="Times New Roman"/>
                <w:b w:val="0"/>
                <w:noProof/>
                <w:sz w:val="20"/>
              </w:rPr>
              <w:t>ho konglomerátu.</w:t>
            </w:r>
          </w:p>
          <w:p w:rsidR="00155BFE" w:rsidRPr="00155BFE" w:rsidP="009F046A">
            <w:pPr>
              <w:autoSpaceDE/>
              <w:autoSpaceDN/>
              <w:ind w:firstLine="0"/>
              <w:jc w:val="both"/>
              <w:rPr>
                <w:rFonts w:ascii="Arial Narrow" w:hAnsi="Arial Narrow" w:cs="Times New Roman"/>
                <w:noProof/>
                <w:sz w:val="20"/>
              </w:rPr>
            </w:pPr>
            <w:r w:rsidRPr="00155BFE">
              <w:rPr>
                <w:rFonts w:ascii="Arial Narrow" w:hAnsi="Arial Narrow" w:cs="Times New Roman"/>
                <w:noProof/>
                <w:sz w:val="20"/>
              </w:rPr>
              <w:t xml:space="preserve">Národná banka Slovenska je oprávnená po dohode s príslušnými orgánmi dohľadu iných členských štátov, ktoré zodpovedajú za dohľad nad regulovanými osobami tvoriacimi súčasť finančného konglomerátu, vylúčiť právnickú osobu z výpočtu podielov podľa odsekov 1 až 3, ak ide o osobu, </w:t>
            </w:r>
          </w:p>
          <w:p w:rsidR="00155BFE" w:rsidRPr="00155BFE" w:rsidP="009F046A">
            <w:pPr>
              <w:autoSpaceDE/>
              <w:autoSpaceDN/>
              <w:ind w:firstLine="0"/>
              <w:jc w:val="both"/>
              <w:rPr>
                <w:rFonts w:ascii="Arial Narrow" w:hAnsi="Arial Narrow" w:cs="Times New Roman"/>
                <w:noProof/>
                <w:sz w:val="20"/>
              </w:rPr>
            </w:pPr>
            <w:r w:rsidRPr="00155BFE">
              <w:rPr>
                <w:rFonts w:ascii="Arial Narrow" w:hAnsi="Arial Narrow" w:cs="Times New Roman"/>
                <w:noProof/>
                <w:sz w:val="20"/>
              </w:rPr>
              <w:t>a) ktorá má sídlo na území štátu, ktorý nie je členským štátom a právny poriadok tohto štátu neumožňuje výmenu informácií na účely výkonu doplňujúceho dohľadu,</w:t>
            </w:r>
          </w:p>
          <w:p w:rsidR="00155BFE" w:rsidRPr="00155BFE" w:rsidP="00155BFE">
            <w:pPr>
              <w:tabs>
                <w:tab w:val="left" w:pos="1134"/>
              </w:tabs>
              <w:ind w:left="480" w:hanging="480"/>
              <w:jc w:val="both"/>
              <w:rPr>
                <w:rFonts w:ascii="Arial Narrow" w:hAnsi="Arial Narrow" w:cs="Times New Roman"/>
                <w:sz w:val="20"/>
              </w:rPr>
            </w:pPr>
            <w:r w:rsidRPr="00155BFE">
              <w:rPr>
                <w:rFonts w:ascii="Arial Narrow" w:hAnsi="Arial Narrow" w:cs="Times New Roman"/>
                <w:sz w:val="20"/>
              </w:rPr>
              <w:t xml:space="preserve">b) ktorá má zanedbateľný význam na účely výkonu doplňujúceho dohľadu, </w:t>
            </w:r>
          </w:p>
          <w:p w:rsidR="00155BFE" w:rsidRPr="00155BFE" w:rsidP="00155BFE">
            <w:pPr>
              <w:tabs>
                <w:tab w:val="left" w:pos="1134"/>
              </w:tabs>
              <w:jc w:val="both"/>
              <w:rPr>
                <w:rFonts w:ascii="Arial Narrow" w:hAnsi="Arial Narrow" w:cs="Times New Roman"/>
                <w:sz w:val="20"/>
              </w:rPr>
            </w:pPr>
            <w:r w:rsidRPr="00155BFE">
              <w:rPr>
                <w:rFonts w:ascii="Arial Narrow" w:hAnsi="Arial Narrow" w:cs="Times New Roman"/>
                <w:sz w:val="20"/>
              </w:rPr>
              <w:t>c) ktorej zaradenie do finančného konglomerátu je nevhodné z hľadiska cieľov doplňujúceho dohľadu.</w:t>
            </w:r>
          </w:p>
          <w:p w:rsidR="00155BFE" w:rsidRPr="00155BFE" w:rsidP="009F046A">
            <w:pPr>
              <w:autoSpaceDE/>
              <w:autoSpaceDN/>
              <w:ind w:firstLine="0"/>
              <w:jc w:val="both"/>
              <w:rPr>
                <w:rFonts w:ascii="Arial Narrow" w:hAnsi="Arial Narrow" w:cs="Times New Roman"/>
                <w:noProof/>
                <w:sz w:val="20"/>
              </w:rPr>
            </w:pPr>
            <w:r w:rsidRPr="00155BFE">
              <w:rPr>
                <w:rFonts w:ascii="Arial Narrow" w:hAnsi="Arial Narrow" w:cs="Times New Roman"/>
                <w:noProof/>
                <w:sz w:val="20"/>
              </w:rPr>
              <w:t>Národná banka Slovenska je oprávnená po vyjadrení príslušných orgánov dohľadu iných členských štátov, ktoré zodpovedajú za dohľad nad regulovanými osobami tvoriacimi súčasť finančného konglomerátu, brať do úvahy hodnoty podielov podľa odsekov 1 a 2 za tri za sebou nasledujúce roky, aby sa zamedzilo náhlej zmene režimu výkonu doplňujúceho dohľadu a nebrať do úvahy hodnoty podielov podľa odsekov 1</w:t>
            </w:r>
            <w:r w:rsidRPr="00155BFE">
              <w:rPr>
                <w:rFonts w:ascii="Arial Narrow" w:hAnsi="Arial Narrow" w:cs="Times New Roman"/>
                <w:noProof/>
                <w:sz w:val="20"/>
              </w:rPr>
              <w:t xml:space="preserve"> a 2, ak nastanú významné zmeny v štruktúre skupiny.</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Národná banka Slovenska je oprávnená v osobitne odôvodnených prípadoch a po vyjadrení príslušných orgánov dohľadu iných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a podsúvahových činnostiach, a to jedným alebo oboma súčasne, alebo pridať jedno alebo obidve tieto kritéria, ak majú osobitný význam z hľadiska cieľov doplňujúceho dohľadu.</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Ak hodnota podielu podľa odseku 1 klesne pod 40 % alebo hodnota priemeru z podielov podľa odseku 2 klesne pod 10 % v prípade finančných konglomerátov, na ktoré sa už vzťahuje doplňujúci dohľad, na nasledujúce tri roky platí pri výpočte podľa odseku 1 hodnota podielu vo výške 35 % a pri výpočte podľa odseku 2 hodnota priemeru z podielov 8 %.</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Ak v prípade skupiny, nad ktorou sa už vykonáva doplňujúci dohľad, celkové aktíva najmenšieho finančného sektora skupiny klesnú pod 6  000 000 000 EUR, na nasledujúce tri roky platí pri výpočte podľa odseku 4 suma 5 000 000 000 EUR.</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Národná banka Slovenska môže so súhlasom príslušných orgánov dohľadu iných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w:t>
            </w:r>
          </w:p>
          <w:p w:rsidR="00155BFE" w:rsidRPr="00155BFE" w:rsidP="00155BFE">
            <w:pPr>
              <w:jc w:val="both"/>
              <w:rPr>
                <w:rFonts w:ascii="Arial Narrow" w:hAnsi="Arial Narrow" w:cs="Times New Roman"/>
                <w:b w:val="0"/>
                <w:noProof/>
                <w:sz w:val="20"/>
              </w:rPr>
            </w:pPr>
            <w:r w:rsidRPr="00155BFE">
              <w:rPr>
                <w:rFonts w:ascii="Arial Narrow" w:hAnsi="Arial Narrow" w:cs="Times New Roman"/>
                <w:b w:val="0"/>
                <w:noProof/>
                <w:sz w:val="20"/>
              </w:rPr>
              <w:t xml:space="preserve">Výpočty týkajúce sa celkových aktív sa robia súhrnom celkových aktív osôb v skupine z ich ročných účtovných závierok. Na účely tohto výpočtu sa pre osoby, v ktorých je nadobudnutá majetková účasť, berie do úvahy výška podielu nadobudnutého v danej osobe. Ak boli zostavené konsolidované účtovné závierky, tieto sa použijú namiesto súhrnu údajov. </w:t>
            </w:r>
          </w:p>
          <w:p w:rsidR="00155BFE" w:rsidRPr="00C8361B" w:rsidP="00E36C75">
            <w:pPr>
              <w:pStyle w:val="BodyText"/>
              <w:rPr>
                <w:rFonts w:ascii="Arial Narrow" w:hAnsi="Arial Narrow" w:cs="Times New Roman"/>
                <w:sz w:val="20"/>
              </w:rPr>
            </w:pPr>
            <w:r w:rsidRPr="00C8361B">
              <w:rPr>
                <w:rFonts w:ascii="Arial Narrow" w:hAnsi="Arial Narrow" w:cs="Times New Roman"/>
                <w:sz w:val="20"/>
              </w:rPr>
              <w:t>Minimálna výška vlastných zdrojov poisťovne, pobočky zahraničnej poisťovne, zaisťovne, pobočky zahraničnej zaisťovne na účely doplňujúceho dohľadu musí dosahovať výšku požadovanej miery solventnosti podľa § 34 ods. 3.</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pPr>
              <w:rPr>
                <w:rFonts w:ascii="Arial Narrow" w:hAnsi="Arial Narrow" w:cs="Times New Roman"/>
                <w:sz w:val="20"/>
              </w:rPr>
            </w:pPr>
          </w:p>
          <w:p w:rsidR="00155BFE"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C06EF"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pPr>
              <w:rPr>
                <w:rFonts w:ascii="Arial Narrow" w:hAnsi="Arial Narrow" w:cs="Times New Roman"/>
                <w:sz w:val="20"/>
              </w:rPr>
            </w:pPr>
            <w:r w:rsidRPr="007078D1">
              <w:rPr>
                <w:rFonts w:ascii="Arial Narrow" w:hAnsi="Arial Narrow" w:cs="Times New Roman"/>
                <w:sz w:val="20"/>
              </w:rPr>
              <w:t>Čl.4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Identifikácia finančného konglomerátu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Príslušné orgány, ktoré vydali povolenie regulovaným subjektom, identifikujú na základe článkov 2, 3 a 5 akúkoľvek skupinu, ktorá patrí do pôsobnosti tejto smernice.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Na tento účel:</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príslušné orgány, ktoré vydali povolenie regulovaným subjektom v skupine, v prípade potreby úzko spolupracujú,</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ak je príslušný orgán toho názoru, že regulovaný subjekt oprávnený týmto príslušným orgánom je členom skupiny, ktorá môže byť finančným konglomerátom, ktorý ešte nebol identifikovaný podľa tejto smernice, príslušný orgán oznámi svoj názor ostatným dotknutým príslušným orgánom.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Koordinátor vymenovaný podľa článku 10 informuje materský podnik na vrchole skupiny, alebo ak materský podnik neexistuje, regulovaný subjekt s najvyššou bilančnou sumou v najdôležitejšom finančnom sektore skupiny, že táto skupina bola identifikovaná ako finančný konglomerát a že bol vymenovaný koordinátor. Koordinátor informuje taktiež príslušné orgány, ktoré vydali povolenie regulované subjekty v skupine, a príslušné orgány členského štátu, v ktorom má sídlo zmiešaná finančná holdingová spoločnosť, ako aj Komisiu.</w:t>
            </w:r>
          </w:p>
          <w:p w:rsidR="00317F51"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pPr>
              <w:rPr>
                <w:rFonts w:ascii="Arial Narrow" w:hAnsi="Arial Narrow" w:cs="Times New Roman"/>
                <w:sz w:val="20"/>
              </w:rPr>
            </w:pPr>
          </w:p>
          <w:p w:rsidR="00C835F2"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B3E19" w:rsidRPr="007078D1" w:rsidP="009952AA">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81359" w:rsidP="00501C2B">
            <w:pPr>
              <w:rPr>
                <w:rFonts w:ascii="Arial Narrow" w:hAnsi="Arial Narrow" w:cs="Times New Roman"/>
                <w:sz w:val="20"/>
              </w:rPr>
            </w:pPr>
          </w:p>
          <w:p w:rsidR="00C835F2" w:rsidP="00501C2B">
            <w:pPr>
              <w:rPr>
                <w:rFonts w:ascii="Arial Narrow" w:hAnsi="Arial Narrow" w:cs="Times New Roman"/>
                <w:sz w:val="20"/>
              </w:rPr>
            </w:pPr>
            <w:r>
              <w:rPr>
                <w:rFonts w:ascii="Arial Narrow" w:hAnsi="Arial Narrow" w:cs="Times New Roman"/>
                <w:sz w:val="20"/>
              </w:rPr>
              <w:t xml:space="preserve">§ 55 ods.1 </w:t>
            </w:r>
          </w:p>
          <w:p w:rsidR="00C835F2" w:rsidP="00501C2B">
            <w:pPr>
              <w:rPr>
                <w:rFonts w:ascii="Arial Narrow" w:hAnsi="Arial Narrow" w:cs="Times New Roman"/>
                <w:sz w:val="20"/>
              </w:rPr>
            </w:pPr>
          </w:p>
          <w:p w:rsidR="00C835F2" w:rsidP="00501C2B">
            <w:pPr>
              <w:rPr>
                <w:rFonts w:ascii="Arial Narrow" w:hAnsi="Arial Narrow" w:cs="Times New Roman"/>
                <w:sz w:val="20"/>
              </w:rPr>
            </w:pPr>
          </w:p>
          <w:p w:rsidR="00C835F2" w:rsidP="00501C2B">
            <w:pPr>
              <w:rPr>
                <w:rFonts w:ascii="Arial Narrow" w:hAnsi="Arial Narrow" w:cs="Times New Roman"/>
                <w:sz w:val="20"/>
              </w:rPr>
            </w:pPr>
          </w:p>
          <w:p w:rsidR="00C835F2" w:rsidP="00501C2B">
            <w:pPr>
              <w:rPr>
                <w:rFonts w:ascii="Arial Narrow" w:hAnsi="Arial Narrow" w:cs="Times New Roman"/>
                <w:sz w:val="20"/>
              </w:rPr>
            </w:pPr>
          </w:p>
          <w:p w:rsidR="00C835F2" w:rsidP="00501C2B">
            <w:pPr>
              <w:rPr>
                <w:rFonts w:ascii="Arial Narrow" w:hAnsi="Arial Narrow" w:cs="Times New Roman"/>
                <w:sz w:val="20"/>
              </w:rPr>
            </w:pPr>
            <w:r w:rsidR="0073583F">
              <w:rPr>
                <w:rFonts w:ascii="Arial Narrow" w:hAnsi="Arial Narrow" w:cs="Times New Roman"/>
                <w:sz w:val="20"/>
              </w:rPr>
              <w:t>o</w:t>
            </w:r>
            <w:r>
              <w:rPr>
                <w:rFonts w:ascii="Arial Narrow" w:hAnsi="Arial Narrow" w:cs="Times New Roman"/>
                <w:sz w:val="20"/>
              </w:rPr>
              <w:t>ds.</w:t>
            </w:r>
            <w:r>
              <w:rPr>
                <w:rFonts w:ascii="Arial Narrow" w:hAnsi="Arial Narrow" w:cs="Times New Roman"/>
                <w:sz w:val="20"/>
              </w:rPr>
              <w:t xml:space="preserve">2 </w:t>
            </w:r>
          </w:p>
          <w:p w:rsidR="00C835F2" w:rsidP="00501C2B">
            <w:pPr>
              <w:rPr>
                <w:rFonts w:ascii="Arial Narrow" w:hAnsi="Arial Narrow" w:cs="Times New Roman"/>
                <w:sz w:val="20"/>
              </w:rPr>
            </w:pPr>
          </w:p>
          <w:p w:rsidR="00C835F2" w:rsidP="00501C2B">
            <w:pPr>
              <w:rPr>
                <w:rFonts w:ascii="Arial Narrow" w:hAnsi="Arial Narrow" w:cs="Times New Roman"/>
                <w:sz w:val="20"/>
              </w:rPr>
            </w:pPr>
          </w:p>
          <w:p w:rsidR="00C835F2" w:rsidP="00501C2B">
            <w:pPr>
              <w:rPr>
                <w:rFonts w:ascii="Arial Narrow" w:hAnsi="Arial Narrow" w:cs="Times New Roman"/>
                <w:sz w:val="20"/>
              </w:rPr>
            </w:pPr>
          </w:p>
          <w:p w:rsidR="00C835F2" w:rsidRPr="007078D1" w:rsidP="00501C2B">
            <w:pPr>
              <w:rPr>
                <w:rFonts w:ascii="Arial Narrow" w:hAnsi="Arial Narrow" w:cs="Times New Roman"/>
                <w:sz w:val="20"/>
              </w:rPr>
            </w:pPr>
            <w:r>
              <w:rPr>
                <w:rFonts w:ascii="Arial Narrow" w:hAnsi="Arial Narrow" w:cs="Times New Roman"/>
                <w:sz w:val="20"/>
              </w:rPr>
              <w:t>ods.3</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A107D" w:rsidP="00A15E0E">
            <w:pPr>
              <w:jc w:val="both"/>
              <w:rPr>
                <w:rFonts w:ascii="Arial Narrow" w:hAnsi="Arial Narrow" w:cs="Times New Roman"/>
                <w:sz w:val="20"/>
              </w:rPr>
            </w:pPr>
          </w:p>
          <w:p w:rsidR="00C835F2" w:rsidRPr="00C835F2" w:rsidP="00C835F2">
            <w:pPr>
              <w:jc w:val="both"/>
              <w:rPr>
                <w:rFonts w:ascii="Arial Narrow" w:hAnsi="Arial Narrow" w:cs="Times New Roman"/>
                <w:sz w:val="20"/>
              </w:rPr>
            </w:pPr>
            <w:r w:rsidRPr="00C835F2">
              <w:rPr>
                <w:rFonts w:ascii="Arial Narrow" w:hAnsi="Arial Narrow" w:cs="Times New Roman"/>
                <w:sz w:val="20"/>
              </w:rPr>
              <w:t xml:space="preserve">Národná banka Slovenska v spolupráci s príslušnými orgánmi dohľadu iných členských štátov, ktoré zodpovedajú za dohľad nad regulovanými osobami tvoriacimi súčasť finančného konglomerátu určí na základe kritérií podľa § 56, ktoré finančné konglomeráty podliehajú doplňujúcemu dohľadu. </w:t>
            </w:r>
          </w:p>
          <w:p w:rsidR="00C835F2" w:rsidP="00C835F2">
            <w:pPr>
              <w:jc w:val="both"/>
              <w:rPr>
                <w:rFonts w:ascii="Arial Narrow" w:hAnsi="Arial Narrow" w:cs="Times New Roman"/>
                <w:sz w:val="20"/>
              </w:rPr>
            </w:pPr>
          </w:p>
          <w:p w:rsidR="00C835F2" w:rsidRPr="00C835F2" w:rsidP="00C835F2">
            <w:pPr>
              <w:jc w:val="both"/>
              <w:rPr>
                <w:rFonts w:ascii="Arial Narrow" w:hAnsi="Arial Narrow" w:cs="Times New Roman"/>
                <w:sz w:val="20"/>
              </w:rPr>
            </w:pPr>
            <w:r w:rsidRPr="00C835F2">
              <w:rPr>
                <w:rFonts w:ascii="Arial Narrow" w:hAnsi="Arial Narrow" w:cs="Times New Roman"/>
                <w:sz w:val="20"/>
              </w:rPr>
              <w:t xml:space="preserve">Národná banka Slovenska oznámi príslušným orgánom dohľadu iných členských štátov, ktoré zodpovedajú za dohľad nad regulovanými osobami tvoriacimi súčasť finančného konglomerátu každý ďalší návrh na zaradenie finančného konglomerátu do doplňujúceho dohľadu. </w:t>
            </w:r>
          </w:p>
          <w:p w:rsidR="00C835F2" w:rsidRPr="00C835F2" w:rsidP="00C835F2">
            <w:pPr>
              <w:jc w:val="both"/>
              <w:rPr>
                <w:rFonts w:ascii="Arial Narrow" w:hAnsi="Arial Narrow" w:cs="Times New Roman"/>
                <w:sz w:val="20"/>
              </w:rPr>
            </w:pPr>
            <w:r w:rsidRPr="00C835F2">
              <w:rPr>
                <w:rFonts w:ascii="Arial Narrow" w:hAnsi="Arial Narrow" w:cs="Times New Roman"/>
                <w:sz w:val="20"/>
              </w:rPr>
              <w:t xml:space="preserve">Národná banka Slovenska oznámi právnickej osobe, ktorá ovláda finančný konglomerát podľa § 54 ods. 1 alebo poisťovni alebo zaisťovni s najväčšími celkovými aktívami, ak najvýznamnejším finančným sektorom finančného konglomerátu je sektor poisťovníctva, že tento finančný konglomerát bude podliehať doplňujúcemu dohľadu. Národná banka Slovenska o tom informuje aj príslušné orgány dohľadu iných členských štátov, v ktorom má sídlo zmiešaná finančná holdingová spoločnosť a komisiu. </w:t>
            </w:r>
          </w:p>
          <w:p w:rsidR="00C835F2" w:rsidRPr="00A15E0E" w:rsidP="00A15E0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0551">
            <w:pPr>
              <w:rPr>
                <w:rFonts w:ascii="Arial Narrow" w:hAnsi="Arial Narrow" w:cs="Times New Roman"/>
                <w:sz w:val="20"/>
              </w:rPr>
            </w:pPr>
          </w:p>
          <w:p w:rsidR="00C835F2"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pPr>
              <w:rPr>
                <w:rFonts w:ascii="Arial Narrow" w:hAnsi="Arial Narrow" w:cs="Times New Roman"/>
                <w:sz w:val="20"/>
              </w:rPr>
            </w:pPr>
            <w:r w:rsidRPr="007078D1">
              <w:rPr>
                <w:rFonts w:ascii="Arial Narrow" w:hAnsi="Arial Narrow" w:cs="Times New Roman"/>
                <w:sz w:val="20"/>
              </w:rPr>
              <w:t>Čl.5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DOPLNKOVÝ DOHĽAD</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ODDIEL 1</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PREDMET</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Predmet doplnkového dohľadu nad regulovanými subjektmi uvedenými v článku 1</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Bez toho, aby boli dotknuté ustanovenia o dohľade, ktoré sa nachádzajú v sektorových predpisoch, zabezpečia členské štáty doplnkový dohľad nad regulovanými subjektmi podľa článku 1 v rozsahu a spôsobom stanoveným v tejto smernici.</w:t>
            </w: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Doplnkový dohľad na úrovni finančného konglomerátu v súlade s článkami 6 až 17 sa vzťahuje na tieto regulované subjekty: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každý regulovaný subjekt, ktorý je na vrchole finančného konglomerátu;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každý regulovaný subjekt, ktorého materský podnik je zmiešaný finančná holdingová spoločnosť, ktorej sídlo sa nachádza v spoločenstve;</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každý regulovaný subjekt prepojený so subjektom iného finančného sektora vzťahom v zmysle článku 12 ods. 1 smernice 83/349/EHS.</w:t>
            </w: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je finančný konglomerát podskupinou iného finančného konglomerátu, ktorý spĺňa požiadavky prvého pododseku, členské štáty môžu uplatňovať články 6 až 17 len na regulované subjekty tejto druhej skupiny a každý odkaz v tejto smernici na termíny skupina a finančný konglomerát sa potom bude chápať ako vzťahujúci sa na túto druhú skupinu.</w:t>
            </w: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Na každý regulovaný subjekt, na ktorý sa nevzťahuje doplnkový dohľad podľa odseku 2, ktorého materský podnik je regulovaným subjektom alebo zmiešanou finančnou holdingovou spoločnosťou so sídlom mimo spoločenstva, sa vzťahuje doplnkový dohľad na úrovni finančného konglomerátu v rozsahu a spôsobom predpísaným v článku 18.</w:t>
            </w: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P="00C02544">
            <w:pPr>
              <w:pStyle w:val="Normlnywebov8"/>
              <w:spacing w:before="0" w:after="0"/>
              <w:ind w:left="0" w:right="0"/>
              <w:jc w:val="both"/>
              <w:rPr>
                <w:rFonts w:ascii="Arial Narrow" w:hAnsi="Arial Narrow" w:cs="Tahoma"/>
                <w:sz w:val="20"/>
                <w:szCs w:val="20"/>
              </w:rPr>
            </w:pPr>
          </w:p>
          <w:p w:rsidR="0061552E"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Ak určité osoby majú účasť alebo kapitálové prepojenie v jednom alebo viacerých regulovaných subjektoch alebo uplatňujú významný vplyv vo vzťahu k týmto subjektom bez vlastnenia účasti alebo kapitálového prepojenia inej povahy, ako sú prípady uvedené v odsekoch 2 a 3, relevantné príslušné orgány určia na základe spoločnej dohody a v súlade s vnútroštátnym právom, či a v akom rozsahu treba vykonávať doplnkový dohľad nad regulovanými subjektmi tak, ako keby predstavovali finančný konglomerát.</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Aby sa mohol uplatňovať takýto doplnkový dohľad, prinajmenšom jeden zo subjektov musí byť regulovaným subjektom uvedeným v článku 1 a musia byť splnené podmienky uvedené v článku 2 ods. 14 písm. d) a e). Relevantné príslušné orgány pri prijímaní rozhodnutí zohľadnia ciele doplnkového dohľadu uvedené v tejto smernici.</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Príslušné orgány na účel uplatnenia prvého pododseku vo vzťahu k "družstevným skupinám" musia brať do úvahy verejné finančné záväzky týchto skupín vo vzťahu k ostatným finančným subjektom.</w:t>
            </w:r>
          </w:p>
          <w:p w:rsidR="0061552E"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 Bez toho, aby boli dotknuté ustanovenia článku 13, výkon doplnkového dohľadu na úrovni finančného konglomerátu neznamená, že príslušné orgány sú povinné vykonávať úlohu dohľadu vo vzťahu k zmiešaným finančným holdingovým spoločnostiam, regulovaným subjektom tretích štátov vo finančnom konglomeráte alebo neregulovaným subjektom tretích štátov vo finančnom konglomeráte na samostatnom základe.</w:t>
            </w:r>
          </w:p>
          <w:p w:rsidR="00317F51"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r>
              <w:rPr>
                <w:rFonts w:ascii="Arial Narrow" w:hAnsi="Arial Narrow" w:cs="Times New Roman"/>
                <w:sz w:val="20"/>
              </w:rPr>
              <w:t>N</w:t>
            </w: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rsidRPr="007078D1">
            <w:pPr>
              <w:rPr>
                <w:rFonts w:ascii="Arial Narrow" w:hAnsi="Arial Narrow" w:cs="Times New Roman"/>
                <w:sz w:val="20"/>
              </w:rPr>
            </w:pPr>
            <w:r>
              <w:rPr>
                <w:rFonts w:ascii="Arial Narrow" w:hAnsi="Arial Narrow" w:cs="Times New Roman"/>
                <w:sz w:val="20"/>
              </w:rPr>
              <w:t>D</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62BA" w:rsidRPr="007078D1" w:rsidP="00317F5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62BA">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r>
              <w:rPr>
                <w:rFonts w:ascii="Arial Narrow" w:hAnsi="Arial Narrow" w:cs="Times New Roman"/>
                <w:iCs/>
                <w:sz w:val="20"/>
              </w:rPr>
              <w:t xml:space="preserve">§ 52 </w:t>
            </w: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r>
              <w:rPr>
                <w:rFonts w:ascii="Arial Narrow" w:hAnsi="Arial Narrow" w:cs="Times New Roman"/>
                <w:iCs/>
                <w:sz w:val="20"/>
              </w:rPr>
              <w:t xml:space="preserve">§ 57 ods.1 </w:t>
            </w: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r>
              <w:rPr>
                <w:rFonts w:ascii="Arial Narrow" w:hAnsi="Arial Narrow" w:cs="Times New Roman"/>
                <w:iCs/>
                <w:sz w:val="20"/>
              </w:rPr>
              <w:t xml:space="preserve">ods.2 </w:t>
            </w: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r>
              <w:rPr>
                <w:rFonts w:ascii="Arial Narrow" w:hAnsi="Arial Narrow" w:cs="Times New Roman"/>
                <w:iCs/>
                <w:sz w:val="20"/>
              </w:rPr>
              <w:t xml:space="preserve">ods.3 </w:t>
            </w: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r>
              <w:rPr>
                <w:rFonts w:ascii="Arial Narrow" w:hAnsi="Arial Narrow" w:cs="Times New Roman"/>
                <w:iCs/>
                <w:sz w:val="20"/>
              </w:rPr>
              <w:t xml:space="preserve">ods.5 </w:t>
            </w: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pPr>
              <w:rPr>
                <w:rFonts w:ascii="Arial Narrow" w:hAnsi="Arial Narrow" w:cs="Times New Roman"/>
                <w:iCs/>
                <w:sz w:val="20"/>
              </w:rPr>
            </w:pPr>
          </w:p>
          <w:p w:rsidR="0061552E" w:rsidRPr="007078D1">
            <w:pPr>
              <w:rPr>
                <w:rFonts w:ascii="Arial Narrow" w:hAnsi="Arial Narrow" w:cs="Times New Roman"/>
                <w:iCs/>
                <w:sz w:val="20"/>
              </w:rPr>
            </w:pPr>
            <w:r>
              <w:rPr>
                <w:rFonts w:ascii="Arial Narrow" w:hAnsi="Arial Narrow" w:cs="Times New Roman"/>
                <w:iCs/>
                <w:sz w:val="20"/>
              </w:rPr>
              <w:t>§ 52</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62BA" w:rsidP="00CF7BD1">
            <w:pPr>
              <w:jc w:val="both"/>
              <w:rPr>
                <w:rFonts w:ascii="Arial Narrow" w:hAnsi="Arial Narrow" w:cs="Times New Roman"/>
                <w:sz w:val="20"/>
              </w:rPr>
            </w:pPr>
          </w:p>
          <w:p w:rsidR="0061552E" w:rsidP="00CF7BD1">
            <w:pPr>
              <w:jc w:val="both"/>
              <w:rPr>
                <w:rFonts w:ascii="Arial Narrow" w:hAnsi="Arial Narrow" w:cs="Times New Roman"/>
                <w:sz w:val="20"/>
              </w:rPr>
            </w:pPr>
          </w:p>
          <w:p w:rsidR="0061552E" w:rsidP="00CF7BD1">
            <w:pPr>
              <w:jc w:val="both"/>
              <w:rPr>
                <w:rFonts w:ascii="Arial Narrow" w:hAnsi="Arial Narrow" w:cs="Times New Roman"/>
                <w:sz w:val="20"/>
              </w:rPr>
            </w:pPr>
          </w:p>
          <w:p w:rsidR="0061552E" w:rsidRPr="0061552E" w:rsidP="0061552E">
            <w:pPr>
              <w:jc w:val="both"/>
              <w:rPr>
                <w:rFonts w:ascii="Arial Narrow" w:hAnsi="Arial Narrow" w:cs="Times New Roman"/>
                <w:sz w:val="20"/>
              </w:rPr>
            </w:pPr>
            <w:r w:rsidRPr="0061552E">
              <w:rPr>
                <w:rFonts w:ascii="Arial Narrow" w:hAnsi="Arial Narrow" w:cs="Times New Roman"/>
                <w:sz w:val="20"/>
              </w:rPr>
              <w:t xml:space="preserve">Doplňujúcim dohľadom je sledovanie a regulácia rizík finančných konglomerátov, ktorých súčasťou sú poisťovne, poisťovne z iného členského štátu, zahraničné poisťovne vrátane ich pobočiek, zaisťovne, zaisťovne z iného členského štátu, zahraničné zaisťovne vrátane ich pobočiek, obchodníci s cennými papiermi, banky, inštitúcie elektronických peňazí, správcovské spoločnosti, na účely obmedzenia rizík, ktorým je poisťovňa, poisťovňa z iného členského štátu, zahraničná poisťovňa vrátane ich pobočiek, zaisťovňa, zaisťovňa z iného členského štátu, zahraničná zaisťovňa vrátane ich pobočiek alebo iná regulovaná osoba vystavená z dôvodu svojej účasti vo finančnom konglomeráte. </w:t>
            </w:r>
          </w:p>
          <w:p w:rsidR="0061552E" w:rsidRPr="0061552E" w:rsidP="00CF7BD1">
            <w:pPr>
              <w:jc w:val="both"/>
              <w:rPr>
                <w:rFonts w:ascii="Arial Narrow" w:hAnsi="Arial Narrow" w:cs="Times New Roman"/>
                <w:sz w:val="20"/>
              </w:rPr>
            </w:pPr>
          </w:p>
          <w:p w:rsidR="0061552E" w:rsidRPr="0061552E" w:rsidP="0061552E">
            <w:pPr>
              <w:jc w:val="both"/>
              <w:rPr>
                <w:rFonts w:ascii="Arial Narrow" w:hAnsi="Arial Narrow" w:cs="Times New Roman"/>
                <w:b w:val="0"/>
                <w:noProof/>
                <w:sz w:val="20"/>
              </w:rPr>
            </w:pPr>
            <w:r w:rsidRPr="0061552E">
              <w:rPr>
                <w:rFonts w:ascii="Arial Narrow" w:hAnsi="Arial Narrow" w:cs="Times New Roman"/>
                <w:b w:val="0"/>
                <w:noProof/>
                <w:sz w:val="20"/>
              </w:rPr>
              <w:t xml:space="preserve">Poisťovňa, zahraničná poisťovňa vrátane jej pobočiek, zaisťovňa alebo zahraničná zaisťovňa vrátane jej pobočiek, ktorá je súčasťou finančného konglomerátu je povinná dodržiavať podmienky podľa § 58 až 61, ak </w:t>
            </w:r>
          </w:p>
          <w:p w:rsidR="0061552E" w:rsidRPr="0061552E" w:rsidP="0061552E">
            <w:pPr>
              <w:tabs>
                <w:tab w:val="left" w:pos="426"/>
              </w:tabs>
              <w:ind w:left="480" w:hanging="480"/>
              <w:jc w:val="both"/>
              <w:rPr>
                <w:rFonts w:ascii="Arial Narrow" w:hAnsi="Arial Narrow" w:cs="Times New Roman"/>
                <w:sz w:val="20"/>
              </w:rPr>
            </w:pPr>
            <w:r w:rsidRPr="0061552E">
              <w:rPr>
                <w:rFonts w:ascii="Arial Narrow" w:hAnsi="Arial Narrow" w:cs="Times New Roman"/>
                <w:sz w:val="20"/>
              </w:rPr>
              <w:t>a) ovláda finančný konglomerát,</w:t>
            </w:r>
          </w:p>
          <w:p w:rsidR="0061552E" w:rsidRPr="0061552E" w:rsidP="0061552E">
            <w:pPr>
              <w:tabs>
                <w:tab w:val="left" w:pos="0"/>
              </w:tabs>
              <w:jc w:val="both"/>
              <w:rPr>
                <w:rFonts w:ascii="Arial Narrow" w:hAnsi="Arial Narrow" w:cs="Times New Roman"/>
                <w:sz w:val="20"/>
              </w:rPr>
            </w:pPr>
            <w:r w:rsidRPr="0061552E">
              <w:rPr>
                <w:rFonts w:ascii="Arial Narrow" w:hAnsi="Arial Narrow" w:cs="Times New Roman"/>
                <w:sz w:val="20"/>
              </w:rPr>
              <w:t>b) jej materskou spoločnosťou je zmiešaná finančná holdingová spoločnosť, ktorej sídlo sa nachádza v inom členskom štáte,</w:t>
            </w:r>
          </w:p>
          <w:p w:rsidR="0061552E" w:rsidRPr="0061552E" w:rsidP="0061552E">
            <w:pPr>
              <w:tabs>
                <w:tab w:val="left" w:pos="0"/>
                <w:tab w:val="left" w:pos="1500"/>
              </w:tabs>
              <w:jc w:val="both"/>
              <w:rPr>
                <w:rFonts w:ascii="Arial Narrow" w:hAnsi="Arial Narrow" w:cs="Times New Roman"/>
                <w:sz w:val="20"/>
              </w:rPr>
            </w:pPr>
            <w:r w:rsidRPr="0061552E">
              <w:rPr>
                <w:rFonts w:ascii="Arial Narrow" w:hAnsi="Arial Narrow" w:cs="Times New Roman"/>
                <w:sz w:val="20"/>
              </w:rPr>
              <w:t>c) je prepojená s právnickou osobou iného finančného sektora vzťahom ovládania podľa § 3 písm. f) tretieho bodu a štvrtého bodu, alebo</w:t>
            </w:r>
          </w:p>
          <w:p w:rsidR="0061552E" w:rsidRPr="0061552E" w:rsidP="0061552E">
            <w:pPr>
              <w:tabs>
                <w:tab w:val="left" w:pos="0"/>
              </w:tabs>
              <w:jc w:val="both"/>
              <w:rPr>
                <w:rFonts w:ascii="Arial Narrow" w:hAnsi="Arial Narrow" w:cs="Times New Roman"/>
                <w:sz w:val="20"/>
              </w:rPr>
            </w:pPr>
            <w:r w:rsidRPr="0061552E">
              <w:rPr>
                <w:rFonts w:ascii="Arial Narrow" w:hAnsi="Arial Narrow" w:cs="Times New Roman"/>
                <w:sz w:val="20"/>
              </w:rPr>
              <w:t xml:space="preserve">d) jej materskou spoločnosťou je regulovaná osoba alebo zmiešaná finančná holdingová spoločnosť so sídlom v štáte, ktorý nie je členským štátom, ak je v tomto štáte vykonávaný dohľad nad finančnými konglomerátmi, ktorý je rovnocenný s doplňujúcim dohľadom podľa tohto zákona. </w:t>
            </w:r>
          </w:p>
          <w:p w:rsidR="0061552E" w:rsidP="0061552E">
            <w:pPr>
              <w:jc w:val="both"/>
              <w:rPr>
                <w:rFonts w:ascii="Arial Narrow" w:hAnsi="Arial Narrow" w:cs="Times New Roman"/>
                <w:b w:val="0"/>
                <w:noProof/>
                <w:sz w:val="20"/>
              </w:rPr>
            </w:pPr>
            <w:r w:rsidRPr="0061552E">
              <w:rPr>
                <w:rFonts w:ascii="Arial Narrow" w:hAnsi="Arial Narrow" w:cs="Times New Roman"/>
                <w:b w:val="0"/>
                <w:bCs/>
                <w:noProof/>
                <w:sz w:val="20"/>
              </w:rPr>
              <w:t>Ak je finančný konglomerát podsku</w:t>
            </w:r>
            <w:smartTag w:uri="urn:schemas-microsoft-com:office:smarttags" w:element="PersonName">
              <w:r w:rsidRPr="0061552E">
                <w:rPr>
                  <w:rFonts w:ascii="Arial Narrow" w:hAnsi="Arial Narrow" w:cs="Times New Roman"/>
                  <w:b w:val="0"/>
                  <w:bCs/>
                  <w:noProof/>
                  <w:sz w:val="20"/>
                </w:rPr>
                <w:t>pino</w:t>
              </w:r>
            </w:smartTag>
            <w:r w:rsidRPr="0061552E">
              <w:rPr>
                <w:rFonts w:ascii="Arial Narrow" w:hAnsi="Arial Narrow" w:cs="Times New Roman"/>
                <w:b w:val="0"/>
                <w:bCs/>
                <w:noProof/>
                <w:sz w:val="20"/>
              </w:rPr>
              <w:t>u iného finančného konglomerátu, ktorého súčasťou je poisťovňa, zahraničná poisťovňa vrátane jej pobočiek, zaisťovňa alebo zahraničná zaisťovňa vrátane jej pobočiek spĺňajúca niektorú z podmienok podľa odseku 1, podmienky podľa § 58 až 61 sa vzťahujú na poisťovňu, zahraničnú poisťovňu vrátane jej pobočiek, zaisťovňu alebo zahraničnú zaisťovňu vrátane jej pobočiek, ktorá je súčasťou finančného konglomerátu zahŕňajúceho podskupinu.</w:t>
            </w:r>
            <w:r w:rsidRPr="0061552E">
              <w:rPr>
                <w:rFonts w:ascii="Arial Narrow" w:hAnsi="Arial Narrow" w:cs="Times New Roman"/>
                <w:b w:val="0"/>
                <w:noProof/>
                <w:sz w:val="20"/>
              </w:rPr>
              <w:tab/>
            </w:r>
          </w:p>
          <w:p w:rsidR="0061552E" w:rsidRPr="0061552E" w:rsidP="0061552E">
            <w:pPr>
              <w:jc w:val="both"/>
              <w:rPr>
                <w:rFonts w:ascii="Arial Narrow" w:hAnsi="Arial Narrow" w:cs="Times New Roman"/>
                <w:b w:val="0"/>
                <w:noProof/>
                <w:sz w:val="20"/>
              </w:rPr>
            </w:pPr>
            <w:r w:rsidRPr="0061552E">
              <w:rPr>
                <w:rFonts w:ascii="Arial Narrow" w:hAnsi="Arial Narrow" w:cs="Times New Roman"/>
                <w:b w:val="0"/>
                <w:noProof/>
                <w:sz w:val="20"/>
              </w:rPr>
              <w:tab/>
            </w:r>
          </w:p>
          <w:p w:rsidR="0061552E" w:rsidRPr="0061552E" w:rsidP="0061552E">
            <w:pPr>
              <w:jc w:val="both"/>
              <w:rPr>
                <w:rFonts w:ascii="Arial Narrow" w:hAnsi="Arial Narrow" w:cs="Times New Roman"/>
                <w:b w:val="0"/>
                <w:noProof/>
                <w:sz w:val="20"/>
              </w:rPr>
            </w:pPr>
            <w:r w:rsidRPr="0061552E">
              <w:rPr>
                <w:rFonts w:ascii="Arial Narrow" w:hAnsi="Arial Narrow" w:cs="Times New Roman"/>
                <w:b w:val="0"/>
                <w:bCs/>
                <w:noProof/>
                <w:sz w:val="20"/>
              </w:rPr>
              <w:t>Poisťovňa, zahraničná poisťovňa vrátane jej pobočiek, zaisťovňa, zahraničná zaisťovňa vrátane jej pobočiek</w:t>
            </w:r>
            <w:r w:rsidRPr="0061552E">
              <w:rPr>
                <w:rFonts w:ascii="Arial Narrow" w:hAnsi="Arial Narrow" w:cs="Times New Roman"/>
                <w:b w:val="0"/>
                <w:noProof/>
                <w:sz w:val="20"/>
              </w:rPr>
              <w:t xml:space="preserve">,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 58 až 61. Ak nie je možné dodržať podmienky podľa § 58 až 61 z dôvodu, že dohľad vykonávaný v štáte, ktorý nie je členským štátom, nie je rovnocenný s doplňujúcim dohľadom podľa tohto zákona Národná banka Slovenska môže určiť, že </w:t>
            </w:r>
            <w:r w:rsidRPr="0061552E">
              <w:rPr>
                <w:rFonts w:ascii="Arial Narrow" w:hAnsi="Arial Narrow" w:cs="Times New Roman"/>
                <w:b w:val="0"/>
                <w:bCs/>
                <w:noProof/>
                <w:sz w:val="20"/>
              </w:rPr>
              <w:t>poisťovňa, zahraničná poisťovňa vrátane jej pobočiek, zaisťovňa, zahraničná zaisťovňa vrátane jej pobočiek</w:t>
            </w:r>
            <w:r w:rsidRPr="0061552E">
              <w:rPr>
                <w:rFonts w:ascii="Arial Narrow" w:hAnsi="Arial Narrow" w:cs="Times New Roman"/>
                <w:b w:val="0"/>
                <w:noProof/>
                <w:sz w:val="20"/>
              </w:rPr>
              <w:t>, ktorá je súčasťou takéhoto finančného konglomerátu bude predkladať Národnej banke Slovenska osobitné výkazy, hlásenia a správy o účasti v takomto finančnom konglomeráte, a tiež môže obmedziť alebo zakázať takejto poisťovni alebo zaisťovni vnútroskupinové obchody, ktoré by mohli mať vplyv na plnenie podmienok solventnosti.</w:t>
            </w:r>
          </w:p>
          <w:p w:rsidR="0061552E" w:rsidP="0061552E">
            <w:pPr>
              <w:jc w:val="both"/>
              <w:rPr>
                <w:rFonts w:ascii="Arial Narrow" w:hAnsi="Arial Narrow" w:cs="Times New Roman"/>
                <w:b w:val="0"/>
                <w:noProof/>
                <w:sz w:val="20"/>
              </w:rPr>
            </w:pPr>
          </w:p>
          <w:p w:rsidR="0061552E" w:rsidRPr="0061552E" w:rsidP="0061552E">
            <w:pPr>
              <w:jc w:val="both"/>
              <w:rPr>
                <w:rFonts w:ascii="Arial Narrow" w:hAnsi="Arial Narrow" w:cs="Times New Roman"/>
                <w:b w:val="0"/>
                <w:noProof/>
                <w:sz w:val="20"/>
              </w:rPr>
            </w:pPr>
            <w:r w:rsidRPr="0061552E">
              <w:rPr>
                <w:rFonts w:ascii="Arial Narrow" w:hAnsi="Arial Narrow" w:cs="Times New Roman"/>
                <w:b w:val="0"/>
                <w:noProof/>
                <w:sz w:val="20"/>
              </w:rPr>
              <w:t>Ak právnické osoby majú majetkovú účasť v jednej alebo viacerých regulovaných osobách alebo bez majetkovej účasti uplatňujú vo vzťahu k týmto regulovaným osobám iný významný vplyv ako je vplyv podľa odsekov 1 až 3, Národná banka Slovenska v spolupráci s príslušnými orgánmi dohľadu iných členských štátov, ktoré zodpovedajú za dohľad nad regulovanými osobami tvoriacimi súčasť finančného</w:t>
            </w:r>
            <w:r w:rsidRPr="0061552E">
              <w:rPr>
                <w:rFonts w:ascii="Arial Narrow" w:hAnsi="Arial Narrow" w:cs="Times New Roman"/>
                <w:b/>
                <w:noProof/>
                <w:sz w:val="20"/>
              </w:rPr>
              <w:t xml:space="preserve"> </w:t>
            </w:r>
            <w:r w:rsidRPr="0061552E">
              <w:rPr>
                <w:rFonts w:ascii="Arial Narrow" w:hAnsi="Arial Narrow" w:cs="Times New Roman"/>
                <w:b w:val="0"/>
                <w:noProof/>
                <w:sz w:val="20"/>
              </w:rPr>
              <w:t xml:space="preserve">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w:t>
            </w:r>
            <w:r w:rsidRPr="0061552E">
              <w:rPr>
                <w:rFonts w:ascii="Arial Narrow" w:hAnsi="Arial Narrow" w:cs="Times New Roman"/>
                <w:b w:val="0"/>
                <w:bCs/>
                <w:noProof/>
                <w:sz w:val="20"/>
              </w:rPr>
              <w:t>poisťovňou, zahraničnou poisťovňou vrátane jej pobočiek, zaisťovňou alebo zahraničnou zaisťovňou vrátane jej pobočiek</w:t>
            </w:r>
            <w:r w:rsidRPr="0061552E">
              <w:rPr>
                <w:rFonts w:ascii="Arial Narrow" w:hAnsi="Arial Narrow" w:cs="Times New Roman"/>
                <w:b w:val="0"/>
                <w:noProof/>
                <w:sz w:val="20"/>
              </w:rPr>
              <w:t xml:space="preserve">, musia byť splnené podmienky ustanovené v § 53 písm. a) body 1c. a 1d., a je to potrebné z hľadiska plnenia cieľov doplňujúceho dohľadu. </w:t>
            </w:r>
          </w:p>
          <w:p w:rsidR="0061552E" w:rsidRPr="0061552E" w:rsidP="00CF7BD1">
            <w:pPr>
              <w:jc w:val="both"/>
              <w:rPr>
                <w:rFonts w:ascii="Arial Narrow" w:hAnsi="Arial Narrow" w:cs="Times New Roman"/>
                <w:sz w:val="20"/>
              </w:rPr>
            </w:pPr>
          </w:p>
          <w:p w:rsidR="0061552E" w:rsidRPr="0061552E" w:rsidP="0061552E">
            <w:pPr>
              <w:jc w:val="both"/>
              <w:rPr>
                <w:rFonts w:ascii="Arial Narrow" w:hAnsi="Arial Narrow" w:cs="Times New Roman"/>
                <w:sz w:val="20"/>
              </w:rPr>
            </w:pPr>
            <w:r w:rsidRPr="0061552E">
              <w:rPr>
                <w:rFonts w:ascii="Arial Narrow" w:hAnsi="Arial Narrow" w:cs="Times New Roman"/>
                <w:sz w:val="20"/>
              </w:rPr>
              <w:t xml:space="preserve">Doplňujúcim dohľadom je sledovanie a regulácia rizík finančných konglomerátov, ktorých súčasťou sú poisťovne, poisťovne z iného členského štátu, zahraničné poisťovne vrátane ich pobočiek, zaisťovne, zaisťovne z iného členského štátu, zahraničné zaisťovne vrátane ich pobočiek, obchodníci s cennými papiermi, banky, inštitúcie elektronických peňazí, správcovské spoločnosti, na účely obmedzenia rizík, ktorým je poisťovňa, poisťovňa z iného členského štátu, zahraničná poisťovňa vrátane ich pobočiek, zaisťovňa, zaisťovňa z iného členského štátu, zahraničná zaisťovňa vrátane ich pobočiek alebo iná regulovaná osoba vystavená z dôvodu svojej účasti vo finančnom konglomeráte. </w:t>
            </w:r>
          </w:p>
          <w:p w:rsidR="0061552E" w:rsidRPr="001462BA" w:rsidP="00CF7BD1">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p>
          <w:p w:rsidR="0061552E">
            <w:pPr>
              <w:rPr>
                <w:rFonts w:ascii="Arial Narrow" w:hAnsi="Arial Narrow" w:cs="Times New Roman"/>
                <w:sz w:val="20"/>
              </w:rPr>
            </w:pPr>
          </w:p>
          <w:p w:rsidR="0061552E">
            <w:pPr>
              <w:rPr>
                <w:rFonts w:ascii="Arial Narrow" w:hAnsi="Arial Narrow" w:cs="Times New Roman"/>
                <w:sz w:val="20"/>
              </w:rPr>
            </w:pPr>
          </w:p>
          <w:p w:rsidR="0061552E"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F51"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pPr>
              <w:rPr>
                <w:rFonts w:ascii="Arial Narrow" w:hAnsi="Arial Narrow" w:cs="Times New Roman"/>
                <w:sz w:val="20"/>
              </w:rPr>
            </w:pPr>
            <w:r w:rsidRPr="007078D1">
              <w:rPr>
                <w:rFonts w:ascii="Arial Narrow" w:hAnsi="Arial Narrow" w:cs="Times New Roman"/>
                <w:sz w:val="20"/>
              </w:rPr>
              <w:t>Čl.6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FINANČNÁ SITUÁCIA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Kapitálová primeranosť</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Bez toho, aby boli dotknuté sektorové predpisy, doplnkový dohľad nad kapitálovou primeranosťou regulovaných subjektov vo finančnom konglomeráte sa uplatňuje podľa článku 9 ods. 2 až 5, oddiele 3 tejto kapitoly a prílohy I.</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Členské štáty vyžadujú, aby regulované subjekty vo finančnom konglomeráte zabezpečili, aby na úrovni finančného konglomerátu boli k dispozícii vlastné zdroje, ktoré sú vždy aspoň rovnocenné povinnej kapitálovej primeranosti vypočítanej na základe prílohy I.</w:t>
            </w: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D832A4" w:rsidP="00C02544">
            <w:pPr>
              <w:pStyle w:val="Normlnywebov8"/>
              <w:spacing w:before="0" w:after="0"/>
              <w:ind w:left="0" w:right="0"/>
              <w:jc w:val="both"/>
              <w:rPr>
                <w:rFonts w:ascii="Arial Narrow" w:hAnsi="Arial Narrow" w:cs="Tahoma"/>
                <w:sz w:val="20"/>
                <w:szCs w:val="20"/>
              </w:rPr>
            </w:pPr>
          </w:p>
          <w:p w:rsidR="00555630" w:rsidP="00C02544">
            <w:pPr>
              <w:pStyle w:val="Normlnywebov8"/>
              <w:spacing w:before="0" w:after="0"/>
              <w:ind w:left="0" w:right="0"/>
              <w:jc w:val="both"/>
              <w:rPr>
                <w:rFonts w:ascii="Arial Narrow" w:hAnsi="Arial Narrow" w:cs="Tahoma"/>
                <w:sz w:val="20"/>
                <w:szCs w:val="20"/>
              </w:rPr>
            </w:pPr>
          </w:p>
          <w:p w:rsidR="00810F06"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musia tiež vyžadovať, aby regulované subjekty mali na úrovni finančného konglomerátu zavedenú primeranú politiku kapitálovej primeranosti.</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Dohľad nad požiadavkami</w:t>
            </w:r>
            <w:r w:rsidRPr="00C02544">
              <w:rPr>
                <w:rFonts w:ascii="Arial Narrow" w:hAnsi="Arial Narrow" w:cs="Tahoma"/>
                <w:sz w:val="20"/>
                <w:szCs w:val="20"/>
              </w:rPr>
              <w:t xml:space="preserve"> uvedenými v prvom a druhom pododseku vykonáva koordinátor v súlade s oddielom 3.</w:t>
            </w: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Koordinátor zabezpečí, aby výpočet uvedený v prvom pododseku vykonávali aspoň raz za rok buď regulované subjekty, alebo zmiešaná finančná holdingová spoločnosť.</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Výsledky výpočtu a príslušné údaje koordinátorovi predkladá regulovaný subjekt v zmysle článku 1, ktorý je na vrchole finančného konglomerátu, alebo ak na vrchole finančného konglomerátu nie je regulovaný subjekt v zmysle článku 1, zmiešaná finančná holdingová spoločnosť alebo regulovaný subjekt vo finančnom konglomeráte identifikovaný koordinátorom po konzultácii s ostatnými relevantnými príslušnými orgánmi a s finančným konglomerátom.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Na účel výpočtu povinnej kapitálovej primeranosti uvedenej v prvom pododseku odseku 2 sa do predmetu doplnkového dohľadu zahŕňajú spôsobom a v rozsahu definovanom v prílohe I tieto subjekty: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úverová inštitúcia, finančná inštitúcia alebo podnik poskytujúci doplnkové bankové služby v zmysle článku 1 ods. 5 a 23 smernice 2000/1</w:t>
            </w:r>
            <w:r w:rsidRPr="00C02544">
              <w:rPr>
                <w:rFonts w:ascii="Arial Narrow" w:hAnsi="Arial Narrow" w:cs="Tahoma"/>
                <w:sz w:val="20"/>
                <w:szCs w:val="20"/>
              </w:rPr>
              <w:t>2/ES;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poisťovňa, zaisťovňa alebo holdingová poisťovňa v zmysle článku 1 písm. i) smernice 98/78/ES;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investičná spoločnosť alebo finančná inštitúcia v zmysle článku 2 ods. 7 smernice 93/6/EHS;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 zmiešané finančné holdingové spoločnosti.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Pri výpočte doplnkových požiadaviek kapitálovej primeranosti vo vzťahu k finančnému konglomerátu s využitím metódy 1 (účtovná konsolidácia), ktorá sa ustanovuje v prílohe I, sa vlastné zdroje a kapitálové požiadavky subjektov v skupine počítajú s použitím zodpovedajúcich sektorových predpisov o forme a rozsahu konsolidácie, ktoré sa ustanovujú najmä v článku 54 smernice 2000/12/ES a v prílohe I.1.B smernice 98/78/ES.</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xml:space="preserve">Pri použití metód 2 alebo 3 (odpočítavanie a agregácia, účtovná hodnota/odpočítavanie požiadaviek) uvedených v prílohe I sa pri výpočte musí brať do úvahy proporcionálny podiel vlastnený materským podnikom alebo podnikom, ktorý vlastní účasť v inom subjekte skupiny. "Proporcionálny podiel" znamená podiel na upísanom základnom imaní, ktorý táto spoločnosť </w:t>
            </w:r>
            <w:r w:rsidRPr="00C02544">
              <w:rPr>
                <w:rFonts w:ascii="Arial Narrow" w:hAnsi="Arial Narrow" w:cs="Tahoma"/>
                <w:sz w:val="20"/>
                <w:szCs w:val="20"/>
              </w:rPr>
              <w:t>priamo alebo nepriamo vlastní.</w:t>
            </w: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 Koordinátor môže rozhodnúť, že do výpočtu doplnkových požiadaviek na kapitálovú primeranosť nezaradí konkrétny subjekt v týchto prípadoch:</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ak sa subjekt nachádza v treťom štáte, v ktorom sú právne prekážky na prevod potrebných informácií, bez toho, aby boli dotknuté sektorové predpisy týkajúce sa povinnosti príslušných orgánov odmietnuť vydanie povolenia, ak prekážky bránia účinnému vykonávaniu ich funkcie dohľadu;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ak má subjekt zanedbateľný vplyv vo vzťahu k cieľom doplnkového dohľadu nad regulovanými subjektami vo finančnom konglomeráte;</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ak by zaradenie subjektu bolo neprimerané alebo nesprávne vo vzťahu k cieľom doplnkového dohľadu.</w:t>
            </w: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P="00C02544">
            <w:pPr>
              <w:pStyle w:val="Normlnywebov8"/>
              <w:spacing w:before="0" w:after="0"/>
              <w:ind w:left="0" w:right="0"/>
              <w:jc w:val="both"/>
              <w:rPr>
                <w:rFonts w:ascii="Arial Narrow" w:hAnsi="Arial Narrow" w:cs="Tahoma"/>
                <w:sz w:val="20"/>
                <w:szCs w:val="20"/>
              </w:rPr>
            </w:pPr>
          </w:p>
          <w:p w:rsidR="00810F06"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by však mali byť podľa písmena b) prvého pododseku vylúčené viaceré subjekty, tieto sa musia zahrnúť, ak spolu predstavujú podiel, ktorý nie je zanedbateľný.</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 prípade uvedenom v písmene c) prvého pododseku sa koordinátor, okrem naliehavých prípadov, pred prijatím rozhodnutia poradí s ostatnými príslušnými orgánmi.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koordinátor nezahrnie regulovaný subjekt do predmetu regulovaného dohľadu na základe jedného z prípadov uvedených v písmene b) alebo c) prvého pododseku, príslušné orgány členského štátu, v ktorom sa tento subjekt nachádza, môžu požiadať subjekt, ktorý je na vrchole finančného konglomerátu, o informácie, ktoré môžu uľahčiť ich dohľad nad regulovaným subjektom.</w:t>
            </w:r>
          </w:p>
          <w:p w:rsidR="00987825"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pPr>
              <w:rPr>
                <w:rFonts w:ascii="Arial Narrow" w:hAnsi="Arial Narrow" w:cs="Times New Roman"/>
                <w:sz w:val="20"/>
              </w:rPr>
            </w:pPr>
          </w:p>
          <w:p w:rsidR="00810F06">
            <w:pPr>
              <w:rPr>
                <w:rFonts w:ascii="Arial Narrow" w:hAnsi="Arial Narrow" w:cs="Times New Roman"/>
                <w:sz w:val="20"/>
              </w:rPr>
            </w:pPr>
          </w:p>
          <w:p w:rsidR="00810F06"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3AA3" w:rsidRPr="007078D1" w:rsidP="00DC3AA3">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3AA3">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 58 ods.1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D832A4">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ods.2</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 4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ods.5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ods.6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ods.8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ods.9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ods.3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ods.6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r>
              <w:rPr>
                <w:rFonts w:ascii="Arial Narrow" w:hAnsi="Arial Narrow" w:cs="Times New Roman"/>
                <w:bCs/>
                <w:sz w:val="20"/>
              </w:rPr>
              <w:t xml:space="preserve">ods.7 </w:t>
            </w: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pPr>
              <w:rPr>
                <w:rFonts w:ascii="Arial Narrow" w:hAnsi="Arial Narrow" w:cs="Times New Roman"/>
                <w:bCs/>
                <w:sz w:val="20"/>
              </w:rPr>
            </w:pPr>
          </w:p>
          <w:p w:rsidR="00810F06" w:rsidRPr="007078D1">
            <w:pPr>
              <w:rPr>
                <w:rFonts w:ascii="Arial Narrow" w:hAnsi="Arial Narrow" w:cs="Times New Roman"/>
                <w:bCs/>
                <w:sz w:val="20"/>
              </w:rPr>
            </w:pPr>
            <w:r>
              <w:rPr>
                <w:rFonts w:ascii="Arial Narrow" w:hAnsi="Arial Narrow" w:cs="Times New Roman"/>
                <w:bCs/>
                <w:sz w:val="20"/>
              </w:rPr>
              <w:t>ods.8</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C3AA3" w:rsidP="00AD51FE">
            <w:pPr>
              <w:tabs>
                <w:tab w:val="left" w:pos="360"/>
              </w:tabs>
              <w:jc w:val="both"/>
              <w:rPr>
                <w:rFonts w:ascii="Arial Narrow" w:hAnsi="Arial Narrow" w:cs="Times New Roman"/>
                <w:b w:val="0"/>
                <w:noProof/>
                <w:sz w:val="20"/>
              </w:rPr>
            </w:pPr>
          </w:p>
          <w:p w:rsidR="00810F06" w:rsidP="00AD51FE">
            <w:pPr>
              <w:tabs>
                <w:tab w:val="left" w:pos="360"/>
              </w:tabs>
              <w:jc w:val="both"/>
              <w:rPr>
                <w:rFonts w:ascii="Arial Narrow" w:hAnsi="Arial Narrow" w:cs="Times New Roman"/>
                <w:b w:val="0"/>
                <w:noProof/>
                <w:sz w:val="20"/>
              </w:rPr>
            </w:pPr>
          </w:p>
          <w:p w:rsidR="00D832A4" w:rsidP="00D832A4">
            <w:pPr>
              <w:jc w:val="both"/>
              <w:rPr>
                <w:rFonts w:ascii="Arial Narrow" w:hAnsi="Arial Narrow" w:cs="Times New Roman"/>
                <w:b w:val="0"/>
                <w:noProof/>
                <w:sz w:val="20"/>
              </w:rPr>
            </w:pPr>
            <w:r w:rsidRPr="00D832A4">
              <w:rPr>
                <w:rFonts w:ascii="Arial Narrow" w:hAnsi="Arial Narrow" w:cs="Times New Roman"/>
                <w:b w:val="0"/>
                <w:bCs/>
                <w:noProof/>
                <w:sz w:val="20"/>
              </w:rPr>
              <w:t>Poisťovňa, poisťovňa z iného členského štátu, zahraničná poisťovňa vrátane jej pobočiek, zaisťovňa, zaisťovňa z iného členského štátu, zahraničná zaisťovňa vrátane jej pobočiek</w:t>
            </w:r>
            <w:r w:rsidRPr="00D832A4">
              <w:rPr>
                <w:rFonts w:ascii="Arial Narrow" w:hAnsi="Arial Narrow" w:cs="Times New Roman"/>
                <w:b w:val="0"/>
                <w:noProof/>
                <w:sz w:val="20"/>
              </w:rPr>
              <w:t>, ktorá je súčasťou finančného konglomerátu je povinná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osôb tvoriacich súčasť finančného konglomerátu je nula alebo kladné číslo.</w:t>
            </w:r>
          </w:p>
          <w:p w:rsidR="00810F06" w:rsidRPr="00810F06" w:rsidP="00D832A4">
            <w:pPr>
              <w:jc w:val="both"/>
              <w:rPr>
                <w:rFonts w:ascii="Arial Narrow" w:hAnsi="Arial Narrow" w:cs="Times New Roman"/>
                <w:b w:val="0"/>
                <w:noProof/>
                <w:sz w:val="20"/>
              </w:rPr>
            </w:pPr>
            <w:r w:rsidRPr="00810F06">
              <w:rPr>
                <w:rFonts w:ascii="Arial Narrow" w:hAnsi="Arial Narrow" w:cs="Times New Roman"/>
                <w:b w:val="0"/>
                <w:noProof/>
                <w:sz w:val="20"/>
              </w:rPr>
              <w:t xml:space="preserve">Poisťovňa alebo zaisťovňa, ktorá je súčasťou finančného konglomerátu je povinná vykonávať výpočty dostatočnej výšky vlastných zdrojov podľa jednej z metód ustanovených </w:t>
            </w:r>
            <w:r w:rsidR="005B7D74">
              <w:rPr>
                <w:rFonts w:ascii="Arial Narrow" w:hAnsi="Arial Narrow" w:cs="Times New Roman"/>
                <w:b w:val="0"/>
                <w:noProof/>
                <w:sz w:val="20"/>
              </w:rPr>
              <w:t>opatrením Národnej banky Slovenska podľa odseku 9.</w:t>
            </w:r>
          </w:p>
          <w:p w:rsidR="00810F06" w:rsidP="00AD51FE">
            <w:pPr>
              <w:tabs>
                <w:tab w:val="left" w:pos="360"/>
              </w:tabs>
              <w:jc w:val="both"/>
              <w:rPr>
                <w:rFonts w:ascii="Arial Narrow" w:hAnsi="Arial Narrow" w:cs="Times New Roman"/>
                <w:b w:val="0"/>
                <w:noProof/>
                <w:sz w:val="20"/>
              </w:rPr>
            </w:pPr>
          </w:p>
          <w:p w:rsidR="00810F06" w:rsidRPr="00810F06" w:rsidP="00810F06">
            <w:pPr>
              <w:jc w:val="both"/>
              <w:rPr>
                <w:rFonts w:ascii="Arial Narrow" w:hAnsi="Arial Narrow" w:cs="Times New Roman"/>
                <w:b w:val="0"/>
                <w:noProof/>
                <w:sz w:val="20"/>
              </w:rPr>
            </w:pPr>
            <w:r w:rsidRPr="00810F06">
              <w:rPr>
                <w:rFonts w:ascii="Arial Narrow" w:hAnsi="Arial Narrow" w:cs="Times New Roman"/>
                <w:b w:val="0"/>
                <w:noProof/>
                <w:sz w:val="20"/>
              </w:rPr>
              <w:t xml:space="preserve">Poisťovňa alebo zaisťovňa,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810F06" w:rsidRPr="00810F06" w:rsidP="00810F06">
            <w:pPr>
              <w:jc w:val="both"/>
              <w:rPr>
                <w:rFonts w:ascii="Arial Narrow" w:hAnsi="Arial Narrow" w:cs="Times New Roman"/>
                <w:b w:val="0"/>
                <w:noProof/>
                <w:sz w:val="20"/>
              </w:rPr>
            </w:pPr>
            <w:r w:rsidRPr="00810F06">
              <w:rPr>
                <w:rFonts w:ascii="Arial Narrow" w:hAnsi="Arial Narrow" w:cs="Times New Roman"/>
                <w:b w:val="0"/>
                <w:noProof/>
                <w:sz w:val="20"/>
              </w:rPr>
              <w:t>Do výpočtu dostatočnej výšky vlastných zdrojov na úrovni finančného konglomerátu sa zahŕňajú požiadavky na vlastné zdroje len za právnické osoby podľa § 53 písm. b).</w:t>
            </w:r>
          </w:p>
          <w:p w:rsidR="00810F06" w:rsidRPr="00810F06" w:rsidP="00810F06">
            <w:pPr>
              <w:jc w:val="both"/>
              <w:rPr>
                <w:rFonts w:ascii="Arial Narrow" w:hAnsi="Arial Narrow" w:cs="Times New Roman"/>
                <w:b w:val="0"/>
                <w:noProof/>
                <w:sz w:val="20"/>
              </w:rPr>
            </w:pPr>
            <w:r>
              <w:rPr>
                <w:rFonts w:ascii="Arial Narrow" w:hAnsi="Arial Narrow" w:cs="Times New Roman"/>
                <w:b w:val="0"/>
                <w:noProof/>
                <w:sz w:val="20"/>
              </w:rPr>
              <w:t>N</w:t>
            </w:r>
            <w:r w:rsidRPr="00810F06">
              <w:rPr>
                <w:rFonts w:ascii="Arial Narrow" w:hAnsi="Arial Narrow" w:cs="Times New Roman"/>
                <w:b w:val="0"/>
                <w:noProof/>
                <w:sz w:val="20"/>
              </w:rPr>
              <w:t>árodná banka Slovenska môže rozhodnúť, že do výpočtu požiadaviek na dostatočnú výšku vlastných zdrojov na úrovni finančného konglomerátu podliehajúcemu doplňujúcemu dohľadu nezaradí osobu,</w:t>
            </w:r>
          </w:p>
          <w:p w:rsidR="00810F06" w:rsidRPr="00D80F3F" w:rsidP="00810F06">
            <w:pPr>
              <w:pStyle w:val="BodyTextIndent"/>
              <w:spacing w:after="0"/>
              <w:ind w:left="0"/>
              <w:rPr>
                <w:rFonts w:ascii="Arial Narrow" w:hAnsi="Arial Narrow" w:cs="Times New Roman"/>
                <w:sz w:val="20"/>
                <w:lang w:val="sk-SK"/>
              </w:rPr>
            </w:pPr>
            <w:r w:rsidRPr="00D80F3F">
              <w:rPr>
                <w:rFonts w:ascii="Arial Narrow" w:hAnsi="Arial Narrow" w:cs="Times New Roman"/>
                <w:sz w:val="20"/>
                <w:lang w:val="sk-SK"/>
              </w:rPr>
              <w:t xml:space="preserve">a) ktorá má sídlo v štáte, ktorý nie je členským štátom a právny poriadok tohto štátu neumožňuje výmenu informácií potrebných na výkon doplňujúceho dohľadu, </w:t>
            </w:r>
          </w:p>
          <w:p w:rsidR="00810F06" w:rsidRPr="00810F06" w:rsidP="00810F06">
            <w:pPr>
              <w:tabs>
                <w:tab w:val="left" w:pos="0"/>
              </w:tabs>
              <w:jc w:val="both"/>
              <w:rPr>
                <w:rFonts w:ascii="Arial Narrow" w:hAnsi="Arial Narrow" w:cs="Times New Roman"/>
                <w:sz w:val="20"/>
              </w:rPr>
            </w:pPr>
            <w:r w:rsidRPr="00810F06">
              <w:rPr>
                <w:rFonts w:ascii="Arial Narrow" w:hAnsi="Arial Narrow" w:cs="Times New Roman"/>
                <w:sz w:val="20"/>
              </w:rPr>
              <w:t xml:space="preserve">b)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 56 ods. 2 a 4, </w:t>
            </w:r>
          </w:p>
          <w:p w:rsidR="00810F06" w:rsidRPr="00810F06" w:rsidP="00810F06">
            <w:pPr>
              <w:tabs>
                <w:tab w:val="left" w:pos="0"/>
              </w:tabs>
              <w:jc w:val="both"/>
              <w:rPr>
                <w:rFonts w:ascii="Arial Narrow" w:hAnsi="Arial Narrow" w:cs="Times New Roman"/>
                <w:sz w:val="20"/>
              </w:rPr>
            </w:pPr>
            <w:r w:rsidRPr="00810F06">
              <w:rPr>
                <w:rFonts w:ascii="Arial Narrow" w:hAnsi="Arial Narrow" w:cs="Times New Roman"/>
                <w:sz w:val="20"/>
              </w:rPr>
              <w:t>c) ktorej zaradenie by bolo nevhodné alebo neprimerané z hľadiska cieľov doplňujúceho dohľadu.</w:t>
            </w:r>
          </w:p>
          <w:p w:rsidR="00810F06" w:rsidP="00AD51FE">
            <w:pPr>
              <w:tabs>
                <w:tab w:val="left" w:pos="360"/>
              </w:tabs>
              <w:jc w:val="both"/>
              <w:rPr>
                <w:rFonts w:ascii="Arial Narrow" w:hAnsi="Arial Narrow" w:cs="Times New Roman"/>
                <w:b w:val="0"/>
                <w:noProof/>
                <w:sz w:val="20"/>
              </w:rPr>
            </w:pPr>
          </w:p>
          <w:p w:rsidR="00810F06" w:rsidP="00AD51FE">
            <w:pPr>
              <w:tabs>
                <w:tab w:val="left" w:pos="360"/>
              </w:tabs>
              <w:jc w:val="both"/>
              <w:rPr>
                <w:rFonts w:ascii="Arial Narrow" w:hAnsi="Arial Narrow" w:cs="Times New Roman"/>
                <w:b w:val="0"/>
                <w:noProof/>
                <w:sz w:val="20"/>
              </w:rPr>
            </w:pPr>
          </w:p>
          <w:p w:rsidR="00810F06" w:rsidP="00AD51FE">
            <w:pPr>
              <w:tabs>
                <w:tab w:val="left" w:pos="360"/>
              </w:tabs>
              <w:jc w:val="both"/>
              <w:rPr>
                <w:rFonts w:ascii="Arial Narrow" w:hAnsi="Arial Narrow" w:cs="Times New Roman"/>
                <w:b w:val="0"/>
                <w:noProof/>
                <w:sz w:val="20"/>
              </w:rPr>
            </w:pPr>
          </w:p>
          <w:p w:rsidR="00810F06" w:rsidRPr="00810F06" w:rsidP="00810F06">
            <w:pPr>
              <w:jc w:val="both"/>
              <w:rPr>
                <w:rFonts w:ascii="Arial Narrow" w:hAnsi="Arial Narrow" w:cs="Times New Roman"/>
                <w:b w:val="0"/>
                <w:noProof/>
                <w:sz w:val="20"/>
              </w:rPr>
            </w:pPr>
            <w:r w:rsidRPr="00810F06">
              <w:rPr>
                <w:rFonts w:ascii="Arial Narrow" w:hAnsi="Arial Narrow" w:cs="Times New Roman"/>
                <w:b w:val="0"/>
                <w:noProof/>
                <w:sz w:val="20"/>
              </w:rPr>
              <w:t xml:space="preserve">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rsidR="00810F06" w:rsidP="00810F06">
            <w:pPr>
              <w:pStyle w:val="BodyText"/>
              <w:rPr>
                <w:rFonts w:ascii="Arial Narrow" w:hAnsi="Arial Narrow" w:cs="Times New Roman"/>
                <w:sz w:val="20"/>
              </w:rPr>
            </w:pPr>
          </w:p>
          <w:p w:rsidR="00810F06" w:rsidRPr="00810F06" w:rsidP="00810F06">
            <w:pPr>
              <w:pStyle w:val="BodyText"/>
              <w:rPr>
                <w:rFonts w:ascii="Arial Narrow" w:hAnsi="Arial Narrow" w:cs="Times New Roman"/>
                <w:sz w:val="20"/>
              </w:rPr>
            </w:pPr>
            <w:r w:rsidR="001538FE">
              <w:rPr>
                <w:rFonts w:ascii="Arial Narrow" w:hAnsi="Arial Narrow" w:cs="Times New Roman"/>
                <w:sz w:val="20"/>
              </w:rPr>
              <w:t xml:space="preserve">Opatrenie, ktoré </w:t>
            </w:r>
            <w:r w:rsidRPr="00810F06">
              <w:rPr>
                <w:rFonts w:ascii="Arial Narrow" w:hAnsi="Arial Narrow" w:cs="Times New Roman"/>
                <w:sz w:val="20"/>
              </w:rPr>
              <w:t>vydá Národná banka Slovenska</w:t>
            </w:r>
            <w:r w:rsidR="001538FE">
              <w:rPr>
                <w:rFonts w:ascii="Arial Narrow" w:hAnsi="Arial Narrow" w:cs="Times New Roman"/>
                <w:sz w:val="20"/>
              </w:rPr>
              <w:t xml:space="preserve"> a ktoré sa vyhlasuhe v zbierke zákonov</w:t>
            </w:r>
            <w:r w:rsidRPr="00810F06">
              <w:rPr>
                <w:rFonts w:ascii="Arial Narrow" w:hAnsi="Arial Narrow" w:cs="Times New Roman"/>
                <w:sz w:val="20"/>
              </w:rPr>
              <w:t>, ustanoví na účely výpočtu dostatočnej výšky vlastných zdrojov na úrovni finančn</w:t>
            </w:r>
            <w:r w:rsidRPr="00810F06">
              <w:rPr>
                <w:rFonts w:ascii="Arial Narrow" w:hAnsi="Arial Narrow" w:cs="Times New Roman"/>
                <w:sz w:val="20"/>
              </w:rPr>
              <w:t>ého konglomerátu</w:t>
            </w:r>
          </w:p>
          <w:p w:rsidR="00810F06" w:rsidRPr="00810F06" w:rsidP="00810F06">
            <w:pPr>
              <w:pStyle w:val="BodyText"/>
              <w:rPr>
                <w:rFonts w:ascii="Arial Narrow" w:hAnsi="Arial Narrow" w:cs="Times New Roman"/>
                <w:sz w:val="20"/>
              </w:rPr>
            </w:pPr>
            <w:r w:rsidRPr="00810F06">
              <w:rPr>
                <w:rFonts w:ascii="Arial Narrow" w:hAnsi="Arial Narrow" w:cs="Times New Roman"/>
                <w:sz w:val="20"/>
              </w:rPr>
              <w:t>a) čo tvorí vlastné zdroje na úrovni finančného konglomerátu a spôsob ich výpočtu, vrátane vlastných zdrojov zmiešanej finančnej holdingovej spoločnosti,</w:t>
            </w:r>
          </w:p>
          <w:p w:rsidR="00810F06" w:rsidRPr="00810F06" w:rsidP="00810F06">
            <w:pPr>
              <w:pStyle w:val="BodyText"/>
              <w:rPr>
                <w:rFonts w:ascii="Arial Narrow" w:hAnsi="Arial Narrow" w:cs="Times New Roman"/>
                <w:sz w:val="20"/>
              </w:rPr>
            </w:pPr>
            <w:r w:rsidRPr="00810F06">
              <w:rPr>
                <w:rFonts w:ascii="Arial Narrow" w:hAnsi="Arial Narrow" w:cs="Times New Roman"/>
                <w:sz w:val="20"/>
              </w:rPr>
              <w:t>b) čo sa rozumie minimálnou výškou vlastných zdrojov osôb vo finančnom konglomeráte a spôsob ich výpočtu,</w:t>
            </w:r>
          </w:p>
          <w:p w:rsidR="00810F06" w:rsidRPr="00810F06" w:rsidP="00810F06">
            <w:pPr>
              <w:pStyle w:val="BodyText"/>
              <w:rPr>
                <w:rFonts w:ascii="Arial Narrow" w:hAnsi="Arial Narrow" w:cs="Times New Roman"/>
                <w:sz w:val="20"/>
              </w:rPr>
            </w:pPr>
            <w:r w:rsidRPr="00810F06">
              <w:rPr>
                <w:rFonts w:ascii="Arial Narrow" w:hAnsi="Arial Narrow" w:cs="Times New Roman"/>
                <w:sz w:val="20"/>
              </w:rPr>
              <w:t>c) metódy výpočtu dostatočnej výšky vlastných zdrojov finančného konglomerátu.</w:t>
            </w:r>
          </w:p>
          <w:p w:rsidR="00810F06" w:rsidRPr="00810F06" w:rsidP="00810F06">
            <w:pPr>
              <w:jc w:val="both"/>
              <w:rPr>
                <w:rFonts w:ascii="Arial Narrow" w:hAnsi="Arial Narrow" w:cs="Times New Roman"/>
                <w:b/>
                <w:noProof/>
                <w:sz w:val="20"/>
              </w:rPr>
            </w:pPr>
          </w:p>
          <w:p w:rsidR="00810F06" w:rsidRPr="00810F06" w:rsidP="00810F06">
            <w:pPr>
              <w:jc w:val="both"/>
              <w:rPr>
                <w:rFonts w:ascii="Arial Narrow" w:hAnsi="Arial Narrow" w:cs="Times New Roman"/>
                <w:sz w:val="20"/>
              </w:rPr>
            </w:pPr>
            <w:r w:rsidRPr="00810F06">
              <w:rPr>
                <w:rFonts w:ascii="Arial Narrow" w:hAnsi="Arial Narrow" w:cs="Times New Roman"/>
                <w:sz w:val="20"/>
              </w:rPr>
              <w:t xml:space="preserve">Národná banka Slovenska po vyjadrení príslušných orgánov dohľadu iných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w:t>
            </w:r>
            <w:r w:rsidR="001538FE">
              <w:rPr>
                <w:rFonts w:ascii="Arial Narrow" w:hAnsi="Arial Narrow" w:cs="Times New Roman"/>
                <w:sz w:val="20"/>
              </w:rPr>
              <w:t>opatrením Národnej banky Slovenska</w:t>
            </w:r>
            <w:r w:rsidRPr="00810F06">
              <w:rPr>
                <w:rFonts w:ascii="Arial Narrow" w:hAnsi="Arial Narrow" w:cs="Times New Roman"/>
                <w:sz w:val="20"/>
              </w:rPr>
              <w:t xml:space="preserve"> podľa odseku 9 sa použije. </w:t>
            </w:r>
          </w:p>
          <w:p w:rsidR="00810F06" w:rsidRPr="00810F06" w:rsidP="00810F06">
            <w:pPr>
              <w:jc w:val="both"/>
              <w:rPr>
                <w:rFonts w:ascii="Arial Narrow" w:hAnsi="Arial Narrow" w:cs="Times New Roman"/>
                <w:b w:val="0"/>
                <w:noProof/>
                <w:sz w:val="20"/>
              </w:rPr>
            </w:pPr>
            <w:r w:rsidRPr="00810F06">
              <w:rPr>
                <w:rFonts w:ascii="Arial Narrow" w:hAnsi="Arial Narrow" w:cs="Times New Roman"/>
                <w:b w:val="0"/>
                <w:noProof/>
                <w:sz w:val="20"/>
              </w:rPr>
              <w:t>Národná banka Slovenska môže rozhodnúť, že do výpočtu požiadaviek na dostatočnú výšku vlastných zdrojov na úrovni finančného konglomerátu podliehajúcemu doplňujúcemu dohľadu nezaradí osobu,</w:t>
            </w:r>
          </w:p>
          <w:p w:rsidR="00810F06" w:rsidRPr="00D80F3F" w:rsidP="00810F06">
            <w:pPr>
              <w:pStyle w:val="BodyTextIndent"/>
              <w:spacing w:after="0"/>
              <w:ind w:left="0"/>
              <w:rPr>
                <w:rFonts w:ascii="Arial Narrow" w:hAnsi="Arial Narrow" w:cs="Times New Roman"/>
                <w:sz w:val="20"/>
                <w:lang w:val="sk-SK"/>
              </w:rPr>
            </w:pPr>
            <w:r w:rsidRPr="00D80F3F">
              <w:rPr>
                <w:rFonts w:ascii="Arial Narrow" w:hAnsi="Arial Narrow" w:cs="Times New Roman"/>
                <w:sz w:val="20"/>
                <w:lang w:val="sk-SK"/>
              </w:rPr>
              <w:t xml:space="preserve">a) ktorá má sídlo v štáte, ktorý nie je členským štátom a právny poriadok tohto štátu neumožňuje výmenu informácií potrebných na výkon doplňujúceho dohľadu, </w:t>
            </w:r>
          </w:p>
          <w:p w:rsidR="00810F06" w:rsidRPr="00810F06" w:rsidP="00810F06">
            <w:pPr>
              <w:tabs>
                <w:tab w:val="left" w:pos="0"/>
              </w:tabs>
              <w:jc w:val="both"/>
              <w:rPr>
                <w:rFonts w:ascii="Arial Narrow" w:hAnsi="Arial Narrow" w:cs="Times New Roman"/>
                <w:sz w:val="20"/>
              </w:rPr>
            </w:pPr>
            <w:r w:rsidRPr="00810F06">
              <w:rPr>
                <w:rFonts w:ascii="Arial Narrow" w:hAnsi="Arial Narrow" w:cs="Times New Roman"/>
                <w:sz w:val="20"/>
              </w:rPr>
              <w:t xml:space="preserve">b)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 56 ods. 2 a 4, </w:t>
            </w:r>
          </w:p>
          <w:p w:rsidR="00810F06" w:rsidRPr="00810F06" w:rsidP="00810F06">
            <w:pPr>
              <w:tabs>
                <w:tab w:val="left" w:pos="0"/>
              </w:tabs>
              <w:jc w:val="both"/>
              <w:rPr>
                <w:rFonts w:ascii="Arial Narrow" w:hAnsi="Arial Narrow" w:cs="Times New Roman"/>
                <w:sz w:val="20"/>
              </w:rPr>
            </w:pPr>
            <w:r w:rsidRPr="00810F06">
              <w:rPr>
                <w:rFonts w:ascii="Arial Narrow" w:hAnsi="Arial Narrow" w:cs="Times New Roman"/>
                <w:sz w:val="20"/>
              </w:rPr>
              <w:t>c) ktorej zaradenie by bolo nevhodné alebo neprimerané z hľadiska cieľov doplňujúceho dohľadu.</w:t>
            </w:r>
          </w:p>
          <w:p w:rsidR="00810F06" w:rsidRPr="00810F06" w:rsidP="00810F06">
            <w:pPr>
              <w:jc w:val="both"/>
              <w:rPr>
                <w:rFonts w:ascii="Arial Narrow" w:hAnsi="Arial Narrow" w:cs="Times New Roman"/>
                <w:b w:val="0"/>
                <w:noProof/>
                <w:sz w:val="20"/>
              </w:rPr>
            </w:pPr>
            <w:r w:rsidRPr="00810F06">
              <w:rPr>
                <w:rFonts w:ascii="Arial Narrow" w:hAnsi="Arial Narrow" w:cs="Times New Roman"/>
                <w:b w:val="0"/>
                <w:noProof/>
                <w:sz w:val="20"/>
              </w:rPr>
              <w:t>Národná banka Slovenska nezaradenie osoby podľa odseku 6 písm. c) prerokuje s orgánmi dohľadu členských štátov, ktoré zodpovedajú za doplňujúci dohľad v príslušnom členskom štáte.</w:t>
            </w:r>
          </w:p>
          <w:p w:rsidR="00810F06" w:rsidP="00810F06">
            <w:pPr>
              <w:jc w:val="both"/>
              <w:rPr>
                <w:rFonts w:ascii="Arial Narrow" w:hAnsi="Arial Narrow" w:cs="Times New Roman"/>
                <w:b w:val="0"/>
                <w:noProof/>
                <w:sz w:val="20"/>
              </w:rPr>
            </w:pPr>
          </w:p>
          <w:p w:rsidR="00810F06" w:rsidP="00810F06">
            <w:pPr>
              <w:jc w:val="both"/>
              <w:rPr>
                <w:rFonts w:ascii="Arial Narrow" w:hAnsi="Arial Narrow" w:cs="Times New Roman"/>
                <w:b w:val="0"/>
                <w:noProof/>
                <w:sz w:val="20"/>
              </w:rPr>
            </w:pPr>
          </w:p>
          <w:p w:rsidR="00810F06" w:rsidP="00810F06">
            <w:pPr>
              <w:jc w:val="both"/>
              <w:rPr>
                <w:rFonts w:ascii="Arial Narrow" w:hAnsi="Arial Narrow" w:cs="Times New Roman"/>
                <w:b w:val="0"/>
                <w:noProof/>
                <w:sz w:val="20"/>
              </w:rPr>
            </w:pPr>
          </w:p>
          <w:p w:rsidR="00810F06" w:rsidRPr="00810F06" w:rsidP="00810F06">
            <w:pPr>
              <w:jc w:val="both"/>
              <w:rPr>
                <w:rFonts w:ascii="Arial Narrow" w:hAnsi="Arial Narrow" w:cs="Times New Roman"/>
                <w:b w:val="0"/>
                <w:noProof/>
                <w:sz w:val="20"/>
              </w:rPr>
            </w:pPr>
            <w:r w:rsidRPr="00810F06">
              <w:rPr>
                <w:rFonts w:ascii="Arial Narrow" w:hAnsi="Arial Narrow" w:cs="Times New Roman"/>
                <w:b w:val="0"/>
                <w:noProof/>
                <w:sz w:val="20"/>
              </w:rPr>
              <w:t xml:space="preserve">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p>
          <w:p w:rsidR="00810F06" w:rsidRPr="008735E0" w:rsidP="00AD51FE">
            <w:pPr>
              <w:tabs>
                <w:tab w:val="left" w:pos="360"/>
              </w:tabs>
              <w:jc w:val="both"/>
              <w:rPr>
                <w:rFonts w:ascii="Arial Narrow" w:hAnsi="Arial Narrow" w:cs="Times New Roman"/>
                <w:b w:val="0"/>
                <w:noProof/>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p>
          <w:p w:rsidR="00810F06">
            <w:pPr>
              <w:rPr>
                <w:rFonts w:ascii="Arial Narrow" w:hAnsi="Arial Narrow" w:cs="Times New Roman"/>
                <w:sz w:val="20"/>
              </w:rPr>
            </w:pPr>
          </w:p>
          <w:p w:rsidR="00810F06"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pPr>
              <w:rPr>
                <w:rFonts w:ascii="Arial Narrow" w:hAnsi="Arial Narrow" w:cs="Times New Roman"/>
                <w:sz w:val="20"/>
              </w:rPr>
            </w:pPr>
            <w:r w:rsidRPr="007078D1">
              <w:rPr>
                <w:rFonts w:ascii="Arial Narrow" w:hAnsi="Arial Narrow" w:cs="Times New Roman"/>
                <w:sz w:val="20"/>
              </w:rPr>
              <w:t>Čl.7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Koncentrácia rizík</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Bez toho, aby boli dotknuté sektorové predpisy, uplatňuje sa doplnkový dohľad nad koncentráciou rizík v regulovaných subjektoch finančného konglomerátu v súlade s pravidlami stanovenými v článku 9 ods. 2 až 4, v oddiele 3 tejto kapitoly a v prílohe II.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Členské štáty vyžadujú od regulovaných subjektov alebo zmiešaných finančných holdingových podnikov, aby pravidelne a najmenej raz ročne hlásili koordinátorovi každú významnú koncentráciu rizík na úrovni finančného konglomerátu v súlade s predpismi uvedenými v tomto článku a v prílohe II. Potrebné informácie koordinátorovi predkladá regulovaný subjekt v zmysle článku 1, ktorý je na vrchole finančného konglomerátu, alebo ak na vrchole finančného konglomerátu nie je regulovaný subjekt v zmysle článku 1, zmiešaná finančná holdingová spoločnosť alebo regulovaný subjekt vo finančnom konglomeráte, ktorý koordinátor určí po porade s ostatnými príslušnými orgánmi a s finančným konglomerátom.</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Tieto koncentrácie rizík podliehajú dohľadu koordinátora v súlade s oddielom 3.</w:t>
            </w:r>
          </w:p>
          <w:p w:rsidR="00D1527F" w:rsidP="00C02544">
            <w:pPr>
              <w:pStyle w:val="Normlnywebov8"/>
              <w:spacing w:before="0" w:after="0"/>
              <w:ind w:left="0" w:right="0"/>
              <w:jc w:val="both"/>
              <w:rPr>
                <w:rFonts w:ascii="Arial Narrow" w:hAnsi="Arial Narrow" w:cs="Tahoma"/>
                <w:sz w:val="20"/>
                <w:szCs w:val="20"/>
              </w:rPr>
            </w:pPr>
          </w:p>
          <w:p w:rsidR="00D1527F" w:rsidP="00C02544">
            <w:pPr>
              <w:pStyle w:val="Normlnywebov8"/>
              <w:spacing w:before="0" w:after="0"/>
              <w:ind w:left="0" w:right="0"/>
              <w:jc w:val="both"/>
              <w:rPr>
                <w:rFonts w:ascii="Arial Narrow" w:hAnsi="Arial Narrow" w:cs="Tahoma"/>
                <w:sz w:val="20"/>
                <w:szCs w:val="20"/>
              </w:rPr>
            </w:pPr>
          </w:p>
          <w:p w:rsidR="00D1527F" w:rsidP="00C02544">
            <w:pPr>
              <w:pStyle w:val="Normlnywebov8"/>
              <w:spacing w:before="0" w:after="0"/>
              <w:ind w:left="0" w:right="0"/>
              <w:jc w:val="both"/>
              <w:rPr>
                <w:rFonts w:ascii="Arial Narrow" w:hAnsi="Arial Narrow" w:cs="Tahoma"/>
                <w:sz w:val="20"/>
                <w:szCs w:val="20"/>
              </w:rPr>
            </w:pPr>
          </w:p>
          <w:p w:rsidR="00D1527F" w:rsidP="00C02544">
            <w:pPr>
              <w:pStyle w:val="Normlnywebov8"/>
              <w:spacing w:before="0" w:after="0"/>
              <w:ind w:left="0" w:right="0"/>
              <w:jc w:val="both"/>
              <w:rPr>
                <w:rFonts w:ascii="Arial Narrow" w:hAnsi="Arial Narrow" w:cs="Tahoma"/>
                <w:sz w:val="20"/>
                <w:szCs w:val="20"/>
              </w:rPr>
            </w:pPr>
          </w:p>
          <w:p w:rsidR="00D1527F" w:rsidP="00C02544">
            <w:pPr>
              <w:pStyle w:val="Normlnywebov8"/>
              <w:spacing w:before="0" w:after="0"/>
              <w:ind w:left="0" w:right="0"/>
              <w:jc w:val="both"/>
              <w:rPr>
                <w:rFonts w:ascii="Arial Narrow" w:hAnsi="Arial Narrow" w:cs="Tahoma"/>
                <w:sz w:val="20"/>
                <w:szCs w:val="20"/>
              </w:rPr>
            </w:pPr>
          </w:p>
          <w:p w:rsidR="00D1527F" w:rsidP="00C02544">
            <w:pPr>
              <w:pStyle w:val="Normlnywebov8"/>
              <w:spacing w:before="0" w:after="0"/>
              <w:ind w:left="0" w:right="0"/>
              <w:jc w:val="both"/>
              <w:rPr>
                <w:rFonts w:ascii="Arial Narrow" w:hAnsi="Arial Narrow" w:cs="Tahoma"/>
                <w:sz w:val="20"/>
                <w:szCs w:val="20"/>
              </w:rPr>
            </w:pPr>
          </w:p>
          <w:p w:rsidR="00D1527F" w:rsidP="00C02544">
            <w:pPr>
              <w:pStyle w:val="Normlnywebov8"/>
              <w:spacing w:before="0" w:after="0"/>
              <w:ind w:left="0" w:right="0"/>
              <w:jc w:val="both"/>
              <w:rPr>
                <w:rFonts w:ascii="Arial Narrow" w:hAnsi="Arial Narrow" w:cs="Tahoma"/>
                <w:sz w:val="20"/>
                <w:szCs w:val="20"/>
              </w:rPr>
            </w:pPr>
          </w:p>
          <w:p w:rsidR="00D1527F"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Členské štáty až do ďalšej koordinácie právnych predpisov spoločenstva môžu stanoviť kvantitatívne limity alebo môžu povoliť, aby ich príslušné orgány stanovili kvantitatívne limity, alebo môžu prijať iné opatrenia dohľadu, ktoré zabezpečia ciele doplnkového dohľadu vo vzťahu k akejkoľvek koncentrácii rizík na úrovni finančného konglomerátu.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Ak je na vrchole finančného konglomerátu zmiešaná finančná holdingová spoločnosť, sektorové predpisy týkajúce sa koncentrácie rizík eventuálneho najdôležitejšieho finančného sektora vo finančnom konglomeráte sa uplatnia pre tento sektor ako celok vrátane zmiešanej finančnej holdingovej spoločnosti.</w:t>
            </w:r>
          </w:p>
          <w:p w:rsidR="00065426"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pPr>
              <w:rPr>
                <w:rFonts w:ascii="Arial Narrow" w:hAnsi="Arial Narrow" w:cs="Times New Roman"/>
                <w:sz w:val="20"/>
              </w:rPr>
            </w:pPr>
            <w:r w:rsidR="00D1527F">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pPr>
              <w:rPr>
                <w:rFonts w:ascii="Arial Narrow" w:hAnsi="Arial Narrow" w:cs="Times New Roman"/>
                <w:bCs/>
                <w:sz w:val="20"/>
              </w:rPr>
            </w:pPr>
          </w:p>
          <w:p w:rsidR="006039F3">
            <w:pPr>
              <w:rPr>
                <w:rFonts w:ascii="Arial Narrow" w:hAnsi="Arial Narrow" w:cs="Times New Roman"/>
                <w:bCs/>
                <w:sz w:val="20"/>
              </w:rPr>
            </w:pPr>
          </w:p>
          <w:p w:rsidR="006039F3">
            <w:pPr>
              <w:rPr>
                <w:rFonts w:ascii="Arial Narrow" w:hAnsi="Arial Narrow" w:cs="Times New Roman"/>
                <w:bCs/>
                <w:sz w:val="20"/>
              </w:rPr>
            </w:pPr>
          </w:p>
          <w:p w:rsidR="006039F3">
            <w:pPr>
              <w:rPr>
                <w:rFonts w:ascii="Arial Narrow" w:hAnsi="Arial Narrow" w:cs="Times New Roman"/>
                <w:bCs/>
                <w:sz w:val="20"/>
              </w:rPr>
            </w:pPr>
          </w:p>
          <w:p w:rsidR="006039F3">
            <w:pPr>
              <w:rPr>
                <w:rFonts w:ascii="Arial Narrow" w:hAnsi="Arial Narrow" w:cs="Times New Roman"/>
                <w:bCs/>
                <w:sz w:val="20"/>
              </w:rPr>
            </w:pPr>
          </w:p>
          <w:p w:rsidR="006039F3" w:rsidRPr="007078D1">
            <w:pPr>
              <w:rPr>
                <w:rFonts w:ascii="Arial Narrow" w:hAnsi="Arial Narrow" w:cs="Times New Roman"/>
                <w:bCs/>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59</w:t>
            </w:r>
            <w:r>
              <w:rPr>
                <w:rFonts w:ascii="Arial Narrow" w:hAnsi="Arial Narrow" w:cs="Times New Roman"/>
                <w:lang w:val="sk-SK"/>
              </w:rPr>
              <w:t xml:space="preserve"> ods.1 </w:t>
            </w: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xml:space="preserve">ods.2 </w:t>
            </w: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xml:space="preserve">ods.3 </w:t>
            </w: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P="00E5754A">
            <w:pPr>
              <w:pStyle w:val="FootnoteText"/>
              <w:overflowPunct/>
              <w:adjustRightInd/>
              <w:ind w:right="-70"/>
              <w:textAlignment w:val="auto"/>
              <w:rPr>
                <w:rFonts w:ascii="Arial Narrow" w:hAnsi="Arial Narrow" w:cs="Times New Roman"/>
                <w:lang w:val="sk-SK"/>
              </w:rPr>
            </w:pPr>
          </w:p>
          <w:p w:rsidR="00D1527F" w:rsidRPr="007078D1" w:rsidP="00E5754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ods.4</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754A" w:rsidP="00E5754A">
            <w:pPr>
              <w:jc w:val="both"/>
              <w:rPr>
                <w:rFonts w:ascii="Arial Narrow" w:hAnsi="Arial Narrow" w:cs="Times New Roman"/>
                <w:bCs/>
                <w:sz w:val="20"/>
              </w:rPr>
            </w:pPr>
          </w:p>
          <w:p w:rsidR="00D1527F" w:rsidP="00E5754A">
            <w:pPr>
              <w:jc w:val="both"/>
              <w:rPr>
                <w:rFonts w:ascii="Arial Narrow" w:hAnsi="Arial Narrow" w:cs="Times New Roman"/>
                <w:bCs/>
                <w:sz w:val="20"/>
              </w:rPr>
            </w:pPr>
          </w:p>
          <w:p w:rsidR="00D1527F" w:rsidP="00E5754A">
            <w:pPr>
              <w:jc w:val="both"/>
              <w:rPr>
                <w:rFonts w:ascii="Arial Narrow" w:hAnsi="Arial Narrow" w:cs="Times New Roman"/>
                <w:bCs/>
                <w:sz w:val="20"/>
              </w:rPr>
            </w:pPr>
          </w:p>
          <w:p w:rsidR="00D1527F" w:rsidP="00E5754A">
            <w:pPr>
              <w:jc w:val="both"/>
              <w:rPr>
                <w:rFonts w:ascii="Arial Narrow" w:hAnsi="Arial Narrow" w:cs="Times New Roman"/>
                <w:bCs/>
                <w:sz w:val="20"/>
              </w:rPr>
            </w:pPr>
          </w:p>
          <w:p w:rsidR="00D1527F" w:rsidP="00E5754A">
            <w:pPr>
              <w:jc w:val="both"/>
              <w:rPr>
                <w:rFonts w:ascii="Arial Narrow" w:hAnsi="Arial Narrow" w:cs="Times New Roman"/>
                <w:bCs/>
                <w:sz w:val="20"/>
              </w:rPr>
            </w:pPr>
          </w:p>
          <w:p w:rsidR="00D1527F" w:rsidRPr="00D1527F" w:rsidP="00D1527F">
            <w:pPr>
              <w:jc w:val="both"/>
              <w:rPr>
                <w:rFonts w:ascii="Arial Narrow" w:hAnsi="Arial Narrow" w:cs="Times New Roman"/>
                <w:b w:val="0"/>
                <w:noProof/>
                <w:sz w:val="20"/>
              </w:rPr>
            </w:pPr>
            <w:r w:rsidRPr="00D1527F">
              <w:rPr>
                <w:rFonts w:ascii="Arial Narrow" w:hAnsi="Arial Narrow" w:cs="Times New Roman"/>
                <w:b w:val="0"/>
                <w:noProof/>
                <w:sz w:val="20"/>
              </w:rPr>
              <w:t xml:space="preserve">Poisťovňa alebo zaisťovňa, ktorá ovláda finančný konglomerát je povinná k 31. marcu kalendárneho roka alebo na žiadosť Národnej banky Slovenska predkladať Národnej banke Slovenska údaje o koncentrácií rizík finančného konglomerátu. Ak finančný konglomerát nie je ovládaný poisťovňou alebo zaisťovňou,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D1527F" w:rsidRPr="00D1527F" w:rsidP="00D1527F">
            <w:pPr>
              <w:jc w:val="both"/>
              <w:rPr>
                <w:rFonts w:ascii="Arial Narrow" w:hAnsi="Arial Narrow" w:cs="Times New Roman"/>
                <w:b w:val="0"/>
                <w:noProof/>
                <w:sz w:val="20"/>
              </w:rPr>
            </w:pPr>
            <w:r w:rsidRPr="00D1527F">
              <w:rPr>
                <w:rFonts w:ascii="Arial Narrow" w:hAnsi="Arial Narrow" w:cs="Times New Roman"/>
                <w:b w:val="0"/>
                <w:noProof/>
                <w:sz w:val="20"/>
              </w:rPr>
              <w:t>Koncentráciou rizík finančného konglomerátu sa na účely doplňujúceho dohľadu rozumie každá činnosť osôb tvoriacich súčasť finančného konglomerátu, ktorá môže spôsobiť takú stratu, ktorá môže ohroziť platobnú schopnosť a bezpečnosť regulovaných osôb tvoriacich súčasť finančného konglomerátu; takáto koncentrácia môže byť v riziku protistrany, úverovom riziku, investičnom riziku, poistnom riziku, trhovom riziku, riziku likvidity, operačnom riziku a inom riziku alebo kombinácii týchto rizík.</w:t>
            </w:r>
          </w:p>
          <w:p w:rsidR="00D1527F" w:rsidRPr="00D1527F" w:rsidP="00D1527F">
            <w:pPr>
              <w:jc w:val="both"/>
              <w:rPr>
                <w:rFonts w:ascii="Arial Narrow" w:hAnsi="Arial Narrow" w:cs="Times New Roman"/>
                <w:b w:val="0"/>
                <w:noProof/>
                <w:sz w:val="20"/>
              </w:rPr>
            </w:pPr>
            <w:r w:rsidRPr="00D1527F">
              <w:rPr>
                <w:rFonts w:ascii="Arial Narrow" w:hAnsi="Arial Narrow" w:cs="Times New Roman"/>
                <w:b w:val="0"/>
                <w:noProof/>
                <w:sz w:val="20"/>
              </w:rPr>
              <w:t>Ak finančný konglomerát ovláda poisťovňa alebo zaisťovňa, vzťahuje sa na koncentráciu rizík finančného konglomerátu rovnako § 34. Ak finančný konglomerát ovláda iná regulovaná osoba, vzťahujú sa na koncentráciu rizík finančného konglomerátu primerane ustanovenia osobitného predpisu.</w:t>
            </w:r>
          </w:p>
          <w:p w:rsidR="00D1527F" w:rsidRPr="00D1527F" w:rsidP="00D1527F">
            <w:pPr>
              <w:jc w:val="both"/>
              <w:rPr>
                <w:rFonts w:ascii="Arial Narrow" w:hAnsi="Arial Narrow" w:cs="Times New Roman"/>
                <w:b w:val="0"/>
                <w:noProof/>
                <w:sz w:val="20"/>
              </w:rPr>
            </w:pPr>
            <w:r w:rsidRPr="00D1527F">
              <w:rPr>
                <w:rFonts w:ascii="Arial Narrow" w:hAnsi="Arial Narrow" w:cs="Times New Roman"/>
                <w:b w:val="0"/>
                <w:noProof/>
                <w:sz w:val="20"/>
              </w:rPr>
              <w:t xml:space="preserve">Ak finančný konglomerát ovláda zmiešaná finančná holdingová spoločnosť a ak je najvýznamnejším finančným sektorom vo finančnom konglomeráte sektor poisťovníctva, vzťahujú sa na koncentráciu rizík sektora poisťovníctva a zmiešanej finančnej holdingovej spoločnosti primerane ustanovenia § 34. </w:t>
            </w:r>
          </w:p>
          <w:p w:rsidR="00D1527F" w:rsidRPr="00E5754A" w:rsidP="00E5754A">
            <w:pPr>
              <w:jc w:val="both"/>
              <w:rPr>
                <w:rFonts w:ascii="Arial Narrow" w:hAnsi="Arial Narrow" w:cs="Times New Roman"/>
                <w:bCs/>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rsidRPr="007078D1">
            <w:pPr>
              <w:rPr>
                <w:rFonts w:ascii="Arial Narrow" w:hAnsi="Arial Narrow" w:cs="Times New Roman"/>
                <w:sz w:val="20"/>
              </w:rPr>
            </w:pPr>
            <w:r w:rsidR="00D1527F">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527F" w:rsidRPr="00D1527F" w:rsidP="00D1527F">
            <w:pPr>
              <w:pStyle w:val="TABUKA-textsmernice"/>
              <w:jc w:val="left"/>
              <w:rPr>
                <w:rFonts w:ascii="Arial Narrow" w:hAnsi="Arial Narrow" w:cs="Times New Roman"/>
                <w:szCs w:val="20"/>
              </w:rPr>
            </w:pPr>
            <w:r w:rsidRPr="00D1527F">
              <w:rPr>
                <w:rFonts w:ascii="Arial Narrow" w:hAnsi="Arial Narrow" w:cs="Times New Roman"/>
                <w:szCs w:val="20"/>
              </w:rPr>
              <w:t>Týmto nie sú dotknuté ust. o koncentrácii rizík v sektorových predp</w:t>
            </w:r>
            <w:r w:rsidRPr="00D1527F">
              <w:rPr>
                <w:rFonts w:ascii="Arial Narrow" w:hAnsi="Arial Narrow" w:cs="Times New Roman"/>
                <w:szCs w:val="20"/>
              </w:rPr>
              <w:t>isoch – zákon o banká</w:t>
            </w:r>
            <w:r w:rsidR="001417D8">
              <w:rPr>
                <w:rFonts w:ascii="Arial Narrow" w:hAnsi="Arial Narrow" w:cs="Times New Roman"/>
                <w:szCs w:val="20"/>
              </w:rPr>
              <w:t>ch, z. o CP</w:t>
            </w:r>
          </w:p>
          <w:p w:rsidR="00D1527F" w:rsidRPr="00D1527F" w:rsidP="00D1527F">
            <w:pPr>
              <w:pStyle w:val="TABUKA-textsmernice"/>
              <w:jc w:val="left"/>
              <w:rPr>
                <w:rFonts w:ascii="Arial Narrow" w:hAnsi="Arial Narrow" w:cs="Times New Roman"/>
                <w:szCs w:val="20"/>
              </w:rPr>
            </w:pPr>
          </w:p>
          <w:p w:rsidR="00065426" w:rsidRPr="007078D1">
            <w:pPr>
              <w:pStyle w:val="FootnoteText"/>
              <w:overflowPunct/>
              <w:adjustRightInd/>
              <w:textAlignment w:val="auto"/>
              <w:rPr>
                <w:rFonts w:ascii="Arial Narrow" w:hAnsi="Arial Narrow" w:cs="Times New Roman"/>
                <w:lang w:val="sk-SK"/>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65426" w:rsidRPr="007078D1">
            <w:pPr>
              <w:pStyle w:val="FootnoteText"/>
              <w:overflowPunct/>
              <w:adjustRightInd/>
              <w:textAlignment w:val="auto"/>
              <w:rPr>
                <w:rFonts w:ascii="Arial Narrow" w:hAnsi="Arial Narrow" w:cs="Times New Roman"/>
                <w:lang w:val="sk-SK"/>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r w:rsidRPr="007078D1">
              <w:rPr>
                <w:rFonts w:ascii="Arial Narrow" w:hAnsi="Arial Narrow" w:cs="Times New Roman"/>
                <w:sz w:val="20"/>
              </w:rPr>
              <w:t>Čl.8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Vnútroskupinové transakcie</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Bez toho, aby boli dotknuté sektorové predpisy, doplnkový dohľad nad vnútroskupinovými transakciami regulovaných subjektov vo finančnom konglomeráte sa vykonáva v súlade s predpismi uvedenými v článku 9 ods. 2 až 4, v oddiele 3 tejto kapitoly a v prílohe II.</w:t>
            </w:r>
          </w:p>
          <w:p w:rsidR="001417D8"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Členské štáty musia vyžadovať, aby regulované subjekty alebo zmiešané finančné holdingové spoločnosti pravidelne a najmenej raz ročne hlásili koordinátorovi všetky významné vnútroskupinové transakcie regulovaných subjektov vo finančnom konglomeráte v súlade s pravidlami uvedenými v tomto článku a v prílohe II. Keďže nie je vypracovaná žiadna definícia limitov uvedených v poslednej vete prvého odseku prílohy II, vnútroskupinová transakcia sa považuje za významnú, ak jej suma prevyšuje najmenej 5 % celkovej výšky povinnej kapitálovej primeranosti na úrovni finančného konglomerátu.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Potrebné informácie musí koordinátorovi predkladať regulovaný subjekt v zmysle článku 1, ktorý je na vrchole finančného konglomerátu, alebo ak na vrchole finančného konglomerátu nie je regulovaný subjekt v zmysle článku 1, zmiešaná finančná holdingová spoločnosť alebo regulovaný subjekt vo finančnom konglomeráte, ktorý koordinátor určí po konzultácii s ostatnými príslušnými orgánmi a s finančným konglomerátom.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Tieto vnútroskupinové transakcie podliehajú dohľadu koordinátora.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Členské štáty až do ďalšej koordinácie právnych predpisov spoločenstva môžu stanoviť kvantitatívne limity a kvalitatívne požiadavky, alebo môžu povoliť svojim príslušným orgánom, aby stanovili kvantitatívne limity a kvalitatívne požiadavky, alebo môžu prijať iné opatrenia dohľadu, ktoré zabezpečia ciele doplnkového dohľadu vo vzťahu k vnútroskupinovým transakciám regulovaných subjektov vo finančnom konglomeráte.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Ak na vrchole finančného konglomerátu stojí zmiešaná finančná holdingová spoločnosť, sektorové predpisy týkajúce sa vnútroskupinových transakcií najdôležitejšieho finančného sektora vo finančnom konglomeráte platia pre tento sektor ako celok vrátane zmiešanej finančnej holdingovej spoločnosti.</w:t>
            </w:r>
          </w:p>
          <w:p w:rsidR="00D1040A" w:rsidRPr="00C02544" w:rsidP="00C02544">
            <w:pPr>
              <w:jc w:val="both"/>
              <w:rPr>
                <w:rFonts w:ascii="Arial Narrow" w:hAnsi="Arial Narrow" w:cs="Times New Roman"/>
                <w:b w:val="0"/>
                <w:noProof/>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p>
          <w:p w:rsidR="001417D8">
            <w:pPr>
              <w:rPr>
                <w:rFonts w:ascii="Arial Narrow" w:hAnsi="Arial Narrow" w:cs="Times New Roman"/>
                <w:sz w:val="20"/>
              </w:rPr>
            </w:pPr>
            <w:r>
              <w:rPr>
                <w:rFonts w:ascii="Arial Narrow" w:hAnsi="Arial Narrow" w:cs="Times New Roman"/>
                <w:sz w:val="20"/>
              </w:rPr>
              <w:t>N</w:t>
            </w: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r>
              <w:rPr>
                <w:rFonts w:ascii="Arial Narrow" w:hAnsi="Arial Narrow" w:cs="Times New Roman"/>
                <w:sz w:val="20"/>
              </w:rPr>
              <w:t>D</w:t>
            </w: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pPr>
              <w:rPr>
                <w:rFonts w:ascii="Arial Narrow" w:hAnsi="Arial Narrow" w:cs="Times New Roman"/>
                <w:sz w:val="20"/>
              </w:rPr>
            </w:pPr>
          </w:p>
          <w:p w:rsidR="001417D8"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bCs/>
                <w:sz w:val="20"/>
              </w:rPr>
            </w:pPr>
          </w:p>
          <w:p w:rsidR="006039F3">
            <w:pPr>
              <w:rPr>
                <w:rFonts w:ascii="Arial Narrow" w:hAnsi="Arial Narrow" w:cs="Times New Roman"/>
                <w:bCs/>
                <w:sz w:val="20"/>
              </w:rPr>
            </w:pPr>
          </w:p>
          <w:p w:rsidR="006039F3">
            <w:pPr>
              <w:rPr>
                <w:rFonts w:ascii="Arial Narrow" w:hAnsi="Arial Narrow" w:cs="Times New Roman"/>
                <w:bCs/>
                <w:sz w:val="20"/>
              </w:rPr>
            </w:pPr>
          </w:p>
          <w:p w:rsidR="006039F3">
            <w:pPr>
              <w:rPr>
                <w:rFonts w:ascii="Arial Narrow" w:hAnsi="Arial Narrow" w:cs="Times New Roman"/>
                <w:bCs/>
                <w:sz w:val="20"/>
              </w:rPr>
            </w:pPr>
          </w:p>
          <w:p w:rsidR="006039F3">
            <w:pPr>
              <w:rPr>
                <w:rFonts w:ascii="Arial Narrow" w:hAnsi="Arial Narrow" w:cs="Times New Roman"/>
                <w:bCs/>
                <w:sz w:val="20"/>
              </w:rPr>
            </w:pPr>
          </w:p>
          <w:p w:rsidR="006039F3">
            <w:pPr>
              <w:rPr>
                <w:rFonts w:ascii="Arial Narrow" w:hAnsi="Arial Narrow" w:cs="Times New Roman"/>
                <w:bCs/>
                <w:sz w:val="20"/>
              </w:rPr>
            </w:pPr>
          </w:p>
          <w:p w:rsidR="006039F3" w:rsidRPr="007078D1">
            <w:pPr>
              <w:rPr>
                <w:rFonts w:ascii="Arial Narrow" w:hAnsi="Arial Narrow" w:cs="Times New Roman"/>
                <w:bCs/>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3583F" w:rsidP="00D1040A">
            <w:pPr>
              <w:pStyle w:val="FootnoteText"/>
              <w:overflowPunct/>
              <w:adjustRightInd/>
              <w:ind w:right="-70"/>
              <w:textAlignment w:val="auto"/>
              <w:rPr>
                <w:rFonts w:ascii="Arial Narrow" w:hAnsi="Arial Narrow" w:cs="Times New Roman"/>
                <w:lang w:val="sk-SK"/>
              </w:rPr>
            </w:pPr>
          </w:p>
          <w:p w:rsidR="0073583F" w:rsidP="00D1040A">
            <w:pPr>
              <w:pStyle w:val="FootnoteText"/>
              <w:overflowPunct/>
              <w:adjustRightInd/>
              <w:ind w:right="-70"/>
              <w:textAlignment w:val="auto"/>
              <w:rPr>
                <w:rFonts w:ascii="Arial Narrow" w:hAnsi="Arial Narrow" w:cs="Times New Roman"/>
                <w:lang w:val="sk-SK"/>
              </w:rPr>
            </w:pPr>
          </w:p>
          <w:p w:rsidR="0073583F" w:rsidP="00D1040A">
            <w:pPr>
              <w:pStyle w:val="FootnoteText"/>
              <w:overflowPunct/>
              <w:adjustRightInd/>
              <w:ind w:right="-70"/>
              <w:textAlignment w:val="auto"/>
              <w:rPr>
                <w:rFonts w:ascii="Arial Narrow" w:hAnsi="Arial Narrow" w:cs="Times New Roman"/>
                <w:lang w:val="sk-SK"/>
              </w:rPr>
            </w:pPr>
          </w:p>
          <w:p w:rsidR="0073583F" w:rsidP="00D1040A">
            <w:pPr>
              <w:pStyle w:val="FootnoteText"/>
              <w:overflowPunct/>
              <w:adjustRightInd/>
              <w:ind w:right="-70"/>
              <w:textAlignment w:val="auto"/>
              <w:rPr>
                <w:rFonts w:ascii="Arial Narrow" w:hAnsi="Arial Narrow" w:cs="Times New Roman"/>
                <w:lang w:val="sk-SK"/>
              </w:rPr>
            </w:pPr>
          </w:p>
          <w:p w:rsidR="0073583F" w:rsidP="00D1040A">
            <w:pPr>
              <w:pStyle w:val="FootnoteText"/>
              <w:overflowPunct/>
              <w:adjustRightInd/>
              <w:ind w:right="-70"/>
              <w:textAlignment w:val="auto"/>
              <w:rPr>
                <w:rFonts w:ascii="Arial Narrow" w:hAnsi="Arial Narrow" w:cs="Times New Roman"/>
                <w:lang w:val="sk-SK"/>
              </w:rPr>
            </w:pPr>
          </w:p>
          <w:p w:rsidR="0073583F"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xml:space="preserve">§ 60 ods.1 </w:t>
            </w: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00454D"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xml:space="preserve">ods.2 </w:t>
            </w: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xml:space="preserve">ods.3 </w:t>
            </w: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 xml:space="preserve">ods.1 </w:t>
            </w: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2211F"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P="00D1040A">
            <w:pPr>
              <w:pStyle w:val="FootnoteText"/>
              <w:overflowPunct/>
              <w:adjustRightInd/>
              <w:ind w:right="-70"/>
              <w:textAlignment w:val="auto"/>
              <w:rPr>
                <w:rFonts w:ascii="Arial Narrow" w:hAnsi="Arial Narrow" w:cs="Times New Roman"/>
                <w:lang w:val="sk-SK"/>
              </w:rPr>
            </w:pPr>
          </w:p>
          <w:p w:rsidR="001417D8" w:rsidRPr="007078D1" w:rsidP="00D1040A">
            <w:pPr>
              <w:pStyle w:val="FootnoteText"/>
              <w:overflowPunct/>
              <w:adjustRightInd/>
              <w:ind w:right="-70"/>
              <w:textAlignment w:val="auto"/>
              <w:rPr>
                <w:rFonts w:ascii="Arial Narrow" w:hAnsi="Arial Narrow" w:cs="Times New Roman"/>
                <w:lang w:val="sk-SK"/>
              </w:rPr>
            </w:pPr>
            <w:r>
              <w:rPr>
                <w:rFonts w:ascii="Arial Narrow" w:hAnsi="Arial Narrow" w:cs="Times New Roman"/>
                <w:lang w:val="sk-SK"/>
              </w:rPr>
              <w:t>ods.4</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70DB" w:rsidP="00E270DB">
            <w:pPr>
              <w:jc w:val="both"/>
              <w:rPr>
                <w:rFonts w:ascii="Arial Narrow" w:hAnsi="Arial Narrow" w:cs="Times New Roman"/>
                <w:bCs/>
                <w:sz w:val="20"/>
              </w:rPr>
            </w:pPr>
          </w:p>
          <w:p w:rsidR="0073583F" w:rsidP="001417D8">
            <w:pPr>
              <w:jc w:val="both"/>
              <w:rPr>
                <w:rFonts w:ascii="Arial Narrow" w:hAnsi="Arial Narrow" w:cs="Times New Roman"/>
                <w:b w:val="0"/>
                <w:noProof/>
                <w:sz w:val="20"/>
              </w:rPr>
            </w:pPr>
          </w:p>
          <w:p w:rsidR="0073583F" w:rsidP="001417D8">
            <w:pPr>
              <w:jc w:val="both"/>
              <w:rPr>
                <w:rFonts w:ascii="Arial Narrow" w:hAnsi="Arial Narrow" w:cs="Times New Roman"/>
                <w:b w:val="0"/>
                <w:noProof/>
                <w:sz w:val="20"/>
              </w:rPr>
            </w:pPr>
          </w:p>
          <w:p w:rsidR="0073583F" w:rsidP="001417D8">
            <w:pPr>
              <w:jc w:val="both"/>
              <w:rPr>
                <w:rFonts w:ascii="Arial Narrow" w:hAnsi="Arial Narrow" w:cs="Times New Roman"/>
                <w:b w:val="0"/>
                <w:noProof/>
                <w:sz w:val="20"/>
              </w:rPr>
            </w:pPr>
          </w:p>
          <w:p w:rsidR="0073583F" w:rsidP="001417D8">
            <w:pPr>
              <w:jc w:val="both"/>
              <w:rPr>
                <w:rFonts w:ascii="Arial Narrow" w:hAnsi="Arial Narrow" w:cs="Times New Roman"/>
                <w:b w:val="0"/>
                <w:noProof/>
                <w:sz w:val="20"/>
              </w:rPr>
            </w:pPr>
          </w:p>
          <w:p w:rsidR="0073583F" w:rsidP="001417D8">
            <w:pPr>
              <w:jc w:val="both"/>
              <w:rPr>
                <w:rFonts w:ascii="Arial Narrow" w:hAnsi="Arial Narrow" w:cs="Times New Roman"/>
                <w:b w:val="0"/>
                <w:noProof/>
                <w:sz w:val="20"/>
              </w:rPr>
            </w:pPr>
          </w:p>
          <w:p w:rsidR="001417D8" w:rsidRPr="001417D8" w:rsidP="001417D8">
            <w:pPr>
              <w:jc w:val="both"/>
              <w:rPr>
                <w:rFonts w:ascii="Arial Narrow" w:hAnsi="Arial Narrow" w:cs="Times New Roman"/>
                <w:b w:val="0"/>
                <w:noProof/>
                <w:sz w:val="20"/>
              </w:rPr>
            </w:pPr>
            <w:r w:rsidRPr="001417D8">
              <w:rPr>
                <w:rFonts w:ascii="Arial Narrow" w:hAnsi="Arial Narrow" w:cs="Times New Roman"/>
                <w:b w:val="0"/>
                <w:noProof/>
                <w:sz w:val="20"/>
              </w:rPr>
              <w:t>Poisťovňa alebo zaisťovňa, ktorá ovláda finančný konglomerát je povinná na žiadosť Národnej banky Slovenska, najmenej však raz ročne k 31. marcu kalendárneho roka predkladať Národnej banke Slovenska údaje o významných vnútroskupinových obchodoch</w:t>
            </w:r>
            <w:r w:rsidR="0000454D">
              <w:rPr>
                <w:rFonts w:ascii="Arial Narrow" w:hAnsi="Arial Narrow" w:cs="Times New Roman"/>
                <w:b w:val="0"/>
                <w:noProof/>
                <w:sz w:val="20"/>
              </w:rPr>
              <w:t xml:space="preserve"> finančného konglomerátu</w:t>
            </w:r>
            <w:r w:rsidRPr="001417D8">
              <w:rPr>
                <w:rFonts w:ascii="Arial Narrow" w:hAnsi="Arial Narrow" w:cs="Times New Roman"/>
                <w:b w:val="0"/>
                <w:noProof/>
                <w:sz w:val="20"/>
              </w:rPr>
              <w:t xml:space="preserve">.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1417D8" w:rsidP="001417D8">
            <w:pPr>
              <w:jc w:val="both"/>
              <w:rPr>
                <w:rFonts w:ascii="Arial Narrow" w:hAnsi="Arial Narrow" w:cs="Times New Roman"/>
                <w:b w:val="0"/>
                <w:noProof/>
                <w:sz w:val="20"/>
              </w:rPr>
            </w:pPr>
            <w:r w:rsidRPr="001417D8">
              <w:rPr>
                <w:rFonts w:ascii="Arial Narrow" w:hAnsi="Arial Narrow" w:cs="Times New Roman"/>
                <w:b w:val="0"/>
                <w:noProof/>
                <w:sz w:val="20"/>
              </w:rPr>
              <w:t>Vnútroskupinovým obchodom sa na účely tohto zákona rozumie obchod, v ktorom regulované osoby tvoriace súčasť finančného konglomerátu priamo alebo nepriamo využívajú iné spoločnosti tej istej skupiny alebo fyzickú osobu alebo právnickú osobu, ktoré ovládajú na splnenie povinnosti, a to bez ohľadu na to, či je táto povinnosť určená zmluvou a či je splnenie tejto povinnosti za úhradu.</w:t>
            </w:r>
          </w:p>
          <w:p w:rsidR="001417D8" w:rsidP="001417D8">
            <w:pPr>
              <w:jc w:val="both"/>
              <w:rPr>
                <w:rFonts w:ascii="Arial Narrow" w:hAnsi="Arial Narrow" w:cs="Times New Roman"/>
                <w:b w:val="0"/>
                <w:noProof/>
                <w:sz w:val="20"/>
              </w:rPr>
            </w:pPr>
            <w:r w:rsidRPr="001417D8">
              <w:rPr>
                <w:rFonts w:ascii="Arial Narrow" w:hAnsi="Arial Narrow" w:cs="Times New Roman"/>
                <w:b w:val="0"/>
                <w:noProof/>
                <w:sz w:val="20"/>
              </w:rPr>
              <w:t>Významným vnútroskupinovým obchodom sa na účely doplňujúceho dohľadu rozumie vnútroskupinový obchod, ktorého výška je najmenej 5 % zo zistenej výšky vlastných zdrojov na úrovni finančného konglomerátu podľa § 58 ods. 9 písm. a).</w:t>
            </w:r>
          </w:p>
          <w:p w:rsidR="001417D8" w:rsidRPr="001417D8" w:rsidP="001417D8">
            <w:pPr>
              <w:jc w:val="both"/>
              <w:rPr>
                <w:rFonts w:ascii="Arial Narrow" w:hAnsi="Arial Narrow" w:cs="Times New Roman"/>
                <w:b w:val="0"/>
                <w:noProof/>
                <w:sz w:val="20"/>
              </w:rPr>
            </w:pPr>
          </w:p>
          <w:p w:rsidR="0012211F" w:rsidRPr="001417D8" w:rsidP="0012211F">
            <w:pPr>
              <w:jc w:val="both"/>
              <w:rPr>
                <w:rFonts w:ascii="Arial Narrow" w:hAnsi="Arial Narrow" w:cs="Times New Roman"/>
                <w:b w:val="0"/>
                <w:noProof/>
                <w:sz w:val="20"/>
              </w:rPr>
            </w:pPr>
            <w:r w:rsidRPr="001417D8">
              <w:rPr>
                <w:rFonts w:ascii="Arial Narrow" w:hAnsi="Arial Narrow" w:cs="Times New Roman"/>
                <w:b w:val="0"/>
                <w:noProof/>
                <w:sz w:val="20"/>
              </w:rPr>
              <w:t>Poisťovňa alebo zaisťovňa, ktorá ovláda finančný konglomerát je povinná na žiadosť Národnej banky Slovenska, najmenej však raz ročne k 31. marcu kalendárneho roka predkladať Národnej banke Slovenska údaje o významných vnútroskupinových obchodoch</w:t>
            </w:r>
            <w:r>
              <w:rPr>
                <w:rFonts w:ascii="Arial Narrow" w:hAnsi="Arial Narrow" w:cs="Times New Roman"/>
                <w:b w:val="0"/>
                <w:noProof/>
                <w:sz w:val="20"/>
              </w:rPr>
              <w:t xml:space="preserve"> finančného konglomerátu</w:t>
            </w:r>
            <w:r w:rsidRPr="001417D8">
              <w:rPr>
                <w:rFonts w:ascii="Arial Narrow" w:hAnsi="Arial Narrow" w:cs="Times New Roman"/>
                <w:b w:val="0"/>
                <w:noProof/>
                <w:sz w:val="20"/>
              </w:rPr>
              <w:t xml:space="preserve">.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1417D8" w:rsidP="00E270DB">
            <w:pPr>
              <w:jc w:val="both"/>
              <w:rPr>
                <w:rFonts w:ascii="Arial Narrow" w:hAnsi="Arial Narrow" w:cs="Times New Roman"/>
                <w:sz w:val="20"/>
              </w:rPr>
            </w:pPr>
          </w:p>
          <w:p w:rsidR="001417D8" w:rsidRPr="001417D8" w:rsidP="00E270DB">
            <w:pPr>
              <w:jc w:val="both"/>
              <w:rPr>
                <w:rFonts w:ascii="Arial Narrow" w:hAnsi="Arial Narrow" w:cs="Times New Roman"/>
                <w:bCs/>
                <w:sz w:val="20"/>
              </w:rPr>
            </w:pPr>
            <w:r w:rsidRPr="001417D8">
              <w:rPr>
                <w:rFonts w:ascii="Arial Narrow" w:hAnsi="Arial Narrow" w:cs="Times New Roman"/>
                <w:sz w:val="20"/>
              </w:rPr>
              <w:t>Pri významných vnútroskupinových obchodoch s osobami s osobitným vzťahom sa postupuje podľa osobitného zákona.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80A06">
            <w:pPr>
              <w:rPr>
                <w:rFonts w:ascii="Arial Narrow" w:hAnsi="Arial Narrow" w:cs="Times New Roman"/>
                <w:sz w:val="20"/>
              </w:rPr>
            </w:pPr>
          </w:p>
          <w:p w:rsidR="001417D8"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1417D8">
            <w:pPr>
              <w:rPr>
                <w:rFonts w:ascii="Arial Narrow" w:hAnsi="Arial Narrow" w:cs="Times New Roman"/>
                <w:sz w:val="20"/>
              </w:rPr>
            </w:pPr>
            <w:r w:rsidRPr="001417D8" w:rsidR="001417D8">
              <w:rPr>
                <w:rFonts w:ascii="Arial Narrow" w:hAnsi="Arial Narrow" w:cs="Times New Roman"/>
                <w:sz w:val="20"/>
              </w:rPr>
              <w:t xml:space="preserve">Týmto nie sú dotknuté ust. o vnútroskupinových transakciách v sektorových </w:t>
            </w:r>
            <w:r w:rsidRPr="001417D8" w:rsidR="001417D8">
              <w:rPr>
                <w:rFonts w:ascii="Arial Narrow" w:hAnsi="Arial Narrow" w:cs="Times New Roman"/>
                <w:sz w:val="20"/>
              </w:rPr>
              <w:t>predpisoch – zákon o bankách, z. o CP</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r w:rsidRPr="007078D1">
              <w:rPr>
                <w:rFonts w:ascii="Arial Narrow" w:hAnsi="Arial Narrow" w:cs="Times New Roman"/>
                <w:sz w:val="20"/>
              </w:rPr>
              <w:t>Čl.9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Mechanizmy vnútornej kontroly a postupy riadenia rizík</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Členské štáty musia vyžadovať, aby regulované subjekty mali na úrovni finančného konglomerátu zavedené primerané postupy riadenia rizík a mechanizmy vnútornej kontroly vrátane riadnych správnych a účtovných postupov.</w:t>
            </w:r>
          </w:p>
          <w:p w:rsidR="00AA230E" w:rsidP="00C02544">
            <w:pPr>
              <w:pStyle w:val="Normlnywebov8"/>
              <w:spacing w:before="0" w:after="0"/>
              <w:ind w:left="0" w:right="0"/>
              <w:jc w:val="both"/>
              <w:rPr>
                <w:rFonts w:ascii="Arial Narrow" w:hAnsi="Arial Narrow" w:cs="Tahoma"/>
                <w:sz w:val="20"/>
                <w:szCs w:val="20"/>
              </w:rPr>
            </w:pPr>
          </w:p>
          <w:p w:rsidR="00AA230E" w:rsidP="00C02544">
            <w:pPr>
              <w:pStyle w:val="Normlnywebov8"/>
              <w:spacing w:before="0" w:after="0"/>
              <w:ind w:left="0" w:right="0"/>
              <w:jc w:val="both"/>
              <w:rPr>
                <w:rFonts w:ascii="Arial Narrow" w:hAnsi="Arial Narrow" w:cs="Tahoma"/>
                <w:sz w:val="20"/>
                <w:szCs w:val="20"/>
              </w:rPr>
            </w:pPr>
          </w:p>
          <w:p w:rsidR="00AA230E"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Medzi postupy riadenia rizík patrí:</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riadne vedenie a správne riadenie so schvaľovaním a pravidelnou kontrolou stratégie a politiky príslušným riadiacim orgánom na úrovni finančného konglomerátu vo vzťahu ku všetkým rizikám, ktoré preberajú;</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vhodná politika kapitálovej primeranosti na predvídanie vplyvu ich obchodnej stratégie na rizikový profil a kapitálové požiadavky určené podľa článku 6 a prílohy I;</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primerané postupy na zabezpečenie, aby ich systémy monitorovania rizika boli dobre integrované do ich organizácie a aby sa prijali všetky opatrenia na zabezpečenie, aby systémy vykonávané vo všetkých spoločnostiach zahrnutých do predmetu doplnkového dohľadu boli konzistentné, čo umožní merať, monitorovať a kontrolovať všetky riziká na úrovni finančného konglomerátu.</w:t>
            </w:r>
          </w:p>
          <w:p w:rsidR="00AA230E"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Mechanizmy vnútornej kontroly zahŕňajú:</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primerané mechanizmy vo vzťahu ku kapitálovej primeranosti na identifikáciu a meranie všetkých nadobudnutých závažných rizík a na primerané priraďovanie vlastných fondov k rizikám;</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správne spravodajské a účtovné postupy na identifikáciu, meranie, monitorovanie a kontrolu vnútroskupinových transakcií a koncentrácie rizík.</w:t>
            </w:r>
          </w:p>
          <w:p w:rsidR="00BF4577" w:rsidP="00C02544">
            <w:pPr>
              <w:pStyle w:val="Normlnywebov8"/>
              <w:spacing w:before="0" w:after="0"/>
              <w:ind w:left="0" w:right="0"/>
              <w:jc w:val="both"/>
              <w:rPr>
                <w:rFonts w:ascii="Arial Narrow" w:hAnsi="Arial Narrow" w:cs="Tahoma"/>
                <w:sz w:val="20"/>
                <w:szCs w:val="20"/>
              </w:rPr>
            </w:pPr>
          </w:p>
          <w:p w:rsidR="00BF4577" w:rsidP="00C02544">
            <w:pPr>
              <w:pStyle w:val="Normlnywebov8"/>
              <w:spacing w:before="0" w:after="0"/>
              <w:ind w:left="0" w:right="0"/>
              <w:jc w:val="both"/>
              <w:rPr>
                <w:rFonts w:ascii="Arial Narrow" w:hAnsi="Arial Narrow" w:cs="Tahoma"/>
                <w:sz w:val="20"/>
                <w:szCs w:val="20"/>
              </w:rPr>
            </w:pPr>
          </w:p>
          <w:p w:rsidR="00BF4577" w:rsidRPr="00C02544" w:rsidP="00C02544">
            <w:pPr>
              <w:pStyle w:val="Normlnywebov8"/>
              <w:spacing w:before="0" w:after="0"/>
              <w:ind w:left="0" w:right="0"/>
              <w:jc w:val="both"/>
              <w:rPr>
                <w:rFonts w:ascii="Arial Narrow" w:hAnsi="Arial Narrow" w:cs="Tahoma"/>
                <w:sz w:val="20"/>
                <w:szCs w:val="20"/>
              </w:rPr>
            </w:pPr>
          </w:p>
          <w:p w:rsidR="008735E0" w:rsidRPr="00BF4577" w:rsidP="00C02544">
            <w:pPr>
              <w:pStyle w:val="Normlnywebov8"/>
              <w:spacing w:before="0" w:after="0"/>
              <w:ind w:left="0" w:right="0"/>
              <w:jc w:val="both"/>
              <w:rPr>
                <w:rFonts w:ascii="Arial Narrow" w:hAnsi="Arial Narrow" w:cs="Tahoma"/>
                <w:sz w:val="20"/>
                <w:szCs w:val="20"/>
              </w:rPr>
            </w:pPr>
            <w:r w:rsidRPr="00BF4577">
              <w:rPr>
                <w:rFonts w:ascii="Arial Narrow" w:hAnsi="Arial Narrow" w:cs="Tahoma"/>
                <w:sz w:val="20"/>
                <w:szCs w:val="20"/>
              </w:rPr>
              <w:t>4. Členské štáty zabezpečia, aby vo všetkých podnikoch, ktoré patria do predmetu doplnkového dohľadu podľa článku 5, boli primerané mechanizmy vnútornej kontroly na predkladanie akýchkoľvek údajov a informácií, ktoré budú relevantné na účely doplnkového dohľadu.</w:t>
            </w:r>
          </w:p>
          <w:p w:rsidR="008735E0" w:rsidRPr="00C02544" w:rsidP="00C02544">
            <w:pPr>
              <w:pStyle w:val="Normlnywebov8"/>
              <w:spacing w:before="0" w:after="0"/>
              <w:ind w:left="0" w:right="0"/>
              <w:jc w:val="both"/>
              <w:rPr>
                <w:rFonts w:ascii="Arial Narrow" w:hAnsi="Arial Narrow" w:cs="Tahoma"/>
                <w:sz w:val="20"/>
                <w:szCs w:val="20"/>
              </w:rPr>
            </w:pPr>
            <w:r w:rsidRPr="00BF4577">
              <w:rPr>
                <w:rFonts w:ascii="Arial Narrow" w:hAnsi="Arial Narrow" w:cs="Tahoma"/>
                <w:sz w:val="20"/>
                <w:szCs w:val="20"/>
              </w:rPr>
              <w:t>5. Postupy a mechanizmy uvedené v odsekoch 1 až 4 sú predmetom dohľadu koordinátora.</w:t>
            </w:r>
          </w:p>
          <w:p w:rsidR="00D1040A" w:rsidRPr="00C02544" w:rsidP="00C02544">
            <w:pPr>
              <w:jc w:val="both"/>
              <w:rPr>
                <w:rFonts w:ascii="Arial Narrow" w:hAnsi="Arial Narrow" w:cs="Times New Roman"/>
                <w:b w:val="0"/>
                <w:noProof/>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2C57">
            <w:pPr>
              <w:rPr>
                <w:rFonts w:ascii="Arial Narrow" w:hAnsi="Arial Narrow" w:cs="Times New Roman"/>
                <w:sz w:val="20"/>
              </w:rPr>
            </w:pPr>
          </w:p>
          <w:p w:rsidR="00AA230E"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29A0">
            <w:pPr>
              <w:rPr>
                <w:rFonts w:ascii="Arial Narrow" w:hAnsi="Arial Narrow" w:cs="Times New Roman"/>
                <w:bCs/>
                <w:sz w:val="20"/>
              </w:rPr>
            </w:pPr>
          </w:p>
          <w:p w:rsidR="006039F3" w:rsidRPr="007078D1">
            <w:pPr>
              <w:rPr>
                <w:rFonts w:ascii="Arial Narrow" w:hAnsi="Arial Narrow" w:cs="Times New Roman"/>
                <w:bCs/>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812BE">
            <w:pPr>
              <w:pStyle w:val="BodyText3"/>
              <w:rPr>
                <w:rFonts w:ascii="Arial Narrow" w:hAnsi="Arial Narrow" w:cs="Times New Roman"/>
                <w:bCs/>
              </w:rPr>
            </w:pPr>
          </w:p>
          <w:p w:rsidR="00AA230E">
            <w:pPr>
              <w:pStyle w:val="BodyText3"/>
              <w:rPr>
                <w:rFonts w:ascii="Arial Narrow" w:hAnsi="Arial Narrow" w:cs="Times New Roman"/>
                <w:bCs/>
              </w:rPr>
            </w:pPr>
            <w:r>
              <w:rPr>
                <w:rFonts w:ascii="Arial Narrow" w:hAnsi="Arial Narrow" w:cs="Times New Roman"/>
                <w:bCs/>
              </w:rPr>
              <w:t xml:space="preserve">§ 61 ods.1 </w:t>
            </w: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r>
              <w:rPr>
                <w:rFonts w:ascii="Arial Narrow" w:hAnsi="Arial Narrow" w:cs="Times New Roman"/>
                <w:bCs/>
              </w:rPr>
              <w:t xml:space="preserve">ods.2 </w:t>
            </w: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p>
          <w:p w:rsidR="00AA230E">
            <w:pPr>
              <w:pStyle w:val="BodyText3"/>
              <w:rPr>
                <w:rFonts w:ascii="Arial Narrow" w:hAnsi="Arial Narrow" w:cs="Times New Roman"/>
                <w:bCs/>
              </w:rPr>
            </w:pPr>
            <w:r>
              <w:rPr>
                <w:rFonts w:ascii="Arial Narrow" w:hAnsi="Arial Narrow" w:cs="Times New Roman"/>
                <w:bCs/>
              </w:rPr>
              <w:t>ods.3</w:t>
            </w:r>
          </w:p>
          <w:p w:rsidR="00BF4577">
            <w:pPr>
              <w:pStyle w:val="BodyText3"/>
              <w:rPr>
                <w:rFonts w:ascii="Arial Narrow" w:hAnsi="Arial Narrow" w:cs="Times New Roman"/>
                <w:bCs/>
              </w:rPr>
            </w:pPr>
          </w:p>
          <w:p w:rsidR="00BF4577">
            <w:pPr>
              <w:pStyle w:val="BodyText3"/>
              <w:rPr>
                <w:rFonts w:ascii="Arial Narrow" w:hAnsi="Arial Narrow" w:cs="Times New Roman"/>
                <w:bCs/>
              </w:rPr>
            </w:pPr>
          </w:p>
          <w:p w:rsidR="00BF4577">
            <w:pPr>
              <w:pStyle w:val="BodyText3"/>
              <w:rPr>
                <w:rFonts w:ascii="Arial Narrow" w:hAnsi="Arial Narrow" w:cs="Times New Roman"/>
                <w:bCs/>
              </w:rPr>
            </w:pPr>
          </w:p>
          <w:p w:rsidR="00BF4577">
            <w:pPr>
              <w:pStyle w:val="BodyText3"/>
              <w:rPr>
                <w:rFonts w:ascii="Arial Narrow" w:hAnsi="Arial Narrow" w:cs="Times New Roman"/>
                <w:bCs/>
              </w:rPr>
            </w:pPr>
          </w:p>
          <w:p w:rsidR="00BF4577">
            <w:pPr>
              <w:pStyle w:val="BodyText3"/>
              <w:rPr>
                <w:rFonts w:ascii="Arial Narrow" w:hAnsi="Arial Narrow" w:cs="Times New Roman"/>
                <w:bCs/>
              </w:rPr>
            </w:pPr>
          </w:p>
          <w:p w:rsidR="00BF4577">
            <w:pPr>
              <w:pStyle w:val="BodyText3"/>
              <w:rPr>
                <w:rFonts w:ascii="Arial Narrow" w:hAnsi="Arial Narrow" w:cs="Times New Roman"/>
                <w:bCs/>
              </w:rPr>
            </w:pPr>
          </w:p>
          <w:p w:rsidR="00BF4577">
            <w:pPr>
              <w:pStyle w:val="BodyText3"/>
              <w:rPr>
                <w:rFonts w:ascii="Arial Narrow" w:hAnsi="Arial Narrow" w:cs="Times New Roman"/>
                <w:bCs/>
              </w:rPr>
            </w:pPr>
          </w:p>
          <w:p w:rsidR="00BF4577">
            <w:pPr>
              <w:pStyle w:val="BodyText3"/>
              <w:rPr>
                <w:rFonts w:ascii="Arial Narrow" w:hAnsi="Arial Narrow" w:cs="Times New Roman"/>
                <w:bCs/>
              </w:rPr>
            </w:pPr>
          </w:p>
          <w:p w:rsidR="00BF4577" w:rsidRPr="007078D1">
            <w:pPr>
              <w:pStyle w:val="BodyText3"/>
              <w:rPr>
                <w:rFonts w:ascii="Arial Narrow" w:hAnsi="Arial Narrow" w:cs="Times New Roman"/>
                <w:bCs/>
              </w:rPr>
            </w:pPr>
            <w:r>
              <w:rPr>
                <w:rFonts w:ascii="Arial Narrow" w:hAnsi="Arial Narrow" w:cs="Times New Roman"/>
                <w:bCs/>
              </w:rPr>
              <w:t>§ 59 ods.1</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29A0" w:rsidP="00F755D2">
            <w:pPr>
              <w:jc w:val="both"/>
              <w:rPr>
                <w:rFonts w:ascii="Arial Narrow" w:hAnsi="Arial Narrow" w:cs="Times New Roman"/>
                <w:sz w:val="20"/>
                <w:lang w:eastAsia="ko-KR"/>
              </w:rPr>
            </w:pPr>
          </w:p>
          <w:p w:rsidR="00AA230E" w:rsidRPr="00AA230E" w:rsidP="00AA230E">
            <w:pPr>
              <w:jc w:val="both"/>
              <w:rPr>
                <w:rFonts w:ascii="Arial Narrow" w:hAnsi="Arial Narrow" w:cs="Times New Roman"/>
                <w:b w:val="0"/>
                <w:noProof/>
                <w:sz w:val="20"/>
              </w:rPr>
            </w:pPr>
            <w:r w:rsidRPr="00AA230E">
              <w:rPr>
                <w:rFonts w:ascii="Arial Narrow" w:hAnsi="Arial Narrow" w:cs="Times New Roman"/>
                <w:b w:val="0"/>
                <w:noProof/>
                <w:sz w:val="20"/>
              </w:rPr>
              <w:t>Poisťovňa alebo zaisťovňa, ktorá je súčasťou finančného konglomerátu je povinná vytvoriť systém riadenia rizík a systém vnútornej kontroly vrátane riadiacich postupov a vedenia účtovníctva za účelom sledovania dodržiavania ustanovení tohto zákona na úrovni finančného konglomerátu.</w:t>
            </w:r>
          </w:p>
          <w:p w:rsidR="00AA230E" w:rsidP="00AA230E">
            <w:pPr>
              <w:tabs>
                <w:tab w:val="left" w:pos="426"/>
              </w:tabs>
              <w:jc w:val="both"/>
              <w:rPr>
                <w:rFonts w:ascii="Arial Narrow" w:hAnsi="Arial Narrow" w:cs="Times New Roman"/>
                <w:sz w:val="20"/>
              </w:rPr>
            </w:pPr>
          </w:p>
          <w:p w:rsidR="00AA230E" w:rsidRPr="00AA230E" w:rsidP="00AA230E">
            <w:pPr>
              <w:tabs>
                <w:tab w:val="left" w:pos="426"/>
              </w:tabs>
              <w:jc w:val="both"/>
              <w:rPr>
                <w:rFonts w:ascii="Arial Narrow" w:hAnsi="Arial Narrow" w:cs="Times New Roman"/>
                <w:sz w:val="20"/>
              </w:rPr>
            </w:pPr>
            <w:r w:rsidRPr="00AA230E">
              <w:rPr>
                <w:rFonts w:ascii="Arial Narrow" w:hAnsi="Arial Narrow" w:cs="Times New Roman"/>
                <w:sz w:val="20"/>
              </w:rPr>
              <w:t xml:space="preserve">Systém riadenia rizík na účely doplňujúceho dohľadu zahŕňa </w:t>
            </w:r>
          </w:p>
          <w:p w:rsidR="00AA230E" w:rsidRPr="00AA230E" w:rsidP="00AA230E">
            <w:pPr>
              <w:tabs>
                <w:tab w:val="left" w:pos="0"/>
              </w:tabs>
              <w:jc w:val="both"/>
              <w:rPr>
                <w:rFonts w:ascii="Arial Narrow" w:hAnsi="Arial Narrow" w:cs="Times New Roman"/>
                <w:sz w:val="20"/>
              </w:rPr>
            </w:pPr>
            <w:r w:rsidRPr="00AA230E">
              <w:rPr>
                <w:rFonts w:ascii="Arial Narrow" w:hAnsi="Arial Narrow" w:cs="Times New Roman"/>
                <w:sz w:val="20"/>
              </w:rPr>
              <w:t>a) vhodný systém riadenia zabezpečujúci na úrovni finančného konglomerátu schvaľovanie a pravidelnú kontrolu podnikateľskej stratégie vo vzťahu k rizikám vyplývajúcim z činnosti finančného konglomerátu,</w:t>
            </w:r>
          </w:p>
          <w:p w:rsidR="00AA230E" w:rsidRPr="00AA230E" w:rsidP="00AA230E">
            <w:pPr>
              <w:tabs>
                <w:tab w:val="left" w:pos="0"/>
              </w:tabs>
              <w:jc w:val="both"/>
              <w:rPr>
                <w:rFonts w:ascii="Arial Narrow" w:hAnsi="Arial Narrow" w:cs="Times New Roman"/>
                <w:sz w:val="20"/>
              </w:rPr>
            </w:pPr>
            <w:r w:rsidRPr="00AA230E">
              <w:rPr>
                <w:rFonts w:ascii="Arial Narrow" w:hAnsi="Arial Narrow" w:cs="Times New Roman"/>
                <w:sz w:val="20"/>
              </w:rPr>
              <w:t xml:space="preserve">b) postupy na zabezpečenie dostatočnej výšky vlastných zdrojov, ktoré zahŕňajú možný vplyv podnikateľskej stratégie na rizikový profil a na vlastné zdroje poisťovne alebo zaisťovne, </w:t>
            </w:r>
          </w:p>
          <w:p w:rsidR="00AA230E" w:rsidRPr="00AA230E" w:rsidP="00AA230E">
            <w:pPr>
              <w:tabs>
                <w:tab w:val="left" w:pos="0"/>
              </w:tabs>
              <w:jc w:val="both"/>
              <w:rPr>
                <w:rFonts w:ascii="Arial Narrow" w:hAnsi="Arial Narrow" w:cs="Times New Roman"/>
                <w:sz w:val="20"/>
              </w:rPr>
            </w:pPr>
            <w:r w:rsidRPr="00AA230E">
              <w:rPr>
                <w:rFonts w:ascii="Arial Narrow" w:hAnsi="Arial Narrow" w:cs="Times New Roman"/>
                <w:sz w:val="20"/>
              </w:rPr>
              <w:t xml:space="preserve"> c) postupy na sledovanie rizík a opatrenia zabezpečujúce sledovanie a kontrolu rizík na úrovni finančného konglomerátu.</w:t>
            </w:r>
          </w:p>
          <w:p w:rsidR="00AA230E" w:rsidP="00AA230E">
            <w:pPr>
              <w:tabs>
                <w:tab w:val="left" w:pos="426"/>
              </w:tabs>
              <w:jc w:val="both"/>
              <w:rPr>
                <w:rFonts w:ascii="Arial Narrow" w:hAnsi="Arial Narrow" w:cs="Times New Roman"/>
                <w:sz w:val="20"/>
              </w:rPr>
            </w:pPr>
            <w:r w:rsidRPr="00AA230E">
              <w:rPr>
                <w:rFonts w:ascii="Arial Narrow" w:hAnsi="Arial Narrow" w:cs="Times New Roman"/>
                <w:sz w:val="20"/>
              </w:rPr>
              <w:tab/>
            </w:r>
          </w:p>
          <w:p w:rsidR="00AA230E" w:rsidP="00AA230E">
            <w:pPr>
              <w:tabs>
                <w:tab w:val="left" w:pos="426"/>
              </w:tabs>
              <w:jc w:val="both"/>
              <w:rPr>
                <w:rFonts w:ascii="Arial Narrow" w:hAnsi="Arial Narrow" w:cs="Times New Roman"/>
                <w:sz w:val="20"/>
              </w:rPr>
            </w:pPr>
          </w:p>
          <w:p w:rsidR="00AA230E" w:rsidP="00AA230E">
            <w:pPr>
              <w:tabs>
                <w:tab w:val="left" w:pos="426"/>
              </w:tabs>
              <w:jc w:val="both"/>
              <w:rPr>
                <w:rFonts w:ascii="Arial Narrow" w:hAnsi="Arial Narrow" w:cs="Times New Roman"/>
                <w:sz w:val="20"/>
              </w:rPr>
            </w:pPr>
          </w:p>
          <w:p w:rsidR="00AA230E" w:rsidRPr="00AA230E" w:rsidP="00AA230E">
            <w:pPr>
              <w:tabs>
                <w:tab w:val="left" w:pos="426"/>
              </w:tabs>
              <w:jc w:val="both"/>
              <w:rPr>
                <w:rFonts w:ascii="Arial Narrow" w:hAnsi="Arial Narrow" w:cs="Times New Roman"/>
                <w:sz w:val="20"/>
              </w:rPr>
            </w:pPr>
            <w:r w:rsidRPr="00AA230E">
              <w:rPr>
                <w:rFonts w:ascii="Arial Narrow" w:hAnsi="Arial Narrow" w:cs="Times New Roman"/>
                <w:sz w:val="20"/>
              </w:rPr>
              <w:t xml:space="preserve">Systém vnútornej kontroly na účely doplňujúceho dohľadu zahŕňa hodnotenie postupov </w:t>
            </w:r>
          </w:p>
          <w:p w:rsidR="00AA230E" w:rsidRPr="00AA230E" w:rsidP="00AA230E">
            <w:pPr>
              <w:tabs>
                <w:tab w:val="left" w:pos="0"/>
              </w:tabs>
              <w:jc w:val="both"/>
              <w:rPr>
                <w:rFonts w:ascii="Arial Narrow" w:hAnsi="Arial Narrow" w:cs="Times New Roman"/>
                <w:sz w:val="20"/>
              </w:rPr>
            </w:pPr>
            <w:r w:rsidRPr="00AA230E">
              <w:rPr>
                <w:rFonts w:ascii="Arial Narrow" w:hAnsi="Arial Narrow" w:cs="Times New Roman"/>
                <w:sz w:val="20"/>
              </w:rPr>
              <w:t xml:space="preserve">a) na identifikáciu a meranie rizík ovplyvňujúcich plnenie ustanovení tohto zákona o dostatočnej výške vlastných zdrojov na úrovni finančného konglomerátu a hodnotenie ich funkčnosti a účinnosti, </w:t>
            </w:r>
          </w:p>
          <w:p w:rsidR="00AA230E" w:rsidRPr="00AA230E" w:rsidP="00AA230E">
            <w:pPr>
              <w:jc w:val="both"/>
              <w:rPr>
                <w:rFonts w:ascii="Arial Narrow" w:hAnsi="Arial Narrow" w:cs="Times New Roman"/>
                <w:b w:val="0"/>
                <w:noProof/>
                <w:sz w:val="20"/>
              </w:rPr>
            </w:pPr>
            <w:r w:rsidRPr="00AA230E">
              <w:rPr>
                <w:rFonts w:ascii="Arial Narrow" w:hAnsi="Arial Narrow" w:cs="Times New Roman"/>
                <w:b w:val="0"/>
                <w:noProof/>
                <w:sz w:val="20"/>
              </w:rPr>
              <w:t>b) účtovania a poskytovania informácií, ktoré slúžia na zisťovanie, meranie, sledovanie a kontrolu vnútroskupinových obchodov a koncentráciu rizík finančného konglomerátu.</w:t>
            </w:r>
          </w:p>
          <w:p w:rsidR="00AA230E" w:rsidP="00F755D2">
            <w:pPr>
              <w:jc w:val="both"/>
              <w:rPr>
                <w:rFonts w:ascii="Arial Narrow" w:hAnsi="Arial Narrow" w:cs="Times New Roman"/>
                <w:sz w:val="20"/>
                <w:lang w:eastAsia="ko-KR"/>
              </w:rPr>
            </w:pPr>
          </w:p>
          <w:p w:rsidR="00BF4577" w:rsidRPr="00BF4577" w:rsidP="00BF4577">
            <w:pPr>
              <w:jc w:val="both"/>
              <w:rPr>
                <w:rFonts w:ascii="Arial Narrow" w:hAnsi="Arial Narrow" w:cs="Times New Roman"/>
                <w:b w:val="0"/>
                <w:noProof/>
                <w:sz w:val="20"/>
              </w:rPr>
            </w:pPr>
            <w:r w:rsidRPr="00BF4577">
              <w:rPr>
                <w:rFonts w:ascii="Arial Narrow" w:hAnsi="Arial Narrow" w:cs="Times New Roman"/>
                <w:b w:val="0"/>
                <w:noProof/>
                <w:sz w:val="20"/>
              </w:rPr>
              <w:t xml:space="preserve">Poisťovňa alebo zaisťovňa, ktorá ovláda finančný konglomerát je povinná k 31. marcu kalendárneho roka alebo na žiadosť Národnej banky Slovenska predkladať Národnej banke Slovenska údaje o koncentrácií rizík finančného konglomerátu. Ak finančný konglomerát nie je ovládaný poisťovňou alebo zaisťovňou,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 </w:t>
            </w:r>
          </w:p>
          <w:p w:rsidR="00BF4577" w:rsidRPr="003129A0" w:rsidP="00F755D2">
            <w:pPr>
              <w:jc w:val="both"/>
              <w:rPr>
                <w:rFonts w:ascii="Arial Narrow" w:hAnsi="Arial Narrow" w:cs="Times New Roman"/>
                <w:sz w:val="20"/>
                <w:lang w:eastAsia="ko-KR"/>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2C57">
            <w:pPr>
              <w:rPr>
                <w:rFonts w:ascii="Arial Narrow" w:hAnsi="Arial Narrow" w:cs="Times New Roman"/>
                <w:sz w:val="20"/>
              </w:rPr>
            </w:pPr>
          </w:p>
          <w:p w:rsidR="00AA230E"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12DB9" w:rsidRPr="007078D1"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rsidP="00192925">
            <w:pPr>
              <w:ind w:right="-70"/>
              <w:rPr>
                <w:rFonts w:ascii="Arial Narrow" w:hAnsi="Arial Narrow" w:cs="Times New Roman"/>
                <w:sz w:val="20"/>
              </w:rPr>
            </w:pPr>
            <w:r w:rsidRPr="007078D1">
              <w:rPr>
                <w:rFonts w:ascii="Arial Narrow" w:hAnsi="Arial Narrow" w:cs="Times New Roman"/>
                <w:sz w:val="20"/>
              </w:rPr>
              <w:t xml:space="preserve">Čl. </w:t>
            </w:r>
            <w:r w:rsidRPr="007078D1" w:rsidR="00192925">
              <w:rPr>
                <w:rFonts w:ascii="Arial Narrow" w:hAnsi="Arial Narrow" w:cs="Times New Roman"/>
                <w:sz w:val="20"/>
              </w:rPr>
              <w:t>1</w:t>
            </w:r>
            <w:r w:rsidRPr="007078D1">
              <w:rPr>
                <w:rFonts w:ascii="Arial Narrow" w:hAnsi="Arial Narrow" w:cs="Times New Roman"/>
                <w:sz w:val="20"/>
              </w:rPr>
              <w:t>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OPATRENIA NA UĽAHČENIE DOPLNKOVÉHO DOHĽADU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Príslušný orgán zodpovedný za vykonávanie doplnkového dohľadu (koordinátor)</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Na zabezpečenie správneho doplnkového dohľadu nad regulovanými subjektmi vo finančnom konglomeráte sa vymenuje jediný koordinátor zodpovedný za koordináciu a vykonávanie doplnkového dohľadu spomedzi príslušných orgánov príslušných členských štátov vrátane toho členského štátu, v ktorom sa nachádza sídlo zmiešanej finančnej holdingovej spoločnosti.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Toto vymenovanie sa zakladá na týchto kri</w:t>
            </w:r>
            <w:r w:rsidRPr="00C02544">
              <w:rPr>
                <w:rFonts w:ascii="Arial Narrow" w:hAnsi="Arial Narrow" w:cs="Tahoma"/>
                <w:sz w:val="20"/>
                <w:szCs w:val="20"/>
              </w:rPr>
              <w:t>tériách:</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ak sa na vrchole finančného konglomerátu nachádza regulovaný subjekt, úlohu koordinátora vykonáva príslušný orgán, ktorý udelil povolenie danému regulovanému subjektu podľa príslušných sektorových predpisov;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ak sa na vrchole finančného konglomerátu nenachádza regulovaný subjekt, úlohu koordinátora vykonáva príslušný orgán určený na základe týchto princípov: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 ak materským podnikom regulovaného subjektu je zmiešaná finančná holdingová spoločnosť, úlohu koordinátora vykonáva príslušný orgán, ktorý udelil povolenie danému regulovanému subjektu podľa príslušných sektorových predpisov;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ii) ak je materským podnikom viac ako jedného regulovaného subjektu so sídlom v spoločenstve tá istá zmiešaná finančná holdingová spoločnosť a jeden z týchto subjektov dostal povolenie v členskom štáte, v ktorom má sídlo zmiešaná finančná holdingová spoločnosť, úlohu koordinátora vykonáva príslušný orgán regulovaného subjektu schváleného v tom členskom štáte.</w:t>
            </w:r>
          </w:p>
          <w:p w:rsidR="008735E0" w:rsidRPr="00C02544" w:rsidP="00C02544">
            <w:pPr>
              <w:pStyle w:val="Normlnywebov8"/>
              <w:spacing w:before="0" w:after="0"/>
              <w:ind w:left="0" w:right="0"/>
              <w:jc w:val="both"/>
              <w:rPr>
                <w:rFonts w:ascii="Arial Narrow" w:hAnsi="Arial Narrow" w:cs="Tahoma"/>
                <w:sz w:val="20"/>
                <w:szCs w:val="20"/>
              </w:rPr>
            </w:pPr>
            <w:r w:rsidRPr="00BF4577">
              <w:rPr>
                <w:rFonts w:ascii="Arial Narrow" w:hAnsi="Arial Narrow" w:cs="Tahoma"/>
                <w:sz w:val="20"/>
                <w:szCs w:val="20"/>
              </w:rPr>
              <w:t>Ak viaceré regulované subjekty, aktívne v rôznych finančných sektoroch, majú povolenie v členskom štáte, v ktorom má sídlo zmiešaná finančná holdingová spoločnosť, úlohu koordinátora vykonáva príslušný orgán regulovaného subjektu, ktorý je aktívny v najdôležitejšom finančnom sektore.</w:t>
            </w:r>
          </w:p>
          <w:p w:rsidR="008735E0" w:rsidP="00C02544">
            <w:pPr>
              <w:pStyle w:val="Normlnywebov8"/>
              <w:spacing w:before="0" w:after="0"/>
              <w:ind w:left="0" w:right="0"/>
              <w:jc w:val="both"/>
              <w:rPr>
                <w:rFonts w:ascii="Arial Narrow" w:hAnsi="Arial Narrow" w:cs="Tahoma"/>
                <w:sz w:val="20"/>
                <w:szCs w:val="20"/>
              </w:rPr>
            </w:pPr>
            <w:r w:rsidRPr="00AA230E">
              <w:rPr>
                <w:rFonts w:ascii="Arial Narrow" w:hAnsi="Arial Narrow" w:cs="Tahoma"/>
                <w:sz w:val="20"/>
                <w:szCs w:val="20"/>
              </w:rPr>
              <w:t>Ak je na vrchole finančného konglomerátu viac ako jedna zmiešaná finančná holdingová spoločnosť so sídlom v rôznych členských štátoch a v každom z týchto štátov sa nachádza regulovaný subjekt, úlohu koordinátora vykonáva príslušný orgán regulovaného subjektu s najvyššou bilančnou sumou, ak sa tieto subjekty nachádzajú v tom istom finančnom sektore, alebo príslušný orgán regulovaného subjektu v najdôležitejšom finančnom sektore;</w:t>
            </w:r>
          </w:p>
          <w:p w:rsidR="00AA230E" w:rsidP="00C02544">
            <w:pPr>
              <w:pStyle w:val="Normlnywebov8"/>
              <w:spacing w:before="0" w:after="0"/>
              <w:ind w:left="0" w:right="0"/>
              <w:jc w:val="both"/>
              <w:rPr>
                <w:rFonts w:ascii="Arial Narrow" w:hAnsi="Arial Narrow" w:cs="Tahoma"/>
                <w:sz w:val="20"/>
                <w:szCs w:val="20"/>
              </w:rPr>
            </w:pPr>
          </w:p>
          <w:p w:rsidR="00AA230E" w:rsidP="00C02544">
            <w:pPr>
              <w:pStyle w:val="Normlnywebov8"/>
              <w:spacing w:before="0" w:after="0"/>
              <w:ind w:left="0" w:right="0"/>
              <w:jc w:val="both"/>
              <w:rPr>
                <w:rFonts w:ascii="Arial Narrow" w:hAnsi="Arial Narrow" w:cs="Tahoma"/>
                <w:sz w:val="20"/>
                <w:szCs w:val="20"/>
              </w:rPr>
            </w:pPr>
          </w:p>
          <w:p w:rsidR="00AA230E" w:rsidP="00C02544">
            <w:pPr>
              <w:pStyle w:val="Normlnywebov8"/>
              <w:spacing w:before="0" w:after="0"/>
              <w:ind w:left="0" w:right="0"/>
              <w:jc w:val="both"/>
              <w:rPr>
                <w:rFonts w:ascii="Arial Narrow" w:hAnsi="Arial Narrow" w:cs="Tahoma"/>
                <w:sz w:val="20"/>
                <w:szCs w:val="20"/>
              </w:rPr>
            </w:pPr>
          </w:p>
          <w:p w:rsidR="00AA230E" w:rsidP="00C02544">
            <w:pPr>
              <w:pStyle w:val="Normlnywebov8"/>
              <w:spacing w:before="0" w:after="0"/>
              <w:ind w:left="0" w:right="0"/>
              <w:jc w:val="both"/>
              <w:rPr>
                <w:rFonts w:ascii="Arial Narrow" w:hAnsi="Arial Narrow" w:cs="Tahoma"/>
                <w:sz w:val="20"/>
                <w:szCs w:val="20"/>
              </w:rPr>
            </w:pPr>
          </w:p>
          <w:p w:rsidR="00AA230E" w:rsidP="00C02544">
            <w:pPr>
              <w:pStyle w:val="Normlnywebov8"/>
              <w:spacing w:before="0" w:after="0"/>
              <w:ind w:left="0" w:right="0"/>
              <w:jc w:val="both"/>
              <w:rPr>
                <w:rFonts w:ascii="Arial Narrow" w:hAnsi="Arial Narrow" w:cs="Tahoma"/>
                <w:sz w:val="20"/>
                <w:szCs w:val="20"/>
              </w:rPr>
            </w:pPr>
          </w:p>
          <w:p w:rsidR="00AA230E" w:rsidP="00C02544">
            <w:pPr>
              <w:pStyle w:val="Normlnywebov8"/>
              <w:spacing w:before="0" w:after="0"/>
              <w:ind w:left="0" w:right="0"/>
              <w:jc w:val="both"/>
              <w:rPr>
                <w:rFonts w:ascii="Arial Narrow" w:hAnsi="Arial Narrow" w:cs="Tahoma"/>
                <w:sz w:val="20"/>
                <w:szCs w:val="20"/>
              </w:rPr>
            </w:pPr>
          </w:p>
          <w:p w:rsidR="00AA230E"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iii) ak je materským podnikom viac ako jedného regulovaného subjektu so sídlom v spoločenstve, tá istá zmiešaná finančná holdingová spoločnosť a žiaden z týchto subjektov nedostal povolenie v členskom štáte, v ktorom má sídlo zmiešaná finančná holdingová spoločnosť, úlohu koordinátora vykonáva príslušný orgán, ktorý udelil povolenie regulovanému subjektu s najvyššou bilančnou sumou v najdôležitejšom finančnom sektore;</w:t>
            </w:r>
          </w:p>
          <w:p w:rsidR="00797484"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iv) ak je finančný konglomerát skupinou bez materského podniku na vrchole, alebo v akomkoľvek inom prípade, úlohu koordinátora vykonáva príslušný orgán, ktorý udelil povolenie regulovanému subjektu s najvyššou bilančnou sumou v najdôležitejšom finančnom sektore.</w:t>
            </w:r>
          </w:p>
          <w:p w:rsidR="00797484" w:rsidP="00C02544">
            <w:pPr>
              <w:pStyle w:val="Normlnywebov8"/>
              <w:spacing w:before="0" w:after="0"/>
              <w:ind w:left="0" w:right="0"/>
              <w:jc w:val="both"/>
              <w:rPr>
                <w:rFonts w:ascii="Arial Narrow" w:hAnsi="Arial Narrow" w:cs="Tahoma"/>
                <w:sz w:val="20"/>
                <w:szCs w:val="20"/>
              </w:rPr>
            </w:pPr>
          </w:p>
          <w:p w:rsidR="00797484" w:rsidP="00C02544">
            <w:pPr>
              <w:pStyle w:val="Normlnywebov8"/>
              <w:spacing w:before="0" w:after="0"/>
              <w:ind w:left="0" w:right="0"/>
              <w:jc w:val="both"/>
              <w:rPr>
                <w:rFonts w:ascii="Arial Narrow" w:hAnsi="Arial Narrow" w:cs="Tahoma"/>
                <w:sz w:val="20"/>
                <w:szCs w:val="20"/>
              </w:rPr>
            </w:pPr>
          </w:p>
          <w:p w:rsidR="00797484" w:rsidP="00C02544">
            <w:pPr>
              <w:pStyle w:val="Normlnywebov8"/>
              <w:spacing w:before="0" w:after="0"/>
              <w:ind w:left="0" w:right="0"/>
              <w:jc w:val="both"/>
              <w:rPr>
                <w:rFonts w:ascii="Arial Narrow" w:hAnsi="Arial Narrow" w:cs="Tahoma"/>
                <w:sz w:val="20"/>
                <w:szCs w:val="20"/>
              </w:rPr>
            </w:pPr>
          </w:p>
          <w:p w:rsidR="00797484" w:rsidP="00C02544">
            <w:pPr>
              <w:pStyle w:val="Normlnywebov8"/>
              <w:spacing w:before="0" w:after="0"/>
              <w:ind w:left="0" w:right="0"/>
              <w:jc w:val="both"/>
              <w:rPr>
                <w:rFonts w:ascii="Arial Narrow" w:hAnsi="Arial Narrow" w:cs="Tahoma"/>
                <w:sz w:val="20"/>
                <w:szCs w:val="20"/>
              </w:rPr>
            </w:pPr>
          </w:p>
          <w:p w:rsidR="00797484"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V osobitných prípadoch sa príslušné orgány môžu na základe spoločnej dohody vzdať kritérií uvedených v odseku 2, ak by ich uplatňovanie nebolo vhodné so zreteľom na štruktúru konglomerátu a relatívnu dôležitosť jeho činností v rôznych štátoch, a môžu vymenovať za koordinátora iný príslušný orgán. Príslušné orgány v týchto prípadoch pred prijatím rozhodnutia poskytnú konglomerátu príležitosť vyjadriť názor na toto rozhodnutie.</w:t>
            </w:r>
          </w:p>
          <w:p w:rsidR="00D1040A"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2C57">
            <w:pPr>
              <w:rPr>
                <w:rFonts w:ascii="Arial Narrow" w:hAnsi="Arial Narrow" w:cs="Times New Roman"/>
                <w:sz w:val="20"/>
              </w:rPr>
            </w:pPr>
          </w:p>
          <w:p w:rsidR="00AA230E">
            <w:pPr>
              <w:rPr>
                <w:rFonts w:ascii="Arial Narrow" w:hAnsi="Arial Narrow" w:cs="Times New Roman"/>
                <w:sz w:val="20"/>
              </w:rPr>
            </w:pPr>
          </w:p>
          <w:p w:rsidR="00AA230E"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P="001B1E57">
            <w:pPr>
              <w:pStyle w:val="FootnoteText"/>
              <w:overflowPunct/>
              <w:adjustRightInd/>
              <w:textAlignment w:val="auto"/>
              <w:rPr>
                <w:rFonts w:ascii="Arial Narrow" w:hAnsi="Arial Narrow" w:cs="Times New Roman"/>
                <w:lang w:val="sk-SK"/>
              </w:rPr>
            </w:pPr>
          </w:p>
          <w:p w:rsidR="006039F3" w:rsidRPr="007078D1" w:rsidP="001B1E57">
            <w:pPr>
              <w:pStyle w:val="FootnoteText"/>
              <w:overflowPunct/>
              <w:adjustRightInd/>
              <w:textAlignment w:val="auto"/>
              <w:rPr>
                <w:rFonts w:ascii="Arial Narrow" w:hAnsi="Arial Narrow" w:cs="Times New Roman"/>
                <w:lang w:val="sk-SK"/>
              </w:rPr>
            </w:pPr>
            <w:r>
              <w:rPr>
                <w:rFonts w:ascii="Arial Narrow" w:hAnsi="Arial Narrow" w:cs="Times New Roman"/>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pPr>
              <w:rPr>
                <w:rFonts w:ascii="Arial Narrow" w:hAnsi="Arial Narrow" w:cs="Times New Roman"/>
                <w:sz w:val="20"/>
              </w:rPr>
            </w:pPr>
          </w:p>
          <w:p w:rsidR="00AA230E">
            <w:pPr>
              <w:rPr>
                <w:rFonts w:ascii="Arial Narrow" w:hAnsi="Arial Narrow" w:cs="Times New Roman"/>
                <w:sz w:val="20"/>
              </w:rPr>
            </w:pPr>
            <w:r>
              <w:rPr>
                <w:rFonts w:ascii="Arial Narrow" w:hAnsi="Arial Narrow" w:cs="Times New Roman"/>
                <w:sz w:val="20"/>
              </w:rPr>
              <w:t xml:space="preserve">§ 54 ods.1 </w:t>
            </w: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797484">
            <w:pPr>
              <w:rPr>
                <w:rFonts w:ascii="Arial Narrow" w:hAnsi="Arial Narrow" w:cs="Times New Roman"/>
                <w:sz w:val="20"/>
              </w:rPr>
            </w:pPr>
          </w:p>
          <w:p w:rsidR="00AA230E">
            <w:pPr>
              <w:rPr>
                <w:rFonts w:ascii="Arial Narrow" w:hAnsi="Arial Narrow" w:cs="Times New Roman"/>
                <w:sz w:val="20"/>
              </w:rPr>
            </w:pPr>
          </w:p>
          <w:p w:rsidR="00AA230E">
            <w:pPr>
              <w:rPr>
                <w:rFonts w:ascii="Arial Narrow" w:hAnsi="Arial Narrow" w:cs="Times New Roman"/>
                <w:sz w:val="20"/>
              </w:rPr>
            </w:pPr>
            <w:r>
              <w:rPr>
                <w:rFonts w:ascii="Arial Narrow" w:hAnsi="Arial Narrow" w:cs="Times New Roman"/>
                <w:sz w:val="20"/>
              </w:rPr>
              <w:t>ods.3</w:t>
            </w:r>
          </w:p>
          <w:p w:rsidR="00AA230E"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C6330" w:rsidP="004C6330">
            <w:pPr>
              <w:autoSpaceDE/>
              <w:autoSpaceDN/>
              <w:ind w:firstLine="0"/>
              <w:jc w:val="both"/>
              <w:rPr>
                <w:rFonts w:ascii="Arial Narrow" w:hAnsi="Arial Narrow" w:cs="Times New Roman"/>
                <w:noProof/>
                <w:sz w:val="20"/>
              </w:rPr>
            </w:pPr>
          </w:p>
          <w:p w:rsidR="00AA230E" w:rsidRPr="00AA230E" w:rsidP="00AA230E">
            <w:pPr>
              <w:jc w:val="both"/>
              <w:rPr>
                <w:rFonts w:ascii="Arial Narrow" w:hAnsi="Arial Narrow" w:cs="Times New Roman"/>
                <w:sz w:val="20"/>
              </w:rPr>
            </w:pPr>
            <w:r w:rsidRPr="00AA230E">
              <w:rPr>
                <w:rFonts w:ascii="Arial Narrow" w:hAnsi="Arial Narrow" w:cs="Times New Roman"/>
                <w:sz w:val="20"/>
              </w:rPr>
              <w:t xml:space="preserve">Národná banka Slovenska vykonáva doplňujúci dohľad, ak </w:t>
            </w:r>
          </w:p>
          <w:p w:rsidR="00AA230E" w:rsidRPr="00D80F3F" w:rsidP="00AA230E">
            <w:pPr>
              <w:pStyle w:val="BodyTextIndent"/>
              <w:tabs>
                <w:tab w:val="left" w:pos="360"/>
              </w:tabs>
              <w:spacing w:after="0"/>
              <w:ind w:left="480" w:hanging="480"/>
              <w:rPr>
                <w:rFonts w:ascii="Arial Narrow" w:hAnsi="Arial Narrow" w:cs="Times New Roman"/>
                <w:sz w:val="20"/>
                <w:lang w:val="sk-SK"/>
              </w:rPr>
            </w:pPr>
          </w:p>
          <w:p w:rsidR="00AA230E" w:rsidRPr="00D80F3F" w:rsidP="00AA230E">
            <w:pPr>
              <w:pStyle w:val="BodyTextIndent"/>
              <w:tabs>
                <w:tab w:val="left" w:pos="360"/>
              </w:tabs>
              <w:spacing w:after="0"/>
              <w:ind w:left="480" w:hanging="480"/>
              <w:rPr>
                <w:rFonts w:ascii="Arial Narrow" w:hAnsi="Arial Narrow" w:cs="Times New Roman"/>
                <w:sz w:val="20"/>
                <w:lang w:val="sk-SK"/>
              </w:rPr>
            </w:pPr>
          </w:p>
          <w:p w:rsidR="00AA230E" w:rsidRPr="00D80F3F" w:rsidP="00AA230E">
            <w:pPr>
              <w:pStyle w:val="BodyTextIndent"/>
              <w:tabs>
                <w:tab w:val="left" w:pos="360"/>
              </w:tabs>
              <w:spacing w:after="0"/>
              <w:ind w:left="480" w:hanging="480"/>
              <w:rPr>
                <w:rFonts w:ascii="Arial Narrow" w:hAnsi="Arial Narrow" w:cs="Times New Roman"/>
                <w:sz w:val="20"/>
                <w:lang w:val="sk-SK"/>
              </w:rPr>
            </w:pPr>
          </w:p>
          <w:p w:rsidR="00AA230E" w:rsidRPr="00D80F3F" w:rsidP="00AA230E">
            <w:pPr>
              <w:pStyle w:val="BodyTextIndent"/>
              <w:tabs>
                <w:tab w:val="left" w:pos="360"/>
              </w:tabs>
              <w:spacing w:after="0"/>
              <w:ind w:left="480" w:hanging="480"/>
              <w:rPr>
                <w:rFonts w:ascii="Arial Narrow" w:hAnsi="Arial Narrow" w:cs="Times New Roman"/>
                <w:sz w:val="20"/>
                <w:lang w:val="sk-SK"/>
              </w:rPr>
            </w:pPr>
          </w:p>
          <w:p w:rsidR="00AA230E" w:rsidRPr="00D80F3F" w:rsidP="00AA230E">
            <w:pPr>
              <w:pStyle w:val="BodyTextIndent"/>
              <w:tabs>
                <w:tab w:val="left" w:pos="360"/>
              </w:tabs>
              <w:spacing w:after="0"/>
              <w:ind w:left="480" w:hanging="480"/>
              <w:rPr>
                <w:rFonts w:ascii="Arial Narrow" w:hAnsi="Arial Narrow" w:cs="Times New Roman"/>
                <w:sz w:val="20"/>
                <w:lang w:val="sk-SK"/>
              </w:rPr>
            </w:pPr>
          </w:p>
          <w:p w:rsidR="00AA230E" w:rsidRPr="00D80F3F" w:rsidP="00AA230E">
            <w:pPr>
              <w:pStyle w:val="BodyTextIndent"/>
              <w:tabs>
                <w:tab w:val="left" w:pos="360"/>
              </w:tabs>
              <w:spacing w:after="0"/>
              <w:ind w:left="480" w:hanging="480"/>
              <w:rPr>
                <w:rFonts w:ascii="Arial Narrow" w:hAnsi="Arial Narrow" w:cs="Times New Roman"/>
                <w:sz w:val="20"/>
                <w:lang w:val="sk-SK"/>
              </w:rPr>
            </w:pPr>
          </w:p>
          <w:p w:rsidR="00AA230E" w:rsidRPr="00D80F3F" w:rsidP="00AA230E">
            <w:pPr>
              <w:pStyle w:val="BodyTextIndent"/>
              <w:tabs>
                <w:tab w:val="left" w:pos="360"/>
              </w:tabs>
              <w:spacing w:after="0"/>
              <w:ind w:left="480" w:hanging="480"/>
              <w:rPr>
                <w:rFonts w:ascii="Arial Narrow" w:hAnsi="Arial Narrow" w:cs="Times New Roman"/>
                <w:sz w:val="20"/>
                <w:lang w:val="sk-SK"/>
              </w:rPr>
            </w:pPr>
            <w:r w:rsidRPr="00D80F3F">
              <w:rPr>
                <w:rFonts w:ascii="Arial Narrow" w:hAnsi="Arial Narrow" w:cs="Times New Roman"/>
                <w:sz w:val="20"/>
                <w:lang w:val="sk-SK"/>
              </w:rPr>
              <w:t>a) finančný konglomerát je ovládaný poisťovňou alebo zaisťovňou,</w:t>
            </w:r>
          </w:p>
          <w:p w:rsidR="00AA230E" w:rsidP="00AA230E">
            <w:pPr>
              <w:tabs>
                <w:tab w:val="left" w:pos="0"/>
              </w:tabs>
              <w:jc w:val="both"/>
              <w:rPr>
                <w:rFonts w:ascii="Arial Narrow" w:hAnsi="Arial Narrow" w:cs="Times New Roman"/>
                <w:sz w:val="20"/>
              </w:rPr>
            </w:pPr>
          </w:p>
          <w:p w:rsidR="00AA230E" w:rsidP="00AA230E">
            <w:pPr>
              <w:tabs>
                <w:tab w:val="left" w:pos="0"/>
              </w:tabs>
              <w:jc w:val="both"/>
              <w:rPr>
                <w:rFonts w:ascii="Arial Narrow" w:hAnsi="Arial Narrow" w:cs="Times New Roman"/>
                <w:sz w:val="20"/>
              </w:rPr>
            </w:pPr>
          </w:p>
          <w:p w:rsidR="00AA230E" w:rsidRPr="00AA230E" w:rsidP="00AA230E">
            <w:pPr>
              <w:tabs>
                <w:tab w:val="left" w:pos="0"/>
              </w:tabs>
              <w:jc w:val="both"/>
              <w:rPr>
                <w:rFonts w:ascii="Arial Narrow" w:hAnsi="Arial Narrow" w:cs="Times New Roman"/>
                <w:sz w:val="20"/>
              </w:rPr>
            </w:pPr>
            <w:r w:rsidRPr="00AA230E">
              <w:rPr>
                <w:rFonts w:ascii="Arial Narrow" w:hAnsi="Arial Narrow" w:cs="Times New Roman"/>
                <w:sz w:val="20"/>
              </w:rPr>
              <w:t xml:space="preserve">b) finančný konglomerát je ovládaný zmiešanou finančnou holdingovou spoločnosťou, ktorá je materskou spoločnosťou poisťovne alebo zaisťovne a finančný konglomerát netvoria ďalšie regulované osoby, </w:t>
            </w:r>
          </w:p>
          <w:p w:rsidR="00AA230E" w:rsidRPr="00D80F3F" w:rsidP="00AA230E">
            <w:pPr>
              <w:pStyle w:val="BodyTextIndent"/>
              <w:spacing w:after="0"/>
              <w:ind w:left="0" w:firstLine="40"/>
              <w:rPr>
                <w:rFonts w:ascii="Arial Narrow" w:hAnsi="Arial Narrow" w:cs="Times New Roman"/>
                <w:sz w:val="20"/>
                <w:lang w:val="sk-SK"/>
              </w:rPr>
            </w:pPr>
          </w:p>
          <w:p w:rsidR="00AA230E" w:rsidRPr="00D80F3F" w:rsidP="00AA230E">
            <w:pPr>
              <w:pStyle w:val="BodyTextIndent"/>
              <w:spacing w:after="0"/>
              <w:ind w:left="0" w:firstLine="40"/>
              <w:rPr>
                <w:rFonts w:ascii="Arial Narrow" w:hAnsi="Arial Narrow" w:cs="Times New Roman"/>
                <w:sz w:val="20"/>
                <w:lang w:val="sk-SK"/>
              </w:rPr>
            </w:pPr>
          </w:p>
          <w:p w:rsidR="00AA230E" w:rsidRPr="00D80F3F" w:rsidP="00AA230E">
            <w:pPr>
              <w:pStyle w:val="BodyTextIndent"/>
              <w:spacing w:after="0"/>
              <w:ind w:left="0" w:firstLine="40"/>
              <w:rPr>
                <w:rFonts w:ascii="Arial Narrow" w:hAnsi="Arial Narrow" w:cs="Times New Roman"/>
                <w:sz w:val="20"/>
                <w:lang w:val="sk-SK"/>
              </w:rPr>
            </w:pPr>
            <w:r w:rsidRPr="00D80F3F">
              <w:rPr>
                <w:rFonts w:ascii="Arial Narrow" w:hAnsi="Arial Narrow" w:cs="Times New Roman"/>
                <w:sz w:val="20"/>
                <w:lang w:val="sk-SK"/>
              </w:rPr>
              <w:t xml:space="preserve">c) materskou spoločnosťou poisťovne alebo zaisťovne je zmiešaná finančná holdingová spoločnosť a finančný konglomerát tvoria ďalšie regulované osoby so sídlom v inom členskom štáte, pričom najvýznamnejším finančným sektorom finančného konglomerátu je sektor poisťovníctva, </w:t>
            </w:r>
          </w:p>
          <w:p w:rsidR="00AA230E" w:rsidP="00AA230E">
            <w:pPr>
              <w:jc w:val="both"/>
              <w:rPr>
                <w:rFonts w:ascii="Arial Narrow" w:hAnsi="Arial Narrow" w:cs="Times New Roman"/>
                <w:b w:val="0"/>
                <w:noProof/>
                <w:sz w:val="20"/>
              </w:rPr>
            </w:pPr>
          </w:p>
          <w:p w:rsidR="00AA230E" w:rsidP="00AA230E">
            <w:pPr>
              <w:jc w:val="both"/>
              <w:rPr>
                <w:rFonts w:ascii="Arial Narrow" w:hAnsi="Arial Narrow" w:cs="Times New Roman"/>
                <w:b w:val="0"/>
                <w:noProof/>
                <w:sz w:val="20"/>
              </w:rPr>
            </w:pPr>
          </w:p>
          <w:p w:rsidR="00AA230E" w:rsidP="00AA230E">
            <w:pPr>
              <w:jc w:val="both"/>
              <w:rPr>
                <w:rFonts w:ascii="Arial Narrow" w:hAnsi="Arial Narrow" w:cs="Times New Roman"/>
                <w:b w:val="0"/>
                <w:noProof/>
                <w:sz w:val="20"/>
              </w:rPr>
            </w:pPr>
          </w:p>
          <w:p w:rsidR="00AA230E" w:rsidP="00AA230E">
            <w:pPr>
              <w:jc w:val="both"/>
              <w:rPr>
                <w:rFonts w:ascii="Arial Narrow" w:hAnsi="Arial Narrow" w:cs="Times New Roman"/>
                <w:b w:val="0"/>
                <w:noProof/>
                <w:sz w:val="20"/>
              </w:rPr>
            </w:pPr>
          </w:p>
          <w:p w:rsidR="00AA230E" w:rsidRPr="00AA230E" w:rsidP="00AA230E">
            <w:pPr>
              <w:jc w:val="both"/>
              <w:rPr>
                <w:rFonts w:ascii="Arial Narrow" w:hAnsi="Arial Narrow" w:cs="Times New Roman"/>
                <w:b w:val="0"/>
                <w:noProof/>
                <w:sz w:val="20"/>
              </w:rPr>
            </w:pPr>
            <w:r w:rsidRPr="00AA230E">
              <w:rPr>
                <w:rFonts w:ascii="Arial Narrow" w:hAnsi="Arial Narrow" w:cs="Times New Roman"/>
                <w:b w:val="0"/>
                <w:noProof/>
                <w:sz w:val="20"/>
              </w:rPr>
              <w:t xml:space="preserve">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poisťovňa, poisťovňa z iného členského štátu, zahraničná poisťovňa vrátane jej pobočiek, zaisťovňa, zaisťovňa z iného členského štátu alebo zahraničná zaisťovňa vrátane jej pobočiek, alebo ak najvýznamnejším finančným sektorom finančného konglomerátu je sektor poisťovníctva; ak je súčasťou sektora poisťovníctva aj poisťovňa z iného členského štátu alebo zaisťovňa z iného členského štátu so sídlom v inom členskom štáte, ak sa tak Národná banka Slovenska dohodla s príslušným orgánom dohľadu tohto členského štátu, </w:t>
            </w:r>
          </w:p>
          <w:p w:rsidR="00AA230E" w:rsidRPr="00D80F3F" w:rsidP="00AA230E">
            <w:pPr>
              <w:pStyle w:val="BodyTextIndent"/>
              <w:spacing w:after="0"/>
              <w:ind w:left="0" w:firstLine="0"/>
              <w:rPr>
                <w:rFonts w:ascii="Arial Narrow" w:hAnsi="Arial Narrow" w:cs="Times New Roman"/>
                <w:sz w:val="20"/>
                <w:lang w:val="sk-SK"/>
              </w:rPr>
            </w:pPr>
            <w:r w:rsidRPr="00D80F3F">
              <w:rPr>
                <w:rFonts w:ascii="Arial Narrow" w:hAnsi="Arial Narrow" w:cs="Times New Roman"/>
                <w:sz w:val="20"/>
                <w:lang w:val="sk-SK"/>
              </w:rPr>
              <w:t xml:space="preserve">e) finančný konglomerát je ovládaný zmiešanou finančnou holdingovou spoločnosťou so sídlom v Slovenskej republike, ktorá je materskou spoločnosťou viac ako jednej regulovanej osoby so sídlom v inom členskom štáte a žiadnej z týchto regulovaných osôb nebolo udelené povolenie v Slovenskej republike, pričom najvýznamnejším finančným sektorom finančného konglomerátu je sektor poisťovníctva, </w:t>
            </w:r>
          </w:p>
          <w:p w:rsidR="00797484" w:rsidRPr="00D80F3F" w:rsidP="00AA230E">
            <w:pPr>
              <w:pStyle w:val="BodyTextIndent"/>
              <w:spacing w:after="0"/>
              <w:ind w:left="0" w:firstLine="0"/>
              <w:rPr>
                <w:rFonts w:ascii="Arial Narrow" w:hAnsi="Arial Narrow" w:cs="Times New Roman"/>
                <w:sz w:val="20"/>
                <w:lang w:val="sk-SK"/>
              </w:rPr>
            </w:pPr>
          </w:p>
          <w:p w:rsidR="00AA230E" w:rsidRPr="00D80F3F" w:rsidP="00AA230E">
            <w:pPr>
              <w:pStyle w:val="BodyTextIndent"/>
              <w:spacing w:after="0"/>
              <w:ind w:left="0" w:firstLine="0"/>
              <w:rPr>
                <w:rFonts w:ascii="Arial Narrow" w:hAnsi="Arial Narrow" w:cs="Times New Roman"/>
                <w:sz w:val="20"/>
                <w:lang w:val="sk-SK"/>
              </w:rPr>
            </w:pPr>
            <w:r w:rsidRPr="00D80F3F">
              <w:rPr>
                <w:rFonts w:ascii="Arial Narrow" w:hAnsi="Arial Narrow" w:cs="Times New Roman"/>
                <w:sz w:val="20"/>
                <w:lang w:val="sk-SK"/>
              </w:rPr>
              <w:t xml:space="preserve">f) finančný konglomerát nie je ovládaný materskou spoločnosťou alebo je ovládaný inak ako je uvedené v písmenách a) až e), ak najvýznamnejším finančným sektorom finančného konglomerátu je sektor poisťovníctva a regulovanou osobou s najvyššími celkovými aktívami v tomto sektore je poisťovňa, poisťovňa z iného členského štátu, zahraničná poisťovňa vrátane jej pobočiek, zaisťovňa, zaisťovňa z iného členského štátu alebo zahraničná zaisťovňa vrátane jej pobočiek. </w:t>
            </w:r>
          </w:p>
          <w:p w:rsidR="00797484" w:rsidP="00AA230E">
            <w:pPr>
              <w:jc w:val="both"/>
              <w:rPr>
                <w:rFonts w:ascii="Arial Narrow" w:hAnsi="Arial Narrow" w:cs="Times New Roman"/>
                <w:b w:val="0"/>
                <w:noProof/>
                <w:sz w:val="20"/>
              </w:rPr>
            </w:pPr>
          </w:p>
          <w:p w:rsidR="00AA230E" w:rsidRPr="00AA230E" w:rsidP="00AA230E">
            <w:pPr>
              <w:jc w:val="both"/>
              <w:rPr>
                <w:rFonts w:ascii="Arial Narrow" w:hAnsi="Arial Narrow" w:cs="Times New Roman"/>
                <w:b w:val="0"/>
                <w:noProof/>
                <w:sz w:val="20"/>
              </w:rPr>
            </w:pPr>
            <w:r w:rsidRPr="00AA230E">
              <w:rPr>
                <w:rFonts w:ascii="Arial Narrow" w:hAnsi="Arial Narrow" w:cs="Times New Roman"/>
                <w:b w:val="0"/>
                <w:noProof/>
                <w:sz w:val="20"/>
              </w:rPr>
              <w:t xml:space="preserve">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prenechať výkon doplňujúceho dohľadu v prípadoch uvedených v odseku 1 Národnej banke Slovenska alebo príslušnému orgánu dohľadu iného členského štátu, ak je to vhodné z hľadiska plnenia cieľov doplňujúceho dohľadu. </w:t>
            </w:r>
          </w:p>
          <w:p w:rsidR="00AA230E" w:rsidRPr="004C6330" w:rsidP="004C6330">
            <w:pPr>
              <w:autoSpaceDE/>
              <w:autoSpaceDN/>
              <w:ind w:firstLine="0"/>
              <w:jc w:val="both"/>
              <w:rPr>
                <w:rFonts w:ascii="Arial Narrow" w:hAnsi="Arial Narrow" w:cs="Times New Roman"/>
                <w:noProof/>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52C57">
            <w:pPr>
              <w:pStyle w:val="FootnoteText"/>
              <w:overflowPunct/>
              <w:adjustRightInd/>
              <w:textAlignment w:val="auto"/>
              <w:rPr>
                <w:rFonts w:ascii="Arial Narrow" w:hAnsi="Arial Narrow" w:cs="Times New Roman"/>
                <w:lang w:val="sk-SK"/>
              </w:rPr>
            </w:pPr>
          </w:p>
          <w:p w:rsidR="00AA230E" w:rsidRPr="007078D1">
            <w:pPr>
              <w:pStyle w:val="FootnoteText"/>
              <w:overflowPunct/>
              <w:adjustRightInd/>
              <w:textAlignment w:val="auto"/>
              <w:rPr>
                <w:rFonts w:ascii="Arial Narrow" w:hAnsi="Arial Narrow" w:cs="Times New Roman"/>
                <w:lang w:val="sk-SK"/>
              </w:rPr>
            </w:pPr>
            <w:r>
              <w:rPr>
                <w:rFonts w:ascii="Arial Narrow" w:hAnsi="Arial Narrow" w:cs="Times New Roman"/>
                <w:lang w:val="sk-SK"/>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B765F" w:rsidRPr="007078D1" w:rsidP="00192925">
            <w:pPr>
              <w:rPr>
                <w:rFonts w:ascii="Arial Narrow" w:hAnsi="Arial Narrow" w:cs="Times New Roman"/>
                <w:sz w:val="20"/>
              </w:rPr>
            </w:pPr>
            <w:r w:rsidRPr="007078D1" w:rsidR="00D1040A">
              <w:rPr>
                <w:rFonts w:ascii="Arial Narrow" w:hAnsi="Arial Narrow" w:cs="Times New Roman"/>
                <w:sz w:val="20"/>
              </w:rPr>
              <w:t>Čl.</w:t>
            </w:r>
            <w:r w:rsidRPr="007078D1">
              <w:rPr>
                <w:rFonts w:ascii="Arial Narrow" w:hAnsi="Arial Narrow" w:cs="Times New Roman"/>
                <w:sz w:val="20"/>
              </w:rPr>
              <w:t xml:space="preserve"> </w:t>
            </w:r>
          </w:p>
          <w:p w:rsidR="00D1040A" w:rsidRPr="007078D1" w:rsidP="00192925">
            <w:pPr>
              <w:rPr>
                <w:rFonts w:ascii="Arial Narrow" w:hAnsi="Arial Narrow" w:cs="Times New Roman"/>
                <w:sz w:val="20"/>
              </w:rPr>
            </w:pPr>
            <w:r w:rsidRPr="007078D1" w:rsidR="002B765F">
              <w:rPr>
                <w:rFonts w:ascii="Arial Narrow" w:hAnsi="Arial Narrow" w:cs="Times New Roman"/>
                <w:sz w:val="20"/>
              </w:rPr>
              <w:t>11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Úlohy koordinátora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Medzi úlohy, ktoré má koordinátor vykonávať v oblasti doplnkového dohľadu, patrí:</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koordinácia zberu a rozširovania relevantných alebo dôležitých informácií za normálnej činnosti a v kritických situáciách vrátane rozširovania informácií, ktoré sú dôležité na úlohu príslušného orgánu v oblasti dohľadu podľa sektorových predpisov;</w:t>
            </w:r>
          </w:p>
          <w:p w:rsidR="00756373"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prehľad o finančnej situácii a hodnotenie finančnej situácie finančného konglomerátu na potreby dohľadu;</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hodnotenie dodržiavania pravidiel o kapitálovej primeranosti, koncentrácii rizík a vnútroskupinových transakciách ustanovených v článkoch 6, 7 a 8;</w:t>
            </w:r>
          </w:p>
          <w:p w:rsidR="00756373"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 hodnotenie štruktúry finančného konglomerátu, jeho organizácie a systému vnútornej kontroly, uvedeného v článku 9;</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e) plánovanie a koordinácia činností dohľadu za normálnej činnosti a v kritických situáciách v spolupráci so dotknutými príslušnými orgánmi;</w:t>
            </w:r>
          </w:p>
          <w:p w:rsidR="00756373" w:rsidP="00C02544">
            <w:pPr>
              <w:pStyle w:val="Normlnywebov8"/>
              <w:spacing w:before="0" w:after="0"/>
              <w:ind w:left="0" w:right="0"/>
              <w:jc w:val="both"/>
              <w:rPr>
                <w:rFonts w:ascii="Arial Narrow" w:hAnsi="Arial Narrow" w:cs="Tahoma"/>
                <w:sz w:val="20"/>
                <w:szCs w:val="20"/>
              </w:rPr>
            </w:pPr>
          </w:p>
          <w:p w:rsidR="00756373"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f) ostatné úlohy, opatrenia a rozhodnutia pridelené koordinátorovi podľa tejto smernice alebo odvodené z uplatňov</w:t>
            </w:r>
            <w:r w:rsidRPr="00C02544">
              <w:rPr>
                <w:rFonts w:ascii="Arial Narrow" w:hAnsi="Arial Narrow" w:cs="Tahoma"/>
                <w:sz w:val="20"/>
                <w:szCs w:val="20"/>
              </w:rPr>
              <w:t>ania tejto smernice.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Koordinátor a ostatné príslušné orgány a v prípade potreby ostatné dotknuté príslušné orgány musia mať zavedené mechanizmy koordinácie na uľahčenie a vytvorenie doplnkového dohľadu na širokom právnom základe. Mechanizmy koordinácie môžu poveriť koordinátora dodatočnými úlohami a môžu špecifikovať postupy procesu rozhodovania medzi príslušnými orgánmi ustanoveného v článkoch 3, 4, 5 ods. 4, 6, 12 ods. 2, 16 a 18, a spolupráce s príslušnými orgánmi.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Keď koordinátor potrebuje informácie, ktoré už boli poskytnuté inému príslušnému orgánu v súlade so sektorovými predpismi, musí kontaktovať tento orgán vždy, keď to je možné, aby zabránil duplicitnému spravodajstvu pre rôzne orgány zaangažované v dohľade.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Bez toho, aby bola dotknutá možnosť delegovať špecifické právomoci a povinnosti dohľadu, prítomnosť koordinátora povereného špecifickými úlohami týkajúcimi sa doplnkového dohľadu nad regulovanými subjektmi vo finančnom konglomeráte nemá vplyv na úlohy a povinnosti príslušných orgánov, kto</w:t>
            </w:r>
            <w:r w:rsidRPr="00C02544">
              <w:rPr>
                <w:rFonts w:ascii="Arial Narrow" w:hAnsi="Arial Narrow" w:cs="Tahoma"/>
                <w:sz w:val="20"/>
                <w:szCs w:val="20"/>
              </w:rPr>
              <w:t>ré sa ustanovujú v sektorových predpisoch.</w:t>
            </w:r>
          </w:p>
          <w:p w:rsidR="00D1040A"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pPr>
              <w:rPr>
                <w:rFonts w:ascii="Arial Narrow" w:hAnsi="Arial Narrow" w:cs="Times New Roman"/>
                <w:sz w:val="20"/>
              </w:rPr>
            </w:pPr>
          </w:p>
          <w:p w:rsidR="00756373"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6759A">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6759A">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r>
              <w:rPr>
                <w:rFonts w:ascii="Arial Narrow" w:hAnsi="Arial Narrow" w:cs="Times New Roman"/>
                <w:lang w:val="sk-SK"/>
              </w:rPr>
              <w:t xml:space="preserve">§ 62 ods.1 </w:t>
            </w: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r>
              <w:rPr>
                <w:rFonts w:ascii="Arial Narrow" w:hAnsi="Arial Narrow" w:cs="Times New Roman"/>
                <w:lang w:val="sk-SK"/>
              </w:rPr>
              <w:t xml:space="preserve">ods.2 </w:t>
            </w: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pPr>
              <w:pStyle w:val="FootnoteText"/>
              <w:overflowPunct/>
              <w:adjustRightInd/>
              <w:textAlignment w:val="auto"/>
              <w:rPr>
                <w:rFonts w:ascii="Arial Narrow" w:hAnsi="Arial Narrow" w:cs="Times New Roman"/>
                <w:lang w:val="sk-SK"/>
              </w:rPr>
            </w:pPr>
          </w:p>
          <w:p w:rsidR="00756373" w:rsidRPr="007078D1">
            <w:pPr>
              <w:pStyle w:val="FootnoteText"/>
              <w:overflowPunct/>
              <w:adjustRightInd/>
              <w:textAlignment w:val="auto"/>
              <w:rPr>
                <w:rFonts w:ascii="Arial Narrow" w:hAnsi="Arial Narrow" w:cs="Times New Roman"/>
                <w:lang w:val="sk-SK"/>
              </w:rPr>
            </w:pPr>
            <w:r>
              <w:rPr>
                <w:rFonts w:ascii="Arial Narrow" w:hAnsi="Arial Narrow" w:cs="Times New Roman"/>
                <w:lang w:val="sk-SK"/>
              </w:rPr>
              <w:t>ods.3</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6759A" w:rsidP="001C1A52">
            <w:pPr>
              <w:jc w:val="both"/>
              <w:rPr>
                <w:rFonts w:ascii="Arial Narrow" w:hAnsi="Arial Narrow" w:cs="Times New Roman"/>
                <w:sz w:val="20"/>
              </w:rPr>
            </w:pP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 xml:space="preserve">Národná banka Slovenska pri výkone doplňujúceho dohľadu podľa § 54. </w:t>
            </w: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 xml:space="preserve">a) zabezpečuje koordináciu zhromažďovania a rozširovania informácií potrebných na sledovanie činnosti finančného konglomerátu a aj zabezpečuje poskytovanie informácií dôležitých na výkon doplňujúceho dohľadu v jednotlivých finančných sektoroch príslušným orgánom dohľadu iných štátov, ktoré zodpovedajú za dohľad nad regulovanými osobami tvoriacimi súčasť finančného konglomerátu, </w:t>
            </w:r>
          </w:p>
          <w:p w:rsidR="00756373" w:rsidRPr="00756373" w:rsidP="00756373">
            <w:pPr>
              <w:tabs>
                <w:tab w:val="left" w:pos="0"/>
              </w:tabs>
              <w:jc w:val="both"/>
              <w:rPr>
                <w:rFonts w:ascii="Arial Narrow" w:hAnsi="Arial Narrow" w:cs="Times New Roman"/>
                <w:sz w:val="20"/>
              </w:rPr>
            </w:pPr>
            <w:r w:rsidRPr="00756373">
              <w:rPr>
                <w:rFonts w:ascii="Arial Narrow" w:hAnsi="Arial Narrow" w:cs="Times New Roman"/>
                <w:sz w:val="20"/>
              </w:rPr>
              <w:t xml:space="preserve">b) zhromažďuje informácie potrebné na zhodnotenie finančnej situácie finančného konglomerátu na účely výkonu doplňujúceho dohľadu, </w:t>
            </w: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c) sleduje dodržiavanie ustanovení tohto zákona o dostatočnej výške vlastných zdrojov, koncentráciách rizík finančného konglomerátu a vnútroskupinových obchodoch,</w:t>
            </w:r>
          </w:p>
          <w:p w:rsidR="00756373" w:rsidRPr="00756373" w:rsidP="00756373">
            <w:pPr>
              <w:jc w:val="both"/>
              <w:rPr>
                <w:rFonts w:ascii="Arial Narrow" w:hAnsi="Arial Narrow" w:cs="Times New Roman"/>
                <w:sz w:val="20"/>
              </w:rPr>
            </w:pPr>
            <w:r w:rsidRPr="00756373">
              <w:rPr>
                <w:rFonts w:ascii="Arial Narrow" w:hAnsi="Arial Narrow" w:cs="Times New Roman"/>
                <w:sz w:val="20"/>
              </w:rPr>
              <w:t xml:space="preserve">d) sleduje štruktúru finančného konglomerátu, jeho organizáciu a sleduje funkčnosť systému vnútornej kontroly podľa § 61, </w:t>
            </w: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 xml:space="preserve">e) plánuje a koordinuje výkon doplňujúceho dohľadu za akejkoľvek situácie v spolupráci s príslušnými orgánmi dohľadu iných štátov, ktoré zodpovedajú za dohľad nad regulovanými osobami tvoriacimi súčasť finančného konglomerátu, </w:t>
            </w:r>
          </w:p>
          <w:p w:rsidR="00756373" w:rsidRPr="00756373" w:rsidP="00756373">
            <w:pPr>
              <w:tabs>
                <w:tab w:val="left" w:pos="426"/>
              </w:tabs>
              <w:ind w:left="480" w:hanging="480"/>
              <w:jc w:val="both"/>
              <w:rPr>
                <w:rFonts w:ascii="Arial Narrow" w:hAnsi="Arial Narrow" w:cs="Times New Roman"/>
                <w:sz w:val="20"/>
              </w:rPr>
            </w:pPr>
            <w:r w:rsidRPr="00756373">
              <w:rPr>
                <w:rFonts w:ascii="Arial Narrow" w:hAnsi="Arial Narrow" w:cs="Times New Roman"/>
                <w:sz w:val="20"/>
              </w:rPr>
              <w:t>f) plní ďalšie úlohy potrebné na výkon doplňujúceho dohľadu.</w:t>
            </w:r>
          </w:p>
          <w:p w:rsidR="00756373" w:rsidP="00756373">
            <w:pPr>
              <w:jc w:val="both"/>
              <w:rPr>
                <w:rFonts w:ascii="Arial Narrow" w:hAnsi="Arial Narrow" w:cs="Times New Roman"/>
                <w:b w:val="0"/>
                <w:noProof/>
                <w:sz w:val="20"/>
              </w:rPr>
            </w:pP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 xml:space="preserve">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55, 56, 57 ods. 3 a 5, § 58, 63 ods. 2 a 68. </w:t>
            </w:r>
          </w:p>
          <w:p w:rsidR="00756373" w:rsidP="00756373">
            <w:pPr>
              <w:jc w:val="both"/>
              <w:rPr>
                <w:rFonts w:ascii="Arial Narrow" w:hAnsi="Arial Narrow" w:cs="Times New Roman"/>
                <w:sz w:val="20"/>
              </w:rPr>
            </w:pPr>
          </w:p>
          <w:p w:rsidR="00756373" w:rsidRPr="00405E0C" w:rsidP="00756373">
            <w:pPr>
              <w:jc w:val="both"/>
              <w:rPr>
                <w:rFonts w:ascii="Arial Narrow" w:hAnsi="Arial Narrow" w:cs="Times New Roman"/>
                <w:sz w:val="20"/>
              </w:rPr>
            </w:pPr>
            <w:r w:rsidRPr="00756373">
              <w:rPr>
                <w:rFonts w:ascii="Arial Narrow" w:hAnsi="Arial Narrow" w:cs="Times New Roman"/>
                <w:sz w:val="20"/>
              </w:rPr>
              <w:t>Informácie potrebné pre výkon doplňujúceho dohľadu, ktoré už boli poskytnuté príslušnému orgánu dohľadu iného štátu, ktorý zodpovedá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w:t>
            </w:r>
            <w:r w:rsidRPr="00756373">
              <w:rPr>
                <w:rFonts w:ascii="Arial Narrow" w:hAnsi="Arial Narrow" w:cs="Times New Roman"/>
                <w:sz w:val="20"/>
              </w:rPr>
              <w:t>é v § 58 ods. 2.</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65C5" w:rsidP="00433241">
            <w:pPr>
              <w:rPr>
                <w:rFonts w:ascii="Arial Narrow" w:hAnsi="Arial Narrow" w:cs="Times New Roman"/>
                <w:sz w:val="20"/>
              </w:rPr>
            </w:pPr>
          </w:p>
          <w:p w:rsidR="00756373" w:rsidRPr="007078D1" w:rsidP="0043324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4F05" w:rsidRPr="007078D1" w:rsidP="0043324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12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Spolupráca a výmena informácií medzi príslušnými orgánmi</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Príslušné orgány zodpovedné za dohľad nad regulovanými subjektmi vo finančnom konglomeráte a príslušný orgán vymenovaný za koordinátora pre tento finančný konglomerát spolu úzko spolupracujú. Bez toho, aby boli dotknuté ich príslušné povinnosti definované v sektorových predpisoch, tieto orgány, či sú alebo nie sú zriadené v tom istom členskom štáte, sú povinné poskytovať si vzájomne akékoľvek informácie, ktoré sú dôležité alebo relevantné na vykonávanie úloh dohľadu iných orgánov podľa sektorových predpisov a podľa tejto smernice. Príslušné orgány a koordinátor v spojitosti s tým poskytnú na požiadanie všetky relevantné informácie a z vlastnej iniciatívy oznámia všetky dôležité informácie.</w:t>
            </w: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Táto spolupráca zabezpečí prinajmenšom zber a výmenu informácií v týchto oblastiach:</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identifikácia štruktúry skupiny všetkých významných subjektov skupiny patriacich k finančnému konglomerátu, ako aj príslušných orgáno</w:t>
            </w:r>
            <w:r w:rsidRPr="00C02544">
              <w:rPr>
                <w:rFonts w:ascii="Arial Narrow" w:hAnsi="Arial Narrow" w:cs="Tahoma"/>
                <w:sz w:val="20"/>
                <w:szCs w:val="20"/>
              </w:rPr>
              <w:t>v regulovaných subjektov v skupine;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strategické zásady finančného konglomerátu;</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finančná situácia finančného konglomerátu, najmä čo sa týka kapitálovej primeranosti, vnútroskupinových transakcií, koncentrácie rizík a ziskovosti;</w:t>
            </w:r>
          </w:p>
          <w:p w:rsidR="00756373"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 hlavní akcionári a manažment finančného konglomerátu;</w:t>
            </w:r>
          </w:p>
          <w:p w:rsidR="00756373" w:rsidP="00C02544">
            <w:pPr>
              <w:pStyle w:val="Normlnywebov8"/>
              <w:spacing w:before="0" w:after="0"/>
              <w:ind w:left="0" w:right="0"/>
              <w:jc w:val="both"/>
              <w:rPr>
                <w:rFonts w:ascii="Arial Narrow" w:hAnsi="Arial Narrow" w:cs="Tahoma"/>
                <w:sz w:val="20"/>
                <w:szCs w:val="20"/>
              </w:rPr>
            </w:pPr>
          </w:p>
          <w:p w:rsidR="00756373"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e) organizácia, riadenie rizík a systémy vnútornej kontroly na úrovni finančného konglomerátu;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f) postupy zberu informácií od subjektov vo finančnom konglomeráte a overovanie týchto informácií;</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g) nepriaznivý vývoj v regulovaných subjektoch alebo v iných subjektoch finančného konglomerátu, ktorý by mohol mať vážny negatívny vplyv na regulované subjekty;</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h) závažné sankcie a mimoriadne opatrenia prijaté príslušnými orgánmi podľa sektorových predpisov alebo podľa tejto smernice.</w:t>
            </w: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Príslušné orgány môžu tiež vymieňať s nasledujúcimi orgánmi také informácie, ktoré môžu byť potrebné na vykonávanie ich príslušných úloh, týkajúcich sa regulovaných subjektov vo finančnom konglomeráte, v súlade s ustanoveniami zakotvenými v sektorových predpisoch: centrálne banky, Európsky systém centrálnych bánk a Európska centrálna banka.</w:t>
            </w:r>
          </w:p>
          <w:p w:rsidR="00756373" w:rsidP="00C02544">
            <w:pPr>
              <w:pStyle w:val="Normlnywebov8"/>
              <w:spacing w:before="0" w:after="0"/>
              <w:ind w:left="0" w:right="0"/>
              <w:jc w:val="both"/>
              <w:rPr>
                <w:rFonts w:ascii="Arial Narrow" w:hAnsi="Arial Narrow" w:cs="Tahoma"/>
                <w:sz w:val="20"/>
                <w:szCs w:val="20"/>
              </w:rPr>
            </w:pPr>
          </w:p>
          <w:p w:rsidR="00756373" w:rsidP="00C02544">
            <w:pPr>
              <w:pStyle w:val="Normlnywebov8"/>
              <w:spacing w:before="0" w:after="0"/>
              <w:ind w:left="0" w:right="0"/>
              <w:jc w:val="both"/>
              <w:rPr>
                <w:rFonts w:ascii="Arial Narrow" w:hAnsi="Arial Narrow" w:cs="Tahoma"/>
                <w:sz w:val="20"/>
                <w:szCs w:val="20"/>
              </w:rPr>
            </w:pPr>
          </w:p>
          <w:p w:rsidR="00756373"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Bez toho, aby boli dotknuté ich príslušné povinnosti definované v sektorových predpisoch, dotknuté príslušné orgány sa vzájomne poradia pred prijatím rozhodnutia v nasledujúcich písmenách, ak sú tieto rozhodnutia dôležité pre úlohy dohľadu ostatných príslušných orgánov:</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zmeny akcionárskej, organizačnej alebo riadiacej štruktúry regulovaných subjektov vo finančnom konglomeráte, ktoré vyžadujú súhlas alebo schválenie príslušných orgánov;</w:t>
            </w:r>
          </w:p>
          <w:p w:rsidR="003A6DA0"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závažné sankcie alebo výnimočné opatrenia prijaté príslušnými orgánmi.</w:t>
            </w:r>
          </w:p>
          <w:p w:rsidR="003A6DA0" w:rsidP="00C02544">
            <w:pPr>
              <w:pStyle w:val="Normlnywebov8"/>
              <w:spacing w:before="0" w:after="0"/>
              <w:ind w:left="0" w:right="0"/>
              <w:jc w:val="both"/>
              <w:rPr>
                <w:rFonts w:ascii="Arial Narrow" w:hAnsi="Arial Narrow" w:cs="Tahoma"/>
                <w:sz w:val="20"/>
                <w:szCs w:val="20"/>
              </w:rPr>
            </w:pPr>
          </w:p>
          <w:p w:rsidR="003A6DA0" w:rsidP="00C02544">
            <w:pPr>
              <w:pStyle w:val="Normlnywebov8"/>
              <w:spacing w:before="0" w:after="0"/>
              <w:ind w:left="0" w:right="0"/>
              <w:jc w:val="both"/>
              <w:rPr>
                <w:rFonts w:ascii="Arial Narrow" w:hAnsi="Arial Narrow" w:cs="Tahoma"/>
                <w:sz w:val="20"/>
                <w:szCs w:val="20"/>
              </w:rPr>
            </w:pPr>
          </w:p>
          <w:p w:rsidR="003A6DA0" w:rsidP="00C02544">
            <w:pPr>
              <w:pStyle w:val="Normlnywebov8"/>
              <w:spacing w:before="0" w:after="0"/>
              <w:ind w:left="0" w:right="0"/>
              <w:jc w:val="both"/>
              <w:rPr>
                <w:rFonts w:ascii="Arial Narrow" w:hAnsi="Arial Narrow" w:cs="Tahoma"/>
                <w:sz w:val="20"/>
                <w:szCs w:val="20"/>
              </w:rPr>
            </w:pPr>
          </w:p>
          <w:p w:rsidR="003A6DA0" w:rsidP="00C02544">
            <w:pPr>
              <w:pStyle w:val="Normlnywebov8"/>
              <w:spacing w:before="0" w:after="0"/>
              <w:ind w:left="0" w:right="0"/>
              <w:jc w:val="both"/>
              <w:rPr>
                <w:rFonts w:ascii="Arial Narrow" w:hAnsi="Arial Narrow" w:cs="Tahoma"/>
                <w:sz w:val="20"/>
                <w:szCs w:val="20"/>
              </w:rPr>
            </w:pPr>
          </w:p>
          <w:p w:rsidR="003A6DA0"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Príslušný orgán sa môže rozhodnúť neporadiť sa v naliehavých prípadoch, alebo ak takáto konzultácia môže ohroziť účinnosť rozhodnutí. Príslušný orgán v tom prípade bez meškania informuje ostatné príslušné orgány.</w:t>
            </w:r>
          </w:p>
          <w:p w:rsidR="003A6DA0" w:rsidP="00C02544">
            <w:pPr>
              <w:pStyle w:val="Normlnywebov8"/>
              <w:spacing w:before="0" w:after="0"/>
              <w:ind w:left="0" w:right="0"/>
              <w:jc w:val="both"/>
              <w:rPr>
                <w:rFonts w:ascii="Arial Narrow" w:hAnsi="Arial Narrow" w:cs="Tahoma"/>
                <w:sz w:val="20"/>
                <w:szCs w:val="20"/>
              </w:rPr>
            </w:pPr>
          </w:p>
          <w:p w:rsidR="003A6DA0" w:rsidP="00C02544">
            <w:pPr>
              <w:pStyle w:val="Normlnywebov8"/>
              <w:spacing w:before="0" w:after="0"/>
              <w:ind w:left="0" w:right="0"/>
              <w:jc w:val="both"/>
              <w:rPr>
                <w:rFonts w:ascii="Arial Narrow" w:hAnsi="Arial Narrow" w:cs="Tahoma"/>
                <w:sz w:val="20"/>
                <w:szCs w:val="20"/>
              </w:rPr>
            </w:pPr>
          </w:p>
          <w:p w:rsidR="003A6DA0" w:rsidP="00C02544">
            <w:pPr>
              <w:pStyle w:val="Normlnywebov8"/>
              <w:spacing w:before="0" w:after="0"/>
              <w:ind w:left="0" w:right="0"/>
              <w:jc w:val="both"/>
              <w:rPr>
                <w:rFonts w:ascii="Arial Narrow" w:hAnsi="Arial Narrow" w:cs="Tahoma"/>
                <w:sz w:val="20"/>
                <w:szCs w:val="20"/>
              </w:rPr>
            </w:pPr>
          </w:p>
          <w:p w:rsidR="003A6DA0"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Koordinátor môže vyzvať príslušné orgány členského štátu, v ktorom má sídlo materský podnik a ktoré sami nevykonávajú doplnkový dohľad podľa článku 10, aby požiadali materský podnik o akékoľvek informácie, ktoré sú relevantné na vykonávanie jeho koordinačných úloh uvedených v článku 11, a aby postúpili tieto informácie koordinátorovi.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informácie uvedené v článku 14 ods. 2 už boli poskytnuté príslušnému orgánu na základe sektorových predpisov, príslušné orgány zodpovedné za vykonávanie doplnkového dohľadu sa môžu obrátiť na tento orgán so žiadosťou o získanie informácií.</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Členské štáty udelia povolenie na výmenu informácií medzi svojimi príslušnými orgánmi a medzi svojimi príslušnými orgánmi a inými orgánmi, ktorá sa ustanovuje v odsekoch 1, 2 a 3. Zber alebo vlastníctvo informácií vo vzťahu k subjektu vo finančnom konglomeráte, ktorý nie je regulovaným subjektom, neznamená, že príslušné orgány sú povinné vykonávať úlohu dohľadu vo vzťahu k týmto orgánom na samostatnom základe.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Na informácie prijaté v rámci doplnkového dohľadu, najmä na každú výmenu informácií medzi príslušnými orgánmi a medzi príslušnými orgánmi a inými orgánmi ustanovenú v tejto smernici, sa vzťahujú ustanovenia o profesionálnom tajomstve a oznamovaní dôverných informácií zakotvené v sektorových predpisoch.</w:t>
            </w:r>
          </w:p>
          <w:p w:rsidR="00D1040A"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pPr>
              <w:rPr>
                <w:rFonts w:ascii="Arial Narrow" w:hAnsi="Arial Narrow" w:cs="Times New Roman"/>
                <w:sz w:val="20"/>
              </w:rPr>
            </w:pPr>
          </w:p>
          <w:p w:rsidR="00756373"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32E67">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32E67">
            <w:pPr>
              <w:rPr>
                <w:rFonts w:ascii="Arial Narrow" w:hAnsi="Arial Narrow" w:cs="Times New Roman"/>
                <w:sz w:val="20"/>
              </w:rPr>
            </w:pPr>
          </w:p>
          <w:p w:rsidR="00756373">
            <w:pPr>
              <w:rPr>
                <w:rFonts w:ascii="Arial Narrow" w:hAnsi="Arial Narrow" w:cs="Times New Roman"/>
                <w:sz w:val="20"/>
              </w:rPr>
            </w:pPr>
            <w:r>
              <w:rPr>
                <w:rFonts w:ascii="Arial Narrow" w:hAnsi="Arial Narrow" w:cs="Times New Roman"/>
                <w:sz w:val="20"/>
              </w:rPr>
              <w:t xml:space="preserve">§ 63 ods.1 </w:t>
            </w: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r>
              <w:rPr>
                <w:rFonts w:ascii="Arial Narrow" w:hAnsi="Arial Narrow" w:cs="Times New Roman"/>
                <w:sz w:val="20"/>
              </w:rPr>
              <w:t xml:space="preserve">ods.2 </w:t>
            </w: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r>
              <w:rPr>
                <w:rFonts w:ascii="Arial Narrow" w:hAnsi="Arial Narrow" w:cs="Times New Roman"/>
                <w:sz w:val="20"/>
              </w:rPr>
              <w:t xml:space="preserve">ods.3 </w:t>
            </w: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r>
              <w:rPr>
                <w:rFonts w:ascii="Arial Narrow" w:hAnsi="Arial Narrow" w:cs="Times New Roman"/>
                <w:sz w:val="20"/>
              </w:rPr>
              <w:t xml:space="preserve">ods.2 3.veta </w:t>
            </w: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756373">
            <w:pPr>
              <w:rPr>
                <w:rFonts w:ascii="Arial Narrow" w:hAnsi="Arial Narrow" w:cs="Times New Roman"/>
                <w:sz w:val="20"/>
              </w:rPr>
            </w:pPr>
          </w:p>
          <w:p w:rsidR="003A6DA0">
            <w:pPr>
              <w:rPr>
                <w:rFonts w:ascii="Arial Narrow" w:hAnsi="Arial Narrow" w:cs="Times New Roman"/>
                <w:sz w:val="20"/>
              </w:rPr>
            </w:pPr>
            <w:r w:rsidR="00756373">
              <w:rPr>
                <w:rFonts w:ascii="Arial Narrow" w:hAnsi="Arial Narrow" w:cs="Times New Roman"/>
                <w:sz w:val="20"/>
              </w:rPr>
              <w:t xml:space="preserve">ods.4 </w:t>
            </w: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r w:rsidR="00756373">
              <w:rPr>
                <w:rFonts w:ascii="Arial Narrow" w:hAnsi="Arial Narrow" w:cs="Times New Roman"/>
                <w:sz w:val="20"/>
              </w:rPr>
              <w:t xml:space="preserve">ods.5 </w:t>
            </w: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r w:rsidR="00756373">
              <w:rPr>
                <w:rFonts w:ascii="Arial Narrow" w:hAnsi="Arial Narrow" w:cs="Times New Roman"/>
                <w:sz w:val="20"/>
              </w:rPr>
              <w:t xml:space="preserve">ods.6 </w:t>
            </w: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p>
          <w:p w:rsidR="003A6DA0">
            <w:pPr>
              <w:rPr>
                <w:rFonts w:ascii="Arial Narrow" w:hAnsi="Arial Narrow" w:cs="Times New Roman"/>
                <w:sz w:val="20"/>
              </w:rPr>
            </w:pPr>
            <w:r w:rsidR="00756373">
              <w:rPr>
                <w:rFonts w:ascii="Arial Narrow" w:hAnsi="Arial Narrow" w:cs="Times New Roman"/>
                <w:sz w:val="20"/>
              </w:rPr>
              <w:t xml:space="preserve">ods.7 </w:t>
            </w:r>
          </w:p>
          <w:p w:rsidR="003A6DA0">
            <w:pPr>
              <w:rPr>
                <w:rFonts w:ascii="Arial Narrow" w:hAnsi="Arial Narrow" w:cs="Times New Roman"/>
                <w:sz w:val="20"/>
              </w:rPr>
            </w:pPr>
          </w:p>
          <w:p w:rsidR="003A6DA0">
            <w:pPr>
              <w:rPr>
                <w:rFonts w:ascii="Arial Narrow" w:hAnsi="Arial Narrow" w:cs="Times New Roman"/>
                <w:sz w:val="20"/>
              </w:rPr>
            </w:pPr>
          </w:p>
          <w:p w:rsidR="00756373" w:rsidRPr="007078D1">
            <w:pPr>
              <w:rPr>
                <w:rFonts w:ascii="Arial Narrow" w:hAnsi="Arial Narrow" w:cs="Times New Roman"/>
                <w:sz w:val="20"/>
              </w:rPr>
            </w:pPr>
            <w:r>
              <w:rPr>
                <w:rFonts w:ascii="Arial Narrow" w:hAnsi="Arial Narrow" w:cs="Times New Roman"/>
                <w:sz w:val="20"/>
              </w:rPr>
              <w:t>ods.8</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32E67" w:rsidP="00C32E67">
            <w:pPr>
              <w:jc w:val="both"/>
              <w:rPr>
                <w:rFonts w:ascii="Arial Narrow" w:hAnsi="Arial Narrow" w:cs="Times New Roman"/>
                <w:sz w:val="20"/>
              </w:rPr>
            </w:pP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 xml:space="preserve">Národná banka Slovenska spolupracuje s príslušnými orgánmi dohľadu iných členských štátov, ktoré zodpovedajú za dohľad nad regulovanými osobami tvoriacimi súčasť finančného konglomerátu pri výkone doplňujúceho dohľadu, a to aj vtedy ak doplňujúci dohľad vykonáva príslušný orgán dohľadu iného členského štátu, a to najmenej v rozsahu podľa odseku 3. </w:t>
            </w: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Národná banka Slovenska je povinná na žiadosť príslušných orgánov dohľadu iných členských štátov, ktoré zodpovedajú za dohľad nad regulovanými osobami tvoriacimi súčasť finančného konglomerátu, poskytnúť im informácie potrebné na výkon dohľadu nad regulovanými osobami tvoriacimi súčasť finančného konglomerátu a doplňujúceho dohľadu, najmenej však v rozsahu podľa odseku 3. Národná banka Slovenska je povinná poskytnúť tieto informácie aj z vlastného podnetu, ak zistí, že uvedené informácie sú dôležité pre výkon dohľadu nad finančnými konglomerátmi. Národná banka Slovenska je oprávnená vyžiadať si od príslušných orgánov dohľadu iných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doplňujúceho dohľadu aj so zahraničnými centrálnymi bankami, Európskym systémom centrálnych bánk a Európskou centrálnou bankou.</w:t>
            </w:r>
          </w:p>
          <w:p w:rsidR="00756373" w:rsidRPr="00756373" w:rsidP="00756373">
            <w:pPr>
              <w:jc w:val="both"/>
              <w:rPr>
                <w:rFonts w:ascii="Arial Narrow" w:hAnsi="Arial Narrow" w:cs="Times New Roman"/>
                <w:sz w:val="20"/>
              </w:rPr>
            </w:pPr>
            <w:r w:rsidRPr="00756373">
              <w:rPr>
                <w:rFonts w:ascii="Arial Narrow" w:hAnsi="Arial Narrow" w:cs="Times New Roman"/>
                <w:sz w:val="20"/>
              </w:rPr>
              <w:t>Spolupráca a výmena informácií podľa odsekov 1 a 2 sa týka najmä</w:t>
            </w:r>
          </w:p>
          <w:p w:rsidR="00756373" w:rsidRPr="00756373" w:rsidP="00756373">
            <w:pPr>
              <w:jc w:val="both"/>
              <w:rPr>
                <w:rFonts w:ascii="Arial Narrow" w:hAnsi="Arial Narrow" w:cs="Times New Roman"/>
                <w:sz w:val="20"/>
              </w:rPr>
            </w:pPr>
            <w:r w:rsidRPr="00756373">
              <w:rPr>
                <w:rFonts w:ascii="Arial Narrow" w:hAnsi="Arial Narrow" w:cs="Times New Roman"/>
                <w:sz w:val="20"/>
              </w:rPr>
              <w:t>a) štruktúry finančného konglomerátu a príslušných orgánov dohľadu iných členských štátov , ktoré zodpovedajú za dohľad nad regulovanými osobami tvoriacimi súčasť finančného konglomerátu,</w:t>
            </w:r>
          </w:p>
          <w:p w:rsidR="00756373" w:rsidP="00756373">
            <w:pPr>
              <w:tabs>
                <w:tab w:val="left" w:pos="426"/>
              </w:tabs>
              <w:ind w:left="480" w:hanging="480"/>
              <w:jc w:val="both"/>
              <w:rPr>
                <w:rFonts w:ascii="Arial Narrow" w:hAnsi="Arial Narrow" w:cs="Times New Roman"/>
                <w:sz w:val="20"/>
              </w:rPr>
            </w:pPr>
          </w:p>
          <w:p w:rsidR="00756373" w:rsidRPr="00756373" w:rsidP="00756373">
            <w:pPr>
              <w:tabs>
                <w:tab w:val="left" w:pos="426"/>
              </w:tabs>
              <w:ind w:left="480" w:hanging="480"/>
              <w:jc w:val="both"/>
              <w:rPr>
                <w:rFonts w:ascii="Arial Narrow" w:hAnsi="Arial Narrow" w:cs="Times New Roman"/>
                <w:sz w:val="20"/>
              </w:rPr>
            </w:pPr>
            <w:r w:rsidRPr="00756373">
              <w:rPr>
                <w:rFonts w:ascii="Arial Narrow" w:hAnsi="Arial Narrow" w:cs="Times New Roman"/>
                <w:sz w:val="20"/>
              </w:rPr>
              <w:t>b) stratégie a zamerania finančného konglomerátu,</w:t>
            </w:r>
          </w:p>
          <w:p w:rsidR="00756373" w:rsidRPr="00756373" w:rsidP="00756373">
            <w:pPr>
              <w:jc w:val="both"/>
              <w:rPr>
                <w:rFonts w:ascii="Arial Narrow" w:hAnsi="Arial Narrow" w:cs="Times New Roman"/>
                <w:sz w:val="20"/>
              </w:rPr>
            </w:pPr>
            <w:r w:rsidRPr="00756373">
              <w:rPr>
                <w:rFonts w:ascii="Arial Narrow" w:hAnsi="Arial Narrow" w:cs="Times New Roman"/>
                <w:sz w:val="20"/>
              </w:rPr>
              <w:t>c) finančnej situácie finančného konglomerátu, najmä dostatočnej výšky vlastných zdrojov, vnútroskupinových obchodov, koncentrácie rizík finančného konglomerátu a výsledkov hospodárenia,</w:t>
            </w: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d) akcionárov s kvalifikovanou účasťou v osobách tvoriacich súčasť finančného konglomerátu a členov štatutárnych orgánov osôb tvoriacich súčasť finančného konglomerátu,</w:t>
            </w:r>
          </w:p>
          <w:p w:rsidR="00756373" w:rsidRPr="00756373" w:rsidP="00756373">
            <w:pPr>
              <w:jc w:val="both"/>
              <w:rPr>
                <w:rFonts w:ascii="Arial Narrow" w:hAnsi="Arial Narrow" w:cs="Times New Roman"/>
                <w:sz w:val="20"/>
              </w:rPr>
            </w:pPr>
            <w:r w:rsidRPr="00756373">
              <w:rPr>
                <w:rFonts w:ascii="Arial Narrow" w:hAnsi="Arial Narrow" w:cs="Times New Roman"/>
                <w:sz w:val="20"/>
              </w:rPr>
              <w:t xml:space="preserve">e) organizácie, riadenia rizík a systému vnútornej kontroly na úrovni finančného konglomerátu, </w:t>
            </w:r>
          </w:p>
          <w:p w:rsidR="00756373" w:rsidRPr="00756373" w:rsidP="00756373">
            <w:pPr>
              <w:jc w:val="both"/>
              <w:rPr>
                <w:rFonts w:ascii="Arial Narrow" w:hAnsi="Arial Narrow" w:cs="Times New Roman"/>
                <w:sz w:val="20"/>
              </w:rPr>
            </w:pPr>
            <w:r w:rsidRPr="00756373">
              <w:rPr>
                <w:rFonts w:ascii="Arial Narrow" w:hAnsi="Arial Narrow" w:cs="Times New Roman"/>
                <w:sz w:val="20"/>
              </w:rPr>
              <w:t>f) postupov zberu informácií od osôb tvoriacich súčasť finančného konglomerátu a preverovania týchto informácií,</w:t>
            </w:r>
          </w:p>
          <w:p w:rsidR="00756373" w:rsidRPr="00756373" w:rsidP="00756373">
            <w:pPr>
              <w:jc w:val="both"/>
              <w:rPr>
                <w:rFonts w:ascii="Arial Narrow" w:hAnsi="Arial Narrow" w:cs="Times New Roman"/>
                <w:sz w:val="20"/>
              </w:rPr>
            </w:pPr>
            <w:r w:rsidRPr="00756373">
              <w:rPr>
                <w:rFonts w:ascii="Arial Narrow" w:hAnsi="Arial Narrow" w:cs="Times New Roman"/>
                <w:sz w:val="20"/>
              </w:rPr>
              <w:t>g) nepriaznivého vývoja v regulovaných osobách alebo v iných osobách tvoriacich súčasť finančného konglomerátu, ktorý by mohol mať vážny negatívny vplyv na poisťovňu alebo zaisťovňu,</w:t>
            </w:r>
          </w:p>
          <w:p w:rsidR="00756373" w:rsidRPr="00756373" w:rsidP="00756373">
            <w:pPr>
              <w:jc w:val="both"/>
              <w:rPr>
                <w:rFonts w:ascii="Arial Narrow" w:hAnsi="Arial Narrow" w:cs="Times New Roman"/>
                <w:sz w:val="20"/>
              </w:rPr>
            </w:pPr>
            <w:r w:rsidRPr="00756373">
              <w:rPr>
                <w:rFonts w:ascii="Arial Narrow" w:hAnsi="Arial Narrow" w:cs="Times New Roman"/>
                <w:sz w:val="20"/>
              </w:rPr>
              <w:t xml:space="preserve">h) závažných sankcií a mimoriadnych opatrení prijatých Národnou bankou Slovenska a príslušnými orgánmi dohľadu iných členských štátov, ktoré zodpovedajú za dohľad nad regulovanými osobami tvoriacimi súčasť finančného konglomerátu. </w:t>
            </w:r>
          </w:p>
          <w:p w:rsidR="00756373" w:rsidP="00C32E67">
            <w:pPr>
              <w:jc w:val="both"/>
              <w:rPr>
                <w:rFonts w:ascii="Arial Narrow" w:hAnsi="Arial Narrow" w:cs="Times New Roman"/>
                <w:sz w:val="20"/>
              </w:rPr>
            </w:pPr>
          </w:p>
          <w:p w:rsidR="00756373" w:rsidRPr="00756373" w:rsidP="00756373">
            <w:pPr>
              <w:jc w:val="both"/>
              <w:rPr>
                <w:rFonts w:ascii="Arial Narrow" w:hAnsi="Arial Narrow" w:cs="Times New Roman"/>
                <w:b w:val="0"/>
                <w:noProof/>
                <w:sz w:val="20"/>
              </w:rPr>
            </w:pPr>
            <w:r w:rsidRPr="00756373">
              <w:rPr>
                <w:rFonts w:ascii="Arial Narrow" w:hAnsi="Arial Narrow" w:cs="Times New Roman"/>
                <w:b w:val="0"/>
                <w:noProof/>
                <w:sz w:val="20"/>
              </w:rPr>
              <w:t>Národná banka Slovenska je oprávnená vyžiadať si od príslušných orgánov dohľadu iných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doplňujúceho dohľadu aj so zahraničnými centrálnymi bankami, Európskym systémom centrálnych bánk a Európskou centrálnou bankou.</w:t>
            </w:r>
          </w:p>
          <w:p w:rsidR="00756373" w:rsidRPr="00756373" w:rsidP="00756373">
            <w:pPr>
              <w:jc w:val="both"/>
              <w:rPr>
                <w:rFonts w:ascii="Arial Narrow" w:hAnsi="Arial Narrow" w:cs="Times New Roman"/>
                <w:sz w:val="20"/>
              </w:rPr>
            </w:pPr>
            <w:r w:rsidRPr="00756373">
              <w:rPr>
                <w:rFonts w:ascii="Arial Narrow" w:hAnsi="Arial Narrow" w:cs="Times New Roman"/>
                <w:sz w:val="20"/>
              </w:rPr>
              <w:t>Národná banka Slovenska je povinná prerokovať s príslušnými orgánmi dohľadu iných členských štátov, ktoré zodpovedajú za dohľad nad regulovanými osobami tvoriacimi súčasť finančného konglomerátu</w:t>
            </w:r>
          </w:p>
          <w:p w:rsidR="003A6DA0" w:rsidP="00756373">
            <w:pPr>
              <w:jc w:val="both"/>
              <w:rPr>
                <w:rFonts w:ascii="Arial Narrow" w:hAnsi="Arial Narrow" w:cs="Times New Roman"/>
                <w:sz w:val="20"/>
              </w:rPr>
            </w:pPr>
          </w:p>
          <w:p w:rsidR="00756373" w:rsidRPr="00756373" w:rsidP="00756373">
            <w:pPr>
              <w:jc w:val="both"/>
              <w:rPr>
                <w:rFonts w:ascii="Arial Narrow" w:hAnsi="Arial Narrow" w:cs="Times New Roman"/>
                <w:sz w:val="20"/>
              </w:rPr>
            </w:pPr>
            <w:r w:rsidRPr="00756373">
              <w:rPr>
                <w:rFonts w:ascii="Arial Narrow" w:hAnsi="Arial Narrow" w:cs="Times New Roman"/>
                <w:sz w:val="20"/>
              </w:rPr>
              <w:t xml:space="preserve">a) vydanie rozhodnutia o predchádzajúcom súhlase podľa § 45 ods. 1 písm. a), c) a d), ak by zmeny v akcionárskej štruktúre alebo zmeny v orgánoch poisťovne alebo zaisťovne ovplyvnili výkon doplňujúceho dohľadu, </w:t>
            </w:r>
          </w:p>
          <w:p w:rsidR="00756373" w:rsidRPr="00756373" w:rsidP="003A6DA0">
            <w:pPr>
              <w:pStyle w:val="BodyTextIndent"/>
              <w:spacing w:after="0"/>
              <w:ind w:left="0" w:firstLine="0"/>
              <w:rPr>
                <w:rFonts w:ascii="Arial Narrow" w:hAnsi="Arial Narrow" w:cs="Times New Roman"/>
                <w:sz w:val="20"/>
              </w:rPr>
            </w:pPr>
            <w:r w:rsidRPr="00D80F3F">
              <w:rPr>
                <w:rFonts w:ascii="Arial Narrow" w:hAnsi="Arial Narrow" w:cs="Times New Roman"/>
                <w:sz w:val="20"/>
                <w:lang w:val="sk-SK"/>
              </w:rPr>
              <w:t xml:space="preserve"> </w:t>
            </w:r>
            <w:r w:rsidRPr="00756373">
              <w:rPr>
                <w:rFonts w:ascii="Arial Narrow" w:hAnsi="Arial Narrow" w:cs="Times New Roman"/>
                <w:sz w:val="20"/>
              </w:rPr>
              <w:t>b) uloženie sankcií alebo prijatie opatrení voči regulovaným osobám tvoriacim súčasť finančného konglomerátu, ktoré by mohli mať vplyv aj na regulované osoby podliehajúce doplňujúcemu dohľadu vykonávanému Národnou bankou Slovenska alebo príslušným orgánom dohľadu iného členského štátu, ktorý zodpovedá za dohľad nad regulovanými osobami tvoriacimi súčasť finančného konglomerátu.</w:t>
            </w:r>
          </w:p>
          <w:p w:rsidR="00756373" w:rsidRPr="00756373" w:rsidP="003A6DA0">
            <w:pPr>
              <w:jc w:val="both"/>
              <w:rPr>
                <w:rFonts w:ascii="Arial Narrow" w:hAnsi="Arial Narrow" w:cs="Times New Roman"/>
                <w:sz w:val="20"/>
              </w:rPr>
            </w:pPr>
            <w:r w:rsidRPr="00756373">
              <w:rPr>
                <w:rFonts w:ascii="Arial Narrow" w:hAnsi="Arial Narrow" w:cs="Times New Roman"/>
                <w:sz w:val="20"/>
              </w:rPr>
              <w:t>Národná banka Slovenska nie je povinná prerokovať skutočnosti podľa odseku 4, ak toto prerokovanie môže ohroziť prijatie rozhodnutí v príslušnej lehote alebo ak prijatie sankcií a opatrení neznesie odklad. Národná banka Slovenska v takom prípade bez zbytočného odkladu informuje príslušné orgány dohľadu iných členských štátov, ktoré zodpovedajú za dohľad nad regulovanými osobami tvoriacimi súčasť finančného konglomerátu.</w:t>
            </w:r>
          </w:p>
          <w:p w:rsidR="00756373" w:rsidRPr="00756373" w:rsidP="003A6DA0">
            <w:pPr>
              <w:jc w:val="both"/>
              <w:rPr>
                <w:rFonts w:ascii="Arial Narrow" w:hAnsi="Arial Narrow" w:cs="Times New Roman"/>
                <w:sz w:val="20"/>
              </w:rPr>
            </w:pPr>
            <w:r w:rsidRPr="00756373">
              <w:rPr>
                <w:rFonts w:ascii="Arial Narrow" w:hAnsi="Arial Narrow" w:cs="Times New Roman"/>
                <w:sz w:val="20"/>
              </w:rPr>
              <w:t>Národná banka Slovenska je pri výkone doplňujúceho dohľadu oprávnená vyzvať príslušný orgán dohľadu iného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 62 a aby jej postúpili tieto informácie.</w:t>
            </w:r>
          </w:p>
          <w:p w:rsidR="003A6DA0" w:rsidP="00756373">
            <w:pPr>
              <w:ind w:left="-180" w:firstLine="888"/>
              <w:jc w:val="both"/>
              <w:rPr>
                <w:rFonts w:ascii="Arial Narrow" w:hAnsi="Arial Narrow" w:cs="Times New Roman"/>
                <w:sz w:val="20"/>
              </w:rPr>
            </w:pPr>
          </w:p>
          <w:p w:rsidR="003A6DA0" w:rsidP="00756373">
            <w:pPr>
              <w:ind w:left="-180" w:firstLine="888"/>
              <w:jc w:val="both"/>
              <w:rPr>
                <w:rFonts w:ascii="Arial Narrow" w:hAnsi="Arial Narrow" w:cs="Times New Roman"/>
                <w:sz w:val="20"/>
              </w:rPr>
            </w:pPr>
          </w:p>
          <w:p w:rsidR="00756373" w:rsidRPr="00756373" w:rsidP="003A6DA0">
            <w:pPr>
              <w:jc w:val="both"/>
              <w:rPr>
                <w:rFonts w:ascii="Arial Narrow" w:hAnsi="Arial Narrow" w:cs="Times New Roman"/>
                <w:sz w:val="20"/>
              </w:rPr>
            </w:pPr>
            <w:r w:rsidRPr="00756373">
              <w:rPr>
                <w:rFonts w:ascii="Arial Narrow" w:hAnsi="Arial Narrow" w:cs="Times New Roman"/>
                <w:sz w:val="20"/>
              </w:rPr>
              <w:t>Ustanovenia odsekov 1 až 6 sa vzťahujú aj na spoluprácu Národnej banky Slovenska s orgánmi dohľadu štátov, s ktorými Európska únia podpísala dohodu o spolupráci pri výkone doplňujúceho dohľadu.</w:t>
            </w:r>
          </w:p>
          <w:p w:rsidR="00756373" w:rsidRPr="00756373" w:rsidP="003A6DA0">
            <w:pPr>
              <w:jc w:val="both"/>
              <w:rPr>
                <w:rFonts w:ascii="Arial Narrow" w:hAnsi="Arial Narrow" w:cs="Times New Roman"/>
                <w:sz w:val="20"/>
              </w:rPr>
            </w:pPr>
            <w:r w:rsidRPr="00756373">
              <w:rPr>
                <w:rFonts w:ascii="Arial Narrow" w:hAnsi="Arial Narrow" w:cs="Times New Roman"/>
                <w:sz w:val="20"/>
              </w:rPr>
              <w:t>Ustanovením odseku 7 nie je dotknuté oprávnenie uzavrieť dohodu o podmienkach výkonu dohľadu nad finančnými konglomerátmi a o vzájomnej výmene informácií s príslušným orgánom dohľadu iného štátu, ktorý nie je členským štátom, ak takáto dohoda nie je v rozpore s pravidlami výkonu doplňujúceho dohľadu.</w:t>
            </w:r>
          </w:p>
          <w:p w:rsidR="00756373" w:rsidRPr="00C32E67" w:rsidP="00C32E67">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65C5">
            <w:pPr>
              <w:rPr>
                <w:rFonts w:ascii="Arial Narrow" w:hAnsi="Arial Narrow" w:cs="Times New Roman"/>
                <w:sz w:val="20"/>
              </w:rPr>
            </w:pPr>
          </w:p>
          <w:p w:rsidR="00A17087"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r w:rsidRPr="007078D1">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13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Riadiaci orgán zmiešaných finančných holdingových podnikov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musia vyžadovať, aby osoby, ktoré efektívne riadia činnosť zmiešanej finančnej holdingovej spoločnosti, mali dostatočne dobrú povesť a dostatočné skúsenosti na vykonávanie týchto úloh.</w:t>
            </w:r>
          </w:p>
          <w:p w:rsidR="00D1040A"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A69DA" w:rsidRPr="007078D1">
            <w:pPr>
              <w:rPr>
                <w:rFonts w:ascii="Arial Narrow" w:hAnsi="Arial Narrow" w:cs="Times New Roman"/>
                <w:sz w:val="20"/>
              </w:rPr>
            </w:pPr>
            <w:r w:rsidR="002566DE">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05455" w:rsidRPr="007078D1">
            <w:pPr>
              <w:rPr>
                <w:rFonts w:ascii="Arial Narrow" w:hAnsi="Arial Narrow" w:cs="Times New Roman"/>
                <w:sz w:val="20"/>
              </w:rPr>
            </w:pPr>
            <w:r w:rsidR="006039F3">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66DE">
            <w:pPr>
              <w:rPr>
                <w:rFonts w:ascii="Arial Narrow" w:hAnsi="Arial Narrow" w:cs="Times New Roman"/>
                <w:sz w:val="20"/>
              </w:rPr>
            </w:pPr>
            <w:r>
              <w:rPr>
                <w:rFonts w:ascii="Arial Narrow" w:hAnsi="Arial Narrow" w:cs="Times New Roman"/>
                <w:sz w:val="20"/>
              </w:rPr>
              <w:t xml:space="preserve">§ 5 ods.2 pís.d) </w:t>
            </w: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F05455">
            <w:pPr>
              <w:rPr>
                <w:rFonts w:ascii="Arial Narrow" w:hAnsi="Arial Narrow" w:cs="Times New Roman"/>
                <w:sz w:val="20"/>
              </w:rPr>
            </w:pPr>
            <w:r w:rsidR="002566DE">
              <w:rPr>
                <w:rFonts w:ascii="Arial Narrow" w:hAnsi="Arial Narrow" w:cs="Times New Roman"/>
                <w:sz w:val="20"/>
              </w:rPr>
              <w:t xml:space="preserve">§ 5 ods.3 pís.j) </w:t>
            </w: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2566DE" w:rsidRPr="007078D1">
            <w:pPr>
              <w:rPr>
                <w:rFonts w:ascii="Arial Narrow" w:hAnsi="Arial Narrow" w:cs="Times New Roman"/>
                <w:sz w:val="20"/>
              </w:rPr>
            </w:pPr>
            <w:r>
              <w:rPr>
                <w:rFonts w:ascii="Arial Narrow" w:hAnsi="Arial Narrow" w:cs="Times New Roman"/>
                <w:sz w:val="20"/>
              </w:rPr>
              <w:t>§ 45 ods.10</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66DE" w:rsidRPr="002566DE" w:rsidP="002566DE">
            <w:pPr>
              <w:jc w:val="both"/>
              <w:rPr>
                <w:rFonts w:ascii="Arial Narrow" w:hAnsi="Arial Narrow" w:cs="Times New Roman"/>
                <w:sz w:val="20"/>
              </w:rPr>
            </w:pPr>
            <w:r w:rsidRPr="002566DE">
              <w:rPr>
                <w:rFonts w:ascii="Arial Narrow" w:hAnsi="Arial Narrow" w:cs="Times New Roman"/>
                <w:sz w:val="20"/>
              </w:rPr>
              <w:t>Na udelenie povolenia podľa odseku 1 musí byť preukázané splnenie týchto podmienok:</w:t>
            </w:r>
          </w:p>
          <w:p w:rsidR="002566DE" w:rsidRPr="002566DE" w:rsidP="002566DE">
            <w:pPr>
              <w:jc w:val="both"/>
              <w:rPr>
                <w:rFonts w:ascii="Arial Narrow" w:hAnsi="Arial Narrow" w:cs="Times New Roman"/>
                <w:sz w:val="20"/>
              </w:rPr>
            </w:pPr>
            <w:r w:rsidRPr="002566DE">
              <w:rPr>
                <w:rFonts w:ascii="Arial Narrow" w:hAnsi="Arial Narrow" w:cs="Times New Roman"/>
                <w:sz w:val="20"/>
              </w:rPr>
              <w:t>odborná spôsobilosť a dôveryhodnosť osôb, ktoré sú navrhované za členov predstavenstva, za prokuristov, za vedúcich zamestnancov poisťovne v priamej riadiacej pôsobnosti predstavenstva, za zodpovedného aktuára a za vedúceho zamestnanca riadiaceho útvar vnútorného auditu,</w:t>
            </w:r>
          </w:p>
          <w:p w:rsidR="00F05455" w:rsidRPr="002566DE" w:rsidP="00266A9E">
            <w:pPr>
              <w:jc w:val="both"/>
              <w:rPr>
                <w:rFonts w:ascii="Arial Narrow" w:hAnsi="Arial Narrow" w:cs="Times New Roman"/>
                <w:sz w:val="20"/>
              </w:rPr>
            </w:pPr>
            <w:r w:rsidRPr="002566DE" w:rsidR="002566DE">
              <w:rPr>
                <w:rFonts w:ascii="Arial Narrow" w:hAnsi="Arial Narrow" w:cs="Times New Roman"/>
                <w:sz w:val="20"/>
              </w:rPr>
              <w:t>V žiadosti podľa odseku 1 sa uvedie</w:t>
            </w:r>
          </w:p>
          <w:p w:rsidR="002566DE" w:rsidP="002566DE">
            <w:pPr>
              <w:jc w:val="both"/>
              <w:rPr>
                <w:rFonts w:ascii="Arial Narrow" w:hAnsi="Arial Narrow" w:cs="Times New Roman"/>
                <w:sz w:val="20"/>
              </w:rPr>
            </w:pPr>
          </w:p>
          <w:p w:rsidR="002566DE" w:rsidRPr="002566DE" w:rsidP="002566DE">
            <w:pPr>
              <w:jc w:val="both"/>
              <w:rPr>
                <w:rFonts w:ascii="Arial Narrow" w:hAnsi="Arial Narrow" w:cs="Times New Roman"/>
                <w:sz w:val="20"/>
              </w:rPr>
            </w:pPr>
            <w:r w:rsidRPr="002566DE">
              <w:rPr>
                <w:rFonts w:ascii="Arial Narrow" w:hAnsi="Arial Narrow" w:cs="Times New Roman"/>
                <w:sz w:val="20"/>
              </w:rPr>
              <w:t>preukázanie dôveryhodnosti a odbornej spôsobilosti fyzických osôb, ktoré sú členmi štatutárneho orgánu alebo akcionármi kontrolujúcimi zmiešanú finančnú holdingovú spoločnosť a preukázanie vhodnosti akcionárov kontrolujúcich zmiešanú finančnú holdingovú spoločnosť, ak je poisťovňa, poisťovňa z iného členského štátu, zahraničná poisťovňa vrátane ich pobočiek, súčasťou finančného konglomerátu, ktorého súčasťou je aj zmiešaná finančná holdingová spoločnosť; vhodnosťou akcionárov kontrolujúcich zmiešanú finančnú holdingovú spoločnosť sa rozumie schopnosť zabezpečiť riadny a bezpečný výkon činností regulovaných osôb tvoriacich finančný konglomerát kontrolovaný touto zmiešanou finančnou holdingovou spoločnosťou v záujme stability finančného trhu.</w:t>
            </w:r>
          </w:p>
          <w:p w:rsidR="002566DE" w:rsidRPr="002566DE" w:rsidP="00266A9E">
            <w:pPr>
              <w:jc w:val="both"/>
              <w:rPr>
                <w:rFonts w:ascii="Arial Narrow" w:hAnsi="Arial Narrow" w:cs="Times New Roman"/>
                <w:sz w:val="20"/>
              </w:rPr>
            </w:pPr>
            <w:r w:rsidRPr="002566DE">
              <w:rPr>
                <w:rFonts w:ascii="Arial Narrow" w:hAnsi="Arial Narrow" w:cs="Times New Roman"/>
                <w:sz w:val="20"/>
              </w:rPr>
              <w:t>Ak v dôsledku získania podielu podľa odseku 1 by sa poisťovňa alebo zaisťovňa stala súčasťou finančného konglomerátu, ktorého súčasťou je aj zmiešaná finančná holdingová spoločnosť, podmienkou na udelenie predchádzajúceho súhlasu Národnej banky Slovenska je aj preukázanie dôveryhodnosti a odbornej spôsobilosti fyzických osôb, ktoré sú členmi štatutárneho orgánu alebo akcionármi kontrolujúcimi zmiešanú finančnú holdingovú spoločnosť a vhodnosti akcionárov kontrolujúcich zmiešanú finančnú holdingovú spoločnosť.</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265C5" w:rsidRPr="007078D1">
            <w:pPr>
              <w:rPr>
                <w:rFonts w:ascii="Arial Narrow" w:hAnsi="Arial Narrow" w:cs="Times New Roman"/>
                <w:sz w:val="20"/>
              </w:rPr>
            </w:pPr>
            <w:r w:rsidR="00A1708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1040A"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sidR="00030E53">
              <w:rPr>
                <w:rFonts w:ascii="Arial Narrow" w:hAnsi="Arial Narrow" w:cs="Times New Roman"/>
                <w:sz w:val="20"/>
              </w:rPr>
              <w:t>14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Prístup k informáciám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Členské štáty zabezpečia, aby neexistovali žiadne právne prekážky v rámci ich príslušnosti, ktoré by bránili fyzickým a právnickým osobám zahrnutým do predmetu doplnkového dohľadu, či sú alebo nie sú regulovaným subjektom, vo vzájomnej výmene akýchkoľvek informácií, ktoré by boli relevantné na účel doplnkového dohľadu.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Členské štáty zabezpečia, aby pri styku so subjektmi vo finančnom konglomeráte, či tieto sú alebo nie sú regulovaným subjektom, ich príslušné orgány zodpovedné za vykonávanie doplnkového dohľadu mali buď priamo, alebo nepriamo prístup k akýmkoľvek informáciám, ktoré sú relevantné na účely doplnkového dohľadu.</w:t>
            </w:r>
          </w:p>
          <w:p w:rsidR="00F103FD"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6D56">
            <w:pPr>
              <w:rPr>
                <w:rFonts w:ascii="Arial Narrow" w:hAnsi="Arial Narrow" w:cs="Times New Roman"/>
                <w:sz w:val="20"/>
              </w:rPr>
            </w:pPr>
          </w:p>
          <w:p w:rsidR="002566DE"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36FBB">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566DE">
            <w:pPr>
              <w:rPr>
                <w:rFonts w:ascii="Arial Narrow" w:hAnsi="Arial Narrow" w:cs="Times New Roman"/>
                <w:sz w:val="20"/>
              </w:rPr>
            </w:pPr>
          </w:p>
          <w:p w:rsidR="002566DE">
            <w:pPr>
              <w:rPr>
                <w:rFonts w:ascii="Arial Narrow" w:hAnsi="Arial Narrow" w:cs="Times New Roman"/>
                <w:sz w:val="20"/>
              </w:rPr>
            </w:pPr>
            <w:r>
              <w:rPr>
                <w:rFonts w:ascii="Arial Narrow" w:hAnsi="Arial Narrow" w:cs="Times New Roman"/>
                <w:sz w:val="20"/>
              </w:rPr>
              <w:t>§ 65</w:t>
            </w:r>
          </w:p>
          <w:p w:rsidR="002566DE">
            <w:pPr>
              <w:rPr>
                <w:rFonts w:ascii="Arial Narrow" w:hAnsi="Arial Narrow" w:cs="Times New Roman"/>
                <w:sz w:val="20"/>
              </w:rPr>
            </w:pPr>
            <w:r>
              <w:rPr>
                <w:rFonts w:ascii="Arial Narrow" w:hAnsi="Arial Narrow" w:cs="Times New Roman"/>
                <w:sz w:val="20"/>
              </w:rPr>
              <w:t xml:space="preserve"> </w:t>
            </w:r>
          </w:p>
          <w:p w:rsidR="002566DE">
            <w:pPr>
              <w:rPr>
                <w:rFonts w:ascii="Arial Narrow" w:hAnsi="Arial Narrow" w:cs="Times New Roman"/>
                <w:sz w:val="20"/>
              </w:rPr>
            </w:pPr>
          </w:p>
          <w:p w:rsidR="002566DE">
            <w:pPr>
              <w:rPr>
                <w:rFonts w:ascii="Arial Narrow" w:hAnsi="Arial Narrow" w:cs="Times New Roman"/>
                <w:sz w:val="20"/>
              </w:rPr>
            </w:pPr>
          </w:p>
          <w:p w:rsidR="002566DE">
            <w:pPr>
              <w:rPr>
                <w:rFonts w:ascii="Arial Narrow" w:hAnsi="Arial Narrow" w:cs="Times New Roman"/>
                <w:sz w:val="20"/>
              </w:rPr>
            </w:pPr>
          </w:p>
          <w:p w:rsidR="00C1480F" w:rsidRPr="007078D1">
            <w:pPr>
              <w:rPr>
                <w:rFonts w:ascii="Arial Narrow" w:hAnsi="Arial Narrow" w:cs="Times New Roman"/>
                <w:sz w:val="20"/>
              </w:rPr>
            </w:pPr>
            <w:r w:rsidR="002566DE">
              <w:rPr>
                <w:rFonts w:ascii="Arial Narrow" w:hAnsi="Arial Narrow" w:cs="Times New Roman"/>
                <w:sz w:val="20"/>
              </w:rPr>
              <w:t>§ 48 ods.9</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36FBB">
            <w:pPr>
              <w:jc w:val="both"/>
              <w:rPr>
                <w:rFonts w:ascii="Arial Narrow" w:hAnsi="Arial Narrow" w:cs="Times New Roman"/>
                <w:sz w:val="20"/>
              </w:rPr>
            </w:pPr>
          </w:p>
          <w:p w:rsidR="002566DE" w:rsidRPr="002566DE" w:rsidP="002566DE">
            <w:pPr>
              <w:jc w:val="both"/>
              <w:rPr>
                <w:rFonts w:ascii="Arial Narrow" w:hAnsi="Arial Narrow" w:cs="Times New Roman"/>
                <w:b w:val="0"/>
                <w:noProof/>
                <w:sz w:val="20"/>
              </w:rPr>
            </w:pPr>
            <w:r w:rsidRPr="002566DE">
              <w:rPr>
                <w:rFonts w:ascii="Arial Narrow" w:hAnsi="Arial Narrow" w:cs="Times New Roman"/>
                <w:b w:val="0"/>
                <w:noProof/>
                <w:sz w:val="20"/>
              </w:rPr>
              <w:t>Osoby, ktoré sú súčasťou finančného konglomerátu, sú na účely doplňujúceho dohľadu povinné poskytovať si navzájom informácie potrebné na plnenie povinností podľa § 58 až 61.</w:t>
            </w:r>
          </w:p>
          <w:p w:rsidR="002566DE" w:rsidP="002566DE">
            <w:pPr>
              <w:jc w:val="both"/>
              <w:rPr>
                <w:rFonts w:ascii="Arial Narrow" w:hAnsi="Arial Narrow" w:cs="Times New Roman"/>
                <w:sz w:val="20"/>
              </w:rPr>
            </w:pPr>
          </w:p>
          <w:p w:rsidR="002566DE" w:rsidP="002566DE">
            <w:pPr>
              <w:jc w:val="both"/>
              <w:rPr>
                <w:rFonts w:ascii="Arial Narrow" w:hAnsi="Arial Narrow" w:cs="Times New Roman"/>
                <w:sz w:val="20"/>
              </w:rPr>
            </w:pPr>
          </w:p>
          <w:p w:rsidR="0084325C" w:rsidRPr="0084325C" w:rsidP="0084325C">
            <w:pPr>
              <w:jc w:val="both"/>
              <w:rPr>
                <w:rFonts w:ascii="Arial Narrow" w:hAnsi="Arial Narrow" w:cs="Times New Roman"/>
                <w:sz w:val="20"/>
              </w:rPr>
            </w:pPr>
            <w:r w:rsidRPr="0084325C">
              <w:rPr>
                <w:rFonts w:ascii="Arial Narrow" w:hAnsi="Arial Narrow" w:cs="Times New Roman"/>
                <w:sz w:val="20"/>
              </w:rPr>
              <w:t>Osoby podliehajúce dohľadu podľa odseku 1, dohľadu podľa § 49 a doplňujúcemu dohľadu nad finančnými konglomerátmi sú v lehote určenej Národnou bankou Slovenska  povinné predkladať Národnej banke Slovenska ňou požadované údaje vrátane záznamov telefonických rozhovorov a záznamov o práci s údajmi, doklady, informácie a iné podklady a vysvetlenia, ktoré Národná banka Slovenska potrebuje na zabezpečenie vykonávania svojich úloh podľa tohto zákona a osobitného zákona.</w:t>
            </w:r>
          </w:p>
          <w:p w:rsidR="002566DE" w:rsidRPr="007078D1">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6D56" w:rsidRPr="007078D1">
            <w:pPr>
              <w:rPr>
                <w:rFonts w:ascii="Arial Narrow" w:hAnsi="Arial Narrow" w:cs="Times New Roman"/>
                <w:sz w:val="20"/>
              </w:rPr>
            </w:pPr>
            <w:r w:rsidR="002566DE">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16F8" w:rsidRPr="008F16F8">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sidR="00030E53">
              <w:rPr>
                <w:rFonts w:ascii="Arial Narrow" w:hAnsi="Arial Narrow" w:cs="Times New Roman"/>
                <w:sz w:val="20"/>
              </w:rPr>
              <w:t>15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Overovanie</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si príslušné orgány pri uplatňovaní tejto smernice v špecifických prípadoch želajú overiť informácie týkajúce sa určitého subjektu, regulovaného či neregulovaného, ktorý je súčasťou finančného konglomerátu a nachádza sa v inom členskom štáte, požiadajú príslušné orgány tohto iného členského štátu, aby dali vykonať toto overenie.</w:t>
            </w: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Orgány, ktoré dostanú takúto žiadosť, ju v rámci svojich právomocí vybavia buď tak, že overenie vykonajú sami, dajú ho vykonať audítorovi alebo znalcovi, alebo umožnia orgánu, ktorý žiadosť zadal, aby ho vykonal sám.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Príslušný orgán, ktorý zadal žiadosť, sa môže, ak chce, zúčastniť na overení, ak nevykonáva overenie sám.</w:t>
            </w:r>
          </w:p>
          <w:p w:rsidR="00F103FD"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F7A09" w:rsidRPr="007078D1">
            <w:pPr>
              <w:rPr>
                <w:rFonts w:ascii="Arial Narrow" w:hAnsi="Arial Narrow" w:cs="Times New Roman"/>
                <w:sz w:val="20"/>
              </w:rPr>
            </w:pPr>
            <w:r w:rsidR="00DD6E68">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D6C6C">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D6C6C">
            <w:pPr>
              <w:rPr>
                <w:rFonts w:ascii="Arial Narrow" w:hAnsi="Arial Narrow" w:cs="Times New Roman"/>
                <w:sz w:val="20"/>
              </w:rPr>
            </w:pPr>
          </w:p>
          <w:p w:rsidR="00DD6E68">
            <w:pPr>
              <w:rPr>
                <w:rFonts w:ascii="Arial Narrow" w:hAnsi="Arial Narrow" w:cs="Times New Roman"/>
                <w:sz w:val="20"/>
              </w:rPr>
            </w:pPr>
            <w:r>
              <w:rPr>
                <w:rFonts w:ascii="Arial Narrow" w:hAnsi="Arial Narrow" w:cs="Times New Roman"/>
                <w:sz w:val="20"/>
              </w:rPr>
              <w:t xml:space="preserve">§ 64 ods.1 </w:t>
            </w: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rsidRPr="007078D1">
            <w:pPr>
              <w:rPr>
                <w:rFonts w:ascii="Arial Narrow" w:hAnsi="Arial Narrow" w:cs="Times New Roman"/>
                <w:sz w:val="20"/>
              </w:rPr>
            </w:pPr>
            <w:r>
              <w:rPr>
                <w:rFonts w:ascii="Arial Narrow" w:hAnsi="Arial Narrow" w:cs="Times New Roman"/>
                <w:sz w:val="20"/>
              </w:rPr>
              <w:t>ods.2</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D6C6C">
            <w:pPr>
              <w:jc w:val="both"/>
              <w:rPr>
                <w:rFonts w:ascii="Arial Narrow" w:hAnsi="Arial Narrow" w:cs="Times New Roman"/>
                <w:sz w:val="20"/>
              </w:rPr>
            </w:pPr>
          </w:p>
          <w:p w:rsidR="00DD6E68" w:rsidRPr="00DD6E68" w:rsidP="00DD6E68">
            <w:pPr>
              <w:jc w:val="both"/>
              <w:rPr>
                <w:rFonts w:ascii="Arial Narrow" w:hAnsi="Arial Narrow" w:cs="Times New Roman"/>
                <w:sz w:val="20"/>
              </w:rPr>
            </w:pPr>
            <w:r w:rsidRPr="00DD6E68">
              <w:rPr>
                <w:rFonts w:ascii="Arial Narrow" w:hAnsi="Arial Narrow" w:cs="Times New Roman"/>
                <w:sz w:val="20"/>
              </w:rPr>
              <w:t xml:space="preserve">Národná banka Slovenska na požiadanie príslušného orgánu dohľadu iného členského štátu, ktorý zodpovedá za dohľad nad regulovanými osobami tvoriacimi súčasť finančného konglomerátu preverí informácie potrebné na výkon doplňujúceho dohľadu o osobe, ktorá tvorí súčasť finančného konglomerátu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p>
          <w:p w:rsidR="00DD6E68" w:rsidRPr="007078D1" w:rsidP="00DD6E68">
            <w:pPr>
              <w:jc w:val="both"/>
              <w:rPr>
                <w:rFonts w:ascii="Arial Narrow" w:hAnsi="Arial Narrow" w:cs="Times New Roman"/>
                <w:sz w:val="20"/>
              </w:rPr>
            </w:pPr>
            <w:r w:rsidRPr="00DD6E68">
              <w:rPr>
                <w:rFonts w:ascii="Arial Narrow" w:hAnsi="Arial Narrow" w:cs="Times New Roman"/>
                <w:sz w:val="20"/>
              </w:rPr>
              <w:t>Národná banka Slovenska je oprávnená požiadať príslušný orgán dohľadu iného členského štátu, ktorý zodpovedá za dohľad nad regulovanými osobami tvoriacimi súčasť finančného konglomerátu o preverenie informácií potrebných na výkon dohľadu nad finančným konglomerátom a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iného členského štátu alebo môžu preveriť tieto informácie so súhlasom príslušného orgánu dohľadu členského štátu samostatne.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6D56" w:rsidRPr="007078D1">
            <w:pPr>
              <w:rPr>
                <w:rFonts w:ascii="Arial Narrow" w:hAnsi="Arial Narrow" w:cs="Times New Roman"/>
                <w:sz w:val="20"/>
              </w:rPr>
            </w:pPr>
            <w:r w:rsidR="00DD6E68">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sidR="00030E53">
              <w:rPr>
                <w:rFonts w:ascii="Arial Narrow" w:hAnsi="Arial Narrow" w:cs="Times New Roman"/>
                <w:sz w:val="20"/>
              </w:rPr>
              <w:t>16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Donucovacie opatrenia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regulované subjekty vo finančnom konglomeráte nespĺňajú požiadavky uvedené v článkoch 6 až 9, alebo ak sú požiadavky splnené, ale napriek tomu platobná schopnosť môže byť ohrozená, alebo ak vnútroskupinové transakcie alebo koncentrácie rizík predstavujú hrozbu pre finančnú pozíciu regulovaných subjektov, vyžadujú sa potrebné opatrenia na čo najrýchlejšiu nápravu situácie: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koordinátorom vo vzťahu k zmiešanej finančnej holdingovej spoločnosti,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príslušnými orgánmi vo vzťahu k regulovaným subjektom; koordinátor na tento účel informuje tieto príslušné orgány o svojich zisteniach.</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Bez toho, aby bol dotknutý článok 17 ods. 2, môžu členské štáty určiť, aké opatrenia môžu prijať ich príslušné orgány vo vzťahu k zmiešaným finančným holdingovým spoločnostiam.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Dotknuté príslušné orgány vrátane koordinátora v prípade vhodnosti koordinujú svoje kroky v oblasti dohľadu.</w:t>
            </w:r>
          </w:p>
          <w:p w:rsidR="00F103FD"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41F8C">
            <w:pPr>
              <w:rPr>
                <w:rFonts w:ascii="Arial Narrow" w:hAnsi="Arial Narrow" w:cs="Times New Roman"/>
                <w:sz w:val="20"/>
              </w:rPr>
            </w:pPr>
          </w:p>
          <w:p w:rsidR="00DD6E68">
            <w:pPr>
              <w:rPr>
                <w:rFonts w:ascii="Arial Narrow" w:hAnsi="Arial Narrow" w:cs="Times New Roman"/>
                <w:sz w:val="20"/>
              </w:rPr>
            </w:pPr>
            <w:r>
              <w:rPr>
                <w:rFonts w:ascii="Arial Narrow" w:hAnsi="Arial Narrow" w:cs="Times New Roman"/>
                <w:sz w:val="20"/>
              </w:rPr>
              <w:t>N</w:t>
            </w: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rsidRPr="007078D1">
            <w:pPr>
              <w:rPr>
                <w:rFonts w:ascii="Arial Narrow" w:hAnsi="Arial Narrow" w:cs="Times New Roman"/>
                <w:sz w:val="20"/>
              </w:rPr>
            </w:pPr>
            <w:r>
              <w:rPr>
                <w:rFonts w:ascii="Arial Narrow" w:hAnsi="Arial Narrow" w:cs="Times New Roman"/>
                <w:sz w:val="20"/>
              </w:rPr>
              <w:t>D</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5909">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A53ED">
            <w:pPr>
              <w:rPr>
                <w:rFonts w:ascii="Arial Narrow" w:hAnsi="Arial Narrow" w:cs="Times New Roman"/>
                <w:sz w:val="20"/>
              </w:rPr>
            </w:pPr>
          </w:p>
          <w:p w:rsidR="00DD6E68" w:rsidRPr="007078D1">
            <w:pPr>
              <w:rPr>
                <w:rFonts w:ascii="Arial Narrow" w:hAnsi="Arial Narrow" w:cs="Times New Roman"/>
                <w:sz w:val="20"/>
              </w:rPr>
            </w:pPr>
            <w:r>
              <w:rPr>
                <w:rFonts w:ascii="Arial Narrow" w:hAnsi="Arial Narrow" w:cs="Times New Roman"/>
                <w:sz w:val="20"/>
              </w:rPr>
              <w:t>§ 68 ods. 2</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A53ED" w:rsidP="001A53ED">
            <w:pPr>
              <w:jc w:val="both"/>
              <w:rPr>
                <w:rFonts w:ascii="Arial Narrow" w:hAnsi="Arial Narrow" w:cs="Times New Roman"/>
                <w:sz w:val="20"/>
              </w:rPr>
            </w:pPr>
          </w:p>
          <w:p w:rsidR="00DD6E68" w:rsidRPr="00DD6E68" w:rsidP="00DD6E68">
            <w:pPr>
              <w:jc w:val="both"/>
              <w:rPr>
                <w:rFonts w:ascii="Arial Narrow" w:hAnsi="Arial Narrow" w:cs="Times New Roman"/>
                <w:b w:val="0"/>
                <w:noProof/>
                <w:sz w:val="20"/>
              </w:rPr>
            </w:pPr>
            <w:r w:rsidRPr="00DD6E68">
              <w:rPr>
                <w:rFonts w:ascii="Arial Narrow" w:hAnsi="Arial Narrow" w:cs="Times New Roman"/>
                <w:b w:val="0"/>
                <w:noProof/>
                <w:sz w:val="20"/>
              </w:rPr>
              <w:t xml:space="preserve">Ak je ohrozená platobná schopnosť finančného konglomerátu alebo ak je ohrozené dodržanie dostatočnej výšky vlastných zdrojov vo finančnom konglomeráte, ktorý podlieha doplňujúcemu dohľadu, Národná banka Slovenska je oprávnená </w:t>
            </w:r>
          </w:p>
          <w:p w:rsidR="00DD6E68" w:rsidRPr="00DD6E68" w:rsidP="00DD6E68">
            <w:pPr>
              <w:autoSpaceDE/>
              <w:autoSpaceDN/>
              <w:ind w:firstLine="0"/>
              <w:jc w:val="both"/>
              <w:rPr>
                <w:rFonts w:ascii="Arial Narrow" w:hAnsi="Arial Narrow" w:cs="Times New Roman"/>
                <w:noProof/>
                <w:sz w:val="20"/>
              </w:rPr>
            </w:pPr>
            <w:r w:rsidRPr="00DD6E68">
              <w:rPr>
                <w:rFonts w:ascii="Arial Narrow" w:hAnsi="Arial Narrow" w:cs="Times New Roman"/>
                <w:noProof/>
                <w:sz w:val="20"/>
              </w:rPr>
              <w:t xml:space="preserve">a) uložiť opatrenia na ozdravenie finančného konglomerátu podľa § 69, </w:t>
            </w:r>
          </w:p>
          <w:p w:rsidR="00DD6E68" w:rsidRPr="00DD6E68" w:rsidP="00DD6E68">
            <w:pPr>
              <w:autoSpaceDE/>
              <w:autoSpaceDN/>
              <w:ind w:firstLine="0"/>
              <w:jc w:val="both"/>
              <w:rPr>
                <w:rFonts w:ascii="Arial Narrow" w:hAnsi="Arial Narrow" w:cs="Times New Roman"/>
                <w:noProof/>
                <w:sz w:val="20"/>
              </w:rPr>
            </w:pPr>
            <w:r w:rsidRPr="00DD6E68">
              <w:rPr>
                <w:rFonts w:ascii="Arial Narrow" w:hAnsi="Arial Narrow" w:cs="Times New Roman"/>
                <w:noProof/>
                <w:sz w:val="20"/>
              </w:rPr>
              <w:t>b) obmedziť alebo pozastaviť výkon niektorých vnútroskupinových obchodov.</w:t>
            </w:r>
          </w:p>
          <w:p w:rsidR="00DD6E68" w:rsidRPr="001A53ED" w:rsidP="001A53ED">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41F8C">
            <w:pPr>
              <w:rPr>
                <w:rFonts w:ascii="Arial Narrow" w:hAnsi="Arial Narrow" w:cs="Times New Roman"/>
                <w:sz w:val="20"/>
              </w:rPr>
            </w:pPr>
          </w:p>
          <w:p w:rsidR="00DD6E68"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103FD"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17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Ďalšie právomoci príslušných orgánov</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Členské štáty zabezpečia až do ďalšej harmonizácie sektorových predpisov, aby ich príslušné orgány mali právomoc prijať akékoľvek opatrenie dohľadu, ktoré sa považuje za nutné na zabránenie obchádzania alebo na riešenie obchádzania sektorových predpisov regulovanými subjektami vo finančnom konglomeráte.</w:t>
            </w: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P="00C02544">
            <w:pPr>
              <w:pStyle w:val="Normlnywebov8"/>
              <w:spacing w:before="0" w:after="0"/>
              <w:ind w:left="0" w:right="0"/>
              <w:jc w:val="both"/>
              <w:rPr>
                <w:rFonts w:ascii="Arial Narrow" w:hAnsi="Arial Narrow" w:cs="Tahoma"/>
                <w:sz w:val="20"/>
                <w:szCs w:val="20"/>
              </w:rPr>
            </w:pPr>
          </w:p>
          <w:p w:rsidR="00DD6E68"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Bez toho, aby boli dotknuté ich trestnoprávnych ustanovení, členské štáty zabezpečia, aby sa sankcie alebo opatrenia zamerané na skončenie zistených porušení alebo príčin týchto porušení mohli uložiť voči zmiešaným finančným holdingovým spoločnostiam alebo ich výkonným manažérom, ktorí porušia zákony, iné právne predpisy a správne opatrenia prijaté na vykonávanie tejto smernice. Takéto opatrenia môžu v niektorých prípadoch vyžadovať intervenciu súdu. Príslušné orgány spolu úzko spolupracujú, aby tieto sankcie alebo opatrenia priniesli želané výsledky.</w:t>
            </w:r>
          </w:p>
          <w:p w:rsidR="00BA210B"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7A5E">
            <w:pPr>
              <w:rPr>
                <w:rFonts w:ascii="Arial Narrow" w:hAnsi="Arial Narrow" w:cs="Times New Roman"/>
                <w:sz w:val="20"/>
              </w:rPr>
            </w:pPr>
          </w:p>
          <w:p w:rsidR="00DD6E68"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7A5E">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7A5E">
            <w:pPr>
              <w:rPr>
                <w:rFonts w:ascii="Arial Narrow" w:hAnsi="Arial Narrow" w:cs="Times New Roman"/>
                <w:sz w:val="20"/>
              </w:rPr>
            </w:pPr>
          </w:p>
          <w:p w:rsidR="00DD6E68">
            <w:pPr>
              <w:rPr>
                <w:rFonts w:ascii="Arial Narrow" w:hAnsi="Arial Narrow" w:cs="Times New Roman"/>
                <w:sz w:val="20"/>
              </w:rPr>
            </w:pPr>
            <w:r>
              <w:rPr>
                <w:rFonts w:ascii="Arial Narrow" w:hAnsi="Arial Narrow" w:cs="Times New Roman"/>
                <w:sz w:val="20"/>
              </w:rPr>
              <w:t xml:space="preserve">§ 68 ods.1 </w:t>
            </w: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pPr>
              <w:rPr>
                <w:rFonts w:ascii="Arial Narrow" w:hAnsi="Arial Narrow" w:cs="Times New Roman"/>
                <w:sz w:val="20"/>
              </w:rPr>
            </w:pPr>
          </w:p>
          <w:p w:rsidR="00DD6E68" w:rsidRPr="007078D1">
            <w:pPr>
              <w:rPr>
                <w:rFonts w:ascii="Arial Narrow" w:hAnsi="Arial Narrow" w:cs="Times New Roman"/>
                <w:sz w:val="20"/>
              </w:rPr>
            </w:pPr>
            <w:r>
              <w:rPr>
                <w:rFonts w:ascii="Arial Narrow" w:hAnsi="Arial Narrow" w:cs="Times New Roman"/>
                <w:sz w:val="20"/>
              </w:rPr>
              <w:t>§ 67 ods.5</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7A5E" w:rsidRPr="00DD6E68" w:rsidP="00C17A5E">
            <w:pPr>
              <w:jc w:val="both"/>
              <w:rPr>
                <w:rFonts w:ascii="Arial Narrow" w:hAnsi="Arial Narrow" w:cs="Times New Roman"/>
                <w:sz w:val="20"/>
              </w:rPr>
            </w:pPr>
          </w:p>
          <w:p w:rsidR="00DD6E68" w:rsidRPr="00DD6E68" w:rsidP="00DD6E68">
            <w:pPr>
              <w:autoSpaceDE/>
              <w:autoSpaceDN/>
              <w:ind w:firstLine="0"/>
              <w:jc w:val="both"/>
              <w:rPr>
                <w:rFonts w:ascii="Arial Narrow" w:hAnsi="Arial Narrow" w:cs="Times New Roman"/>
                <w:noProof/>
                <w:sz w:val="20"/>
              </w:rPr>
            </w:pPr>
            <w:r w:rsidRPr="00DD6E68">
              <w:rPr>
                <w:rFonts w:ascii="Arial Narrow" w:hAnsi="Arial Narrow" w:cs="Times New Roman"/>
                <w:noProof/>
                <w:sz w:val="20"/>
              </w:rPr>
              <w:t>Národná banka Slovenska môže zmiešanej holdingovej spoločnosti, ktorá je súčasťou finančného konglomerátu, nad ktorým Národná banka Slovenska vykonáva doplňujúci dohľad, podľa závažnosti, rozsahu, dĺžky trvania, následkov a povahy zistených nedostatkov uložiť pokutu od 20 000 Sk do 20 000 000 Sk, ak</w:t>
            </w:r>
          </w:p>
          <w:p w:rsidR="00DD6E68" w:rsidRPr="00DD6E68" w:rsidP="00DD6E68">
            <w:pPr>
              <w:pStyle w:val="BodyText"/>
              <w:rPr>
                <w:rFonts w:ascii="Arial Narrow" w:hAnsi="Arial Narrow" w:cs="Times New Roman"/>
                <w:sz w:val="20"/>
              </w:rPr>
            </w:pPr>
            <w:r w:rsidRPr="00DD6E68">
              <w:rPr>
                <w:rFonts w:ascii="Arial Narrow" w:hAnsi="Arial Narrow" w:cs="Times New Roman"/>
                <w:sz w:val="20"/>
              </w:rPr>
              <w:t xml:space="preserve">a) neumožní vykonať dohľad na mieste, </w:t>
            </w:r>
          </w:p>
          <w:p w:rsidR="00DD6E68" w:rsidRPr="00DD6E68" w:rsidP="00DD6E68">
            <w:pPr>
              <w:pStyle w:val="BodyText"/>
              <w:rPr>
                <w:rFonts w:ascii="Arial Narrow" w:hAnsi="Arial Narrow" w:cs="Times New Roman"/>
                <w:sz w:val="20"/>
              </w:rPr>
            </w:pPr>
            <w:r w:rsidRPr="00DD6E68">
              <w:rPr>
                <w:rFonts w:ascii="Arial Narrow" w:hAnsi="Arial Narrow" w:cs="Times New Roman"/>
                <w:sz w:val="20"/>
              </w:rPr>
              <w:t xml:space="preserve">b) neposkytne požadované výkazy, hlásenia a iné správy na účely výkonu doplňujúceho dohľadu, </w:t>
            </w:r>
          </w:p>
          <w:p w:rsidR="00DD6E68" w:rsidRPr="00DD6E68" w:rsidP="00DD6E68">
            <w:pPr>
              <w:pStyle w:val="BodyText"/>
              <w:rPr>
                <w:rFonts w:ascii="Arial Narrow" w:hAnsi="Arial Narrow" w:cs="Times New Roman"/>
                <w:sz w:val="20"/>
              </w:rPr>
            </w:pPr>
            <w:r w:rsidRPr="00DD6E68">
              <w:rPr>
                <w:rFonts w:ascii="Arial Narrow" w:hAnsi="Arial Narrow" w:cs="Times New Roman"/>
                <w:sz w:val="20"/>
              </w:rPr>
              <w:t xml:space="preserve">c) poskytne nesprávne, nepravdivé alebo neúplné výkazy, hlásenia a iné správy, prípadne nedodrží termíny na ich predloženie, alebo </w:t>
            </w:r>
          </w:p>
          <w:p w:rsidR="00DD6E68" w:rsidRPr="00DD6E68" w:rsidP="00DD6E68">
            <w:pPr>
              <w:pStyle w:val="BodyText"/>
              <w:ind w:left="480" w:hanging="480"/>
              <w:rPr>
                <w:rFonts w:ascii="Arial Narrow" w:hAnsi="Arial Narrow" w:cs="Times New Roman"/>
                <w:sz w:val="20"/>
              </w:rPr>
            </w:pPr>
            <w:r w:rsidRPr="00DD6E68">
              <w:rPr>
                <w:rFonts w:ascii="Arial Narrow" w:hAnsi="Arial Narrow" w:cs="Times New Roman"/>
                <w:sz w:val="20"/>
              </w:rPr>
              <w:t>d) nesplní povinnosti podľa § 68 až 61.</w:t>
            </w:r>
          </w:p>
          <w:p w:rsidR="00DD6E68" w:rsidP="00DD6E68">
            <w:pPr>
              <w:jc w:val="both"/>
              <w:rPr>
                <w:rFonts w:ascii="Arial Narrow" w:hAnsi="Arial Narrow" w:cs="Times New Roman"/>
                <w:sz w:val="20"/>
              </w:rPr>
            </w:pPr>
          </w:p>
          <w:p w:rsidR="00DD6E68" w:rsidRPr="00DD6E68" w:rsidP="00DD6E68">
            <w:pPr>
              <w:jc w:val="both"/>
              <w:rPr>
                <w:rFonts w:ascii="Arial Narrow" w:hAnsi="Arial Narrow" w:cs="Times New Roman"/>
                <w:sz w:val="20"/>
              </w:rPr>
            </w:pPr>
            <w:r w:rsidRPr="00DD6E68">
              <w:rPr>
                <w:rFonts w:ascii="Arial Narrow" w:hAnsi="Arial Narrow" w:cs="Times New Roman"/>
                <w:sz w:val="20"/>
              </w:rPr>
              <w:t xml:space="preserve">Národná banka Slovenska môže uložiť za porušenie povinností vyplývajúcich z tohto zákona alebo iných všeobecne záväzných právnych predpisov, ktoré sa vzťahujú na vykonávanie poisťovacej činnosti alebo zaisťovacej činnosti na individuálnom základe, v rámci skupiny a v rámci finančného konglomerátu, zo stanov poisťovne alebo zaisťovne alebo za porušenie podmienok alebo povinností uložených rozhodnutím vydaným Národnou bankou Slovenska podľa závažnosti, rozsahu, dĺžky trvania, následkov a povahy zistených nedostatkov </w:t>
            </w:r>
          </w:p>
          <w:p w:rsidR="00DD6E68" w:rsidRPr="00DD6E68" w:rsidP="00DD6E68">
            <w:pPr>
              <w:jc w:val="both"/>
              <w:rPr>
                <w:rFonts w:ascii="Arial Narrow" w:hAnsi="Arial Narrow" w:cs="Times New Roman"/>
                <w:sz w:val="20"/>
              </w:rPr>
            </w:pPr>
            <w:r w:rsidRPr="00DD6E68">
              <w:rPr>
                <w:rFonts w:ascii="Arial Narrow" w:hAnsi="Arial Narrow" w:cs="Times New Roman"/>
                <w:sz w:val="20"/>
              </w:rPr>
              <w:t>a) členovi predstavenstva alebo členovi dozornej rady poisťovne alebo zaisťovne, vedúcemu pobočky zahraničnej poisťovne alebo jeho zástupcovi, vedúcemu pobočky zahraničnej zaisťovne alebo jeho zástupcovi, nútenému správcovi alebo zástupcovi núteného správcu, členovi predstavenstva alebo vedúcemu zamestnancovi zmiešanej finančnej spoločnosti podľa § 54 ods. 1 písm. b) až e), zodpovednému aktuárovi, prokuristovi pokutu až do výšky dvanásťnásobku mesačného priemeru celkových príjmov od poisťovne, zaisťovne, pobočky zahraničnej poisťovne, pobočky zahraničnej zaisťovne, konsolidovaného celku, subkonsolidovaného celku alebo osôb tvoriacich finančný konglomerát, do ktorého patrí poisťovňa, zaisťovňa, pobočka zahraničnej poisťovne alebo pobočka zahraničnej zaisťovne,</w:t>
            </w:r>
          </w:p>
          <w:p w:rsidR="00DD6E68" w:rsidRPr="00171FE1" w:rsidP="00DD6E68">
            <w:pPr>
              <w:jc w:val="both"/>
              <w:rPr>
                <w:rFonts w:ascii="Arial Narrow" w:hAnsi="Arial Narrow" w:cs="Times New Roman"/>
                <w:sz w:val="22"/>
                <w:szCs w:val="22"/>
              </w:rPr>
            </w:pPr>
            <w:r w:rsidRPr="00DD6E68">
              <w:rPr>
                <w:rFonts w:ascii="Arial Narrow" w:hAnsi="Arial Narrow" w:cs="Times New Roman"/>
                <w:sz w:val="20"/>
              </w:rPr>
              <w:t>b) vedúcemu zamestnancovi riadiacemu útvar vnútorného auditu, alebo vedúcemu zamestnancovi</w:t>
            </w:r>
            <w:r w:rsidRPr="00DD6E68">
              <w:rPr>
                <w:rFonts w:ascii="Arial Narrow" w:hAnsi="Arial Narrow" w:cs="Times New Roman"/>
                <w:sz w:val="20"/>
                <w:vertAlign w:val="superscript"/>
              </w:rPr>
              <w:t xml:space="preserve"> </w:t>
            </w:r>
            <w:r w:rsidRPr="00DD6E68">
              <w:rPr>
                <w:rFonts w:ascii="Arial Narrow" w:hAnsi="Arial Narrow" w:cs="Times New Roman"/>
                <w:sz w:val="20"/>
              </w:rPr>
              <w:t>v priamej riadiacej pôsobnosti predstavenstva poisťovne alebo zaisťovne pokutu najviac do výšky 50 % dvanásťnásobku mesačného priemeru jeho celkových príjmov od poisťovne, zaisťovne, pobočky zahraničnej poisťovne alebo pobočky zahraničnej zaisťovne alebo skupiny, do ktorej patrí poisťovňa, zaisťovňa, pobočka zahraničnej poisťovne alebo pobočka zahraničnej zaisťovne</w:t>
            </w:r>
            <w:r w:rsidRPr="00171FE1">
              <w:rPr>
                <w:rFonts w:ascii="Arial Narrow" w:hAnsi="Arial Narrow" w:cs="Times New Roman"/>
                <w:sz w:val="22"/>
                <w:szCs w:val="22"/>
              </w:rPr>
              <w:t>.</w:t>
            </w:r>
          </w:p>
          <w:p w:rsidR="00DD6E68" w:rsidRPr="00C17A5E" w:rsidP="00C17A5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17A5E" w:rsidRPr="007078D1">
            <w:pPr>
              <w:rPr>
                <w:rFonts w:ascii="Arial Narrow" w:hAnsi="Arial Narrow" w:cs="Times New Roman"/>
                <w:sz w:val="20"/>
              </w:rPr>
            </w:pPr>
            <w:r w:rsidR="00A17087">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18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TRETIE ŠTÁTY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Materské podniky mimo spoločenstva</w:t>
            </w: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Bez toho, aby boli dotknuté sektorové predpisy, príslušné orgány v prípade uvedenom v článku 5 ods. 3 preveria, či regulované subjekty, ktorých materský podnik má sídlo mimo spoločenstva, podliehajú dohľadu príslušného orgánu tretieho štátu, ktorý je rovnocenný dohľadu zabezpečeného ustanoveniami tejto smernice o doplnkovom dohľade nad regulovanými subjektmi uvedenými v článku 5 ods. 2. Toto overenie vykoná príslušný orgán, ktorým je koordinátor, ak treba uplatniť kritériá uvedené v článku 10 ods. 2 na žiadosť materského podniku alebo ktoréhokoľvek z regulovaných subjektov, ktorým bolo udelené povolenie v spoločenstve, alebo na základe vlastnej iniciatívy. Tento príslušný orgán konzultuje s ostatnými príslušnými orgánmi a vezme do úvahy platné pokyny vypracované Výborom pre finančné konglomeráty v súlade s článkom 21 ods. 5. Príslušný orgán na tento účel pred prijatím rozhodnutia konzultuje s týmto výborom.</w:t>
            </w:r>
          </w:p>
          <w:p w:rsidR="00C60D04" w:rsidP="00C02544">
            <w:pPr>
              <w:pStyle w:val="Normlnywebov8"/>
              <w:spacing w:before="0" w:after="0"/>
              <w:ind w:left="0" w:right="0"/>
              <w:jc w:val="both"/>
              <w:rPr>
                <w:rFonts w:ascii="Arial Narrow" w:hAnsi="Arial Narrow" w:cs="Tahoma"/>
                <w:sz w:val="20"/>
                <w:szCs w:val="20"/>
              </w:rPr>
            </w:pPr>
          </w:p>
          <w:p w:rsidR="00C60D04" w:rsidP="00C02544">
            <w:pPr>
              <w:pStyle w:val="Normlnywebov8"/>
              <w:spacing w:before="0" w:after="0"/>
              <w:ind w:left="0" w:right="0"/>
              <w:jc w:val="both"/>
              <w:rPr>
                <w:rFonts w:ascii="Arial Narrow" w:hAnsi="Arial Narrow" w:cs="Tahoma"/>
                <w:sz w:val="20"/>
                <w:szCs w:val="20"/>
              </w:rPr>
            </w:pPr>
          </w:p>
          <w:p w:rsidR="00C60D04" w:rsidP="00C02544">
            <w:pPr>
              <w:pStyle w:val="Normlnywebov8"/>
              <w:spacing w:before="0" w:after="0"/>
              <w:ind w:left="0" w:right="0"/>
              <w:jc w:val="both"/>
              <w:rPr>
                <w:rFonts w:ascii="Arial Narrow" w:hAnsi="Arial Narrow" w:cs="Tahoma"/>
                <w:sz w:val="20"/>
                <w:szCs w:val="20"/>
              </w:rPr>
            </w:pPr>
          </w:p>
          <w:p w:rsidR="00C60D04" w:rsidRPr="00C02544" w:rsidP="00C02544">
            <w:pPr>
              <w:pStyle w:val="Normlnywebov8"/>
              <w:spacing w:before="0" w:after="0"/>
              <w:ind w:left="0" w:right="0"/>
              <w:jc w:val="both"/>
              <w:rPr>
                <w:rFonts w:ascii="Arial Narrow" w:hAnsi="Arial Narrow" w:cs="Tahoma"/>
                <w:sz w:val="20"/>
                <w:szCs w:val="20"/>
              </w:rPr>
            </w:pPr>
          </w:p>
          <w:p w:rsidR="008735E0"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Ak neexistuje rovnocenný dohľad uvedený v odseku 1, členské štáty uplatnia voči regulovaným subjektom analogicky ustanovenia týkajúce sa doplnkového dohľadu nad regulovanými subjektmi uvedenými v článku 5 ods. 2. Príslušné orgány môžu alternatívne uplatniť jednu z metód uvedených v odseku 3.</w:t>
            </w:r>
          </w:p>
          <w:p w:rsidR="00C60D04" w:rsidP="00C02544">
            <w:pPr>
              <w:pStyle w:val="Normlnywebov8"/>
              <w:spacing w:before="0" w:after="0"/>
              <w:ind w:left="0" w:right="0"/>
              <w:jc w:val="both"/>
              <w:rPr>
                <w:rFonts w:ascii="Arial Narrow" w:hAnsi="Arial Narrow" w:cs="Tahoma"/>
                <w:sz w:val="20"/>
                <w:szCs w:val="20"/>
              </w:rPr>
            </w:pPr>
          </w:p>
          <w:p w:rsidR="00C60D04" w:rsidP="00C02544">
            <w:pPr>
              <w:pStyle w:val="Normlnywebov8"/>
              <w:spacing w:before="0" w:after="0"/>
              <w:ind w:left="0" w:right="0"/>
              <w:jc w:val="both"/>
              <w:rPr>
                <w:rFonts w:ascii="Arial Narrow" w:hAnsi="Arial Narrow" w:cs="Tahoma"/>
                <w:sz w:val="20"/>
                <w:szCs w:val="20"/>
              </w:rPr>
            </w:pPr>
          </w:p>
          <w:p w:rsidR="00C60D04" w:rsidP="00C02544">
            <w:pPr>
              <w:pStyle w:val="Normlnywebov8"/>
              <w:spacing w:before="0" w:after="0"/>
              <w:ind w:left="0" w:right="0"/>
              <w:jc w:val="both"/>
              <w:rPr>
                <w:rFonts w:ascii="Arial Narrow" w:hAnsi="Arial Narrow" w:cs="Tahoma"/>
                <w:sz w:val="20"/>
                <w:szCs w:val="20"/>
              </w:rPr>
            </w:pPr>
          </w:p>
          <w:p w:rsidR="00C60D04" w:rsidP="00C02544">
            <w:pPr>
              <w:pStyle w:val="Normlnywebov8"/>
              <w:spacing w:before="0" w:after="0"/>
              <w:ind w:left="0" w:right="0"/>
              <w:jc w:val="both"/>
              <w:rPr>
                <w:rFonts w:ascii="Arial Narrow" w:hAnsi="Arial Narrow" w:cs="Tahoma"/>
                <w:sz w:val="20"/>
                <w:szCs w:val="20"/>
              </w:rPr>
            </w:pPr>
          </w:p>
          <w:p w:rsidR="00C60D04" w:rsidP="00C02544">
            <w:pPr>
              <w:pStyle w:val="Normlnywebov8"/>
              <w:spacing w:before="0" w:after="0"/>
              <w:ind w:left="0" w:right="0"/>
              <w:jc w:val="both"/>
              <w:rPr>
                <w:rFonts w:ascii="Arial Narrow" w:hAnsi="Arial Narrow" w:cs="Tahoma"/>
                <w:sz w:val="20"/>
                <w:szCs w:val="20"/>
              </w:rPr>
            </w:pPr>
          </w:p>
          <w:p w:rsidR="00C60D04" w:rsidP="00C02544">
            <w:pPr>
              <w:pStyle w:val="Normlnywebov8"/>
              <w:spacing w:before="0" w:after="0"/>
              <w:ind w:left="0" w:right="0"/>
              <w:jc w:val="both"/>
              <w:rPr>
                <w:rFonts w:ascii="Arial Narrow" w:hAnsi="Arial Narrow" w:cs="Tahoma"/>
                <w:sz w:val="20"/>
                <w:szCs w:val="20"/>
              </w:rPr>
            </w:pPr>
          </w:p>
          <w:p w:rsidR="00C60D04" w:rsidRPr="00C02544" w:rsidP="00C02544">
            <w:pPr>
              <w:pStyle w:val="Normlnywebov8"/>
              <w:spacing w:before="0" w:after="0"/>
              <w:ind w:left="0" w:right="0"/>
              <w:jc w:val="both"/>
              <w:rPr>
                <w:rFonts w:ascii="Arial Narrow" w:hAnsi="Arial Narrow" w:cs="Tahoma"/>
                <w:sz w:val="20"/>
                <w:szCs w:val="20"/>
              </w:rPr>
            </w:pP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Členské štáty umožnia, aby ich príslušné orgány použili iné metódy, ktoré zabezpečia primeraný doplnkový dohľad nad regulovanými subjektami vo finančných konglomerátoch. Tieto metódy musí odsúhlasiť koordinátor po konzultácii s ostatnými príslušnými kompetentnými orgánmi. Príslušné orgány môžu najmä žiadať vytvorenie zmiešanej finančnej holdingovej spoločnosti, ktorá má sídlo v spoločenstve, a uplatňovať túto smernicu vo vzťahu k regulovaným subjektom vo finančnom konglomeráte, na vrchole ktorého stojí táto holdingová spoločnosť. Tieto metódy musia zabezpečiť ciele doplnkového dohľadu definované v tejto smernici a musia sa oznámiť ostatným dotknutým príslušným orgánom a Komisii.</w:t>
            </w:r>
          </w:p>
          <w:p w:rsidR="00BA210B"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B8">
            <w:pPr>
              <w:rPr>
                <w:rFonts w:ascii="Arial Narrow" w:hAnsi="Arial Narrow" w:cs="Times New Roman"/>
                <w:sz w:val="20"/>
              </w:rPr>
            </w:pPr>
          </w:p>
          <w:p w:rsidR="00DD6E68" w:rsidRPr="007078D1">
            <w:pPr>
              <w:rPr>
                <w:rFonts w:ascii="Arial Narrow" w:hAnsi="Arial Narrow" w:cs="Times New Roman"/>
                <w:sz w:val="20"/>
              </w:rPr>
            </w:pPr>
            <w:r>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B8">
            <w:pPr>
              <w:rPr>
                <w:rFonts w:ascii="Arial Narrow" w:hAnsi="Arial Narrow" w:cs="Times New Roman"/>
                <w:sz w:val="20"/>
              </w:rPr>
            </w:pPr>
          </w:p>
          <w:p w:rsidR="006039F3">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52292" w:rsidRPr="00C60D04" w:rsidP="00352292">
            <w:pPr>
              <w:rPr>
                <w:rFonts w:ascii="Arial Narrow" w:hAnsi="Arial Narrow" w:cs="Times New Roman"/>
                <w:sz w:val="20"/>
              </w:rPr>
            </w:pPr>
          </w:p>
          <w:p w:rsidR="00DD6E68" w:rsidRPr="00C60D04" w:rsidP="00352292">
            <w:pPr>
              <w:rPr>
                <w:rFonts w:ascii="Arial Narrow" w:hAnsi="Arial Narrow" w:cs="Times New Roman"/>
                <w:sz w:val="20"/>
              </w:rPr>
            </w:pPr>
          </w:p>
          <w:p w:rsidR="00DD6E68" w:rsidRPr="00C60D04" w:rsidP="00352292">
            <w:pPr>
              <w:rPr>
                <w:rFonts w:ascii="Arial Narrow" w:hAnsi="Arial Narrow" w:cs="Times New Roman"/>
                <w:sz w:val="20"/>
              </w:rPr>
            </w:pPr>
            <w:r w:rsidRPr="00C60D04">
              <w:rPr>
                <w:rFonts w:ascii="Arial Narrow" w:hAnsi="Arial Narrow" w:cs="Times New Roman"/>
                <w:sz w:val="20"/>
              </w:rPr>
              <w:t>§57 ods.3 1. veta</w:t>
            </w: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r w:rsidRPr="00C60D04">
              <w:rPr>
                <w:rFonts w:ascii="Arial Narrow" w:hAnsi="Arial Narrow" w:cs="Times New Roman"/>
                <w:sz w:val="20"/>
              </w:rPr>
              <w:t>o</w:t>
            </w:r>
            <w:r w:rsidRPr="00C60D04" w:rsidR="00DD6E68">
              <w:rPr>
                <w:rFonts w:ascii="Arial Narrow" w:hAnsi="Arial Narrow" w:cs="Times New Roman"/>
                <w:sz w:val="20"/>
              </w:rPr>
              <w:t xml:space="preserve">ds.4 </w:t>
            </w: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DD6E68" w:rsidRPr="00C60D04" w:rsidP="00352292">
            <w:pPr>
              <w:rPr>
                <w:rFonts w:ascii="Arial Narrow" w:hAnsi="Arial Narrow" w:cs="Times New Roman"/>
                <w:sz w:val="20"/>
              </w:rPr>
            </w:pPr>
            <w:r w:rsidRPr="00C60D04">
              <w:rPr>
                <w:rFonts w:ascii="Arial Narrow" w:hAnsi="Arial Narrow" w:cs="Times New Roman"/>
                <w:sz w:val="20"/>
              </w:rPr>
              <w:t>ods.3 2.veta</w:t>
            </w: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C60D04" w:rsidRPr="00C60D04" w:rsidP="00352292">
            <w:pPr>
              <w:rPr>
                <w:rFonts w:ascii="Arial Narrow" w:hAnsi="Arial Narrow" w:cs="Times New Roman"/>
                <w:sz w:val="20"/>
              </w:rPr>
            </w:pPr>
          </w:p>
          <w:p w:rsidR="00DD6E68" w:rsidRPr="00C60D04" w:rsidP="00352292">
            <w:pPr>
              <w:rPr>
                <w:rFonts w:ascii="Arial Narrow" w:hAnsi="Arial Narrow" w:cs="Times New Roman"/>
                <w:sz w:val="20"/>
              </w:rPr>
            </w:pPr>
            <w:r w:rsidRPr="00C60D04">
              <w:rPr>
                <w:rFonts w:ascii="Arial Narrow" w:hAnsi="Arial Narrow" w:cs="Times New Roman"/>
                <w:sz w:val="20"/>
              </w:rPr>
              <w:t>ods.5</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52292" w:rsidRPr="00C60D04" w:rsidP="00605909">
            <w:pPr>
              <w:jc w:val="both"/>
              <w:rPr>
                <w:rFonts w:ascii="Arial Narrow" w:hAnsi="Arial Narrow" w:cs="Times New Roman"/>
                <w:sz w:val="20"/>
              </w:rPr>
            </w:pPr>
          </w:p>
          <w:p w:rsidR="00DD6E68" w:rsidRPr="00C60D04" w:rsidP="00605909">
            <w:pPr>
              <w:jc w:val="both"/>
              <w:rPr>
                <w:rFonts w:ascii="Arial Narrow" w:hAnsi="Arial Narrow" w:cs="Times New Roman"/>
                <w:sz w:val="20"/>
              </w:rPr>
            </w:pPr>
          </w:p>
          <w:p w:rsidR="00DD6E68" w:rsidRPr="00C60D04" w:rsidP="00605909">
            <w:pPr>
              <w:jc w:val="both"/>
              <w:rPr>
                <w:rFonts w:ascii="Arial Narrow" w:hAnsi="Arial Narrow" w:cs="Times New Roman"/>
                <w:sz w:val="20"/>
              </w:rPr>
            </w:pPr>
            <w:r w:rsidRPr="00C60D04" w:rsidR="00C60D04">
              <w:rPr>
                <w:rFonts w:ascii="Arial Narrow" w:hAnsi="Arial Narrow" w:cs="Times New Roman"/>
                <w:bCs/>
                <w:sz w:val="20"/>
              </w:rPr>
              <w:t>Poisťovňa, zahraničná poisťovňa vrátane jej pobočiek, zaisťovňa, zahraničná zaisťovňa vrátane jej pobočiek</w:t>
            </w:r>
            <w:r w:rsidRPr="00C60D04" w:rsidR="00C60D04">
              <w:rPr>
                <w:rFonts w:ascii="Arial Narrow" w:hAnsi="Arial Narrow" w:cs="Times New Roman"/>
                <w:sz w:val="20"/>
              </w:rPr>
              <w:t>,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 58 až 61.</w:t>
            </w:r>
          </w:p>
          <w:p w:rsidR="00C60D04" w:rsidRPr="00C60D04" w:rsidP="00C60D04">
            <w:pPr>
              <w:jc w:val="both"/>
              <w:rPr>
                <w:rFonts w:ascii="Arial Narrow" w:hAnsi="Arial Narrow" w:cs="Times New Roman"/>
                <w:b w:val="0"/>
                <w:noProof/>
                <w:sz w:val="20"/>
              </w:rPr>
            </w:pPr>
            <w:r w:rsidRPr="00C60D04">
              <w:rPr>
                <w:rFonts w:ascii="Arial Narrow" w:hAnsi="Arial Narrow" w:cs="Times New Roman"/>
                <w:b w:val="0"/>
                <w:noProof/>
                <w:sz w:val="20"/>
              </w:rPr>
              <w:t xml:space="preserve">Národná banka Slovenska preverí, či nad finančným konglomerátom podľa odseku 3 je vykonávaný dohľad, ktorý je rovnocenný s doplňujúcim dohľadom podľa tohto zákona, ak sa tak dohodol s orgánmi dohľadu iného členského štátu, v ktorom majú sídlo regulované osoby tvoriace súčasť finančného konglomerátu, a to na žiadosť materskej spoločnosti podľa odseku 3, na žiadosť regulovanej osoby, ktorá tvorí súčasť finančného konglomerátu alebo z vlastného podnetu. Národná banka Slovenska prerokuje s Výborom pre finančné konglomeráty pri komisii vydanie rozhodnutia podľa odseku 3. </w:t>
            </w:r>
          </w:p>
          <w:p w:rsidR="00C60D04" w:rsidRPr="00C60D04" w:rsidP="00C60D04">
            <w:pPr>
              <w:jc w:val="both"/>
              <w:rPr>
                <w:rFonts w:ascii="Arial Narrow" w:hAnsi="Arial Narrow" w:cs="Times New Roman"/>
                <w:b w:val="0"/>
                <w:noProof/>
                <w:sz w:val="20"/>
              </w:rPr>
            </w:pPr>
            <w:r w:rsidRPr="00C60D04">
              <w:rPr>
                <w:rFonts w:ascii="Arial Narrow" w:hAnsi="Arial Narrow" w:cs="Times New Roman"/>
                <w:b w:val="0"/>
                <w:noProof/>
                <w:sz w:val="20"/>
              </w:rPr>
              <w:t xml:space="preserve">Ak nie je možné dodržať podmienky podľa § 58 až 61 z dôvodu, že dohľad vykonávaný v štáte, ktorý nie je členským štátom, nie je rovnocenný s doplňujúcim dohľadom podľa tohto zákona Národná banka Slovenska môže určiť, že </w:t>
            </w:r>
            <w:r w:rsidRPr="00C60D04">
              <w:rPr>
                <w:rFonts w:ascii="Arial Narrow" w:hAnsi="Arial Narrow" w:cs="Times New Roman"/>
                <w:b w:val="0"/>
                <w:bCs/>
                <w:noProof/>
                <w:sz w:val="20"/>
              </w:rPr>
              <w:t>poisťovňa, zahraničná poisťovňa vrátane jej pobočiek, zaisťovňa, zahraničná zaisťovňa vrátane jej pobočiek</w:t>
            </w:r>
            <w:r w:rsidRPr="00C60D04">
              <w:rPr>
                <w:rFonts w:ascii="Arial Narrow" w:hAnsi="Arial Narrow" w:cs="Times New Roman"/>
                <w:b w:val="0"/>
                <w:noProof/>
                <w:sz w:val="20"/>
              </w:rPr>
              <w:t>, ktorá je súčasťou takéhoto finančného konglomerátu bude predkladať Národnej banke Slovenska osobitné výkazy, hlásenia a správy o účasti v takomto finančnom konglomeráte, a tiež môže obmedziť alebo zakázať takejto poisťovni alebo zaisťovni vnútroskupinové obchody, ktoré by mohli mať vplyv na plnenie podmienok solventnosti.</w:t>
            </w:r>
          </w:p>
          <w:p w:rsidR="00C60D04" w:rsidRPr="00C60D04" w:rsidP="00C60D04">
            <w:pPr>
              <w:jc w:val="both"/>
              <w:rPr>
                <w:rFonts w:ascii="Arial Narrow" w:hAnsi="Arial Narrow" w:cs="Times New Roman"/>
                <w:b w:val="0"/>
                <w:noProof/>
                <w:sz w:val="20"/>
              </w:rPr>
            </w:pPr>
            <w:r w:rsidRPr="00C60D04">
              <w:rPr>
                <w:rFonts w:ascii="Arial Narrow" w:hAnsi="Arial Narrow" w:cs="Times New Roman"/>
                <w:b w:val="0"/>
                <w:noProof/>
                <w:sz w:val="20"/>
              </w:rPr>
              <w:t>Ak právnické osoby majú majetkovú účasť v jednej alebo viacerých regulovaných osobách alebo bez majetkovej účasti uplatňujú vo vzťahu k týmto regulovaným osobám iný významný vplyv ako je vplyv podľa odsekov 1 až 3, Národná banka Slovenska v spolupráci s príslušnými orgánmi dohľadu iných členských štátov, ktoré zodpovedajú za dohľad nad regulovanými osobami tvoriacimi súčasť finančného</w:t>
            </w:r>
            <w:r w:rsidRPr="00C60D04">
              <w:rPr>
                <w:rFonts w:ascii="Arial Narrow" w:hAnsi="Arial Narrow" w:cs="Times New Roman"/>
                <w:b/>
                <w:noProof/>
                <w:sz w:val="20"/>
              </w:rPr>
              <w:t xml:space="preserve"> </w:t>
            </w:r>
            <w:r w:rsidRPr="00C60D04">
              <w:rPr>
                <w:rFonts w:ascii="Arial Narrow" w:hAnsi="Arial Narrow" w:cs="Times New Roman"/>
                <w:b w:val="0"/>
                <w:noProof/>
                <w:sz w:val="20"/>
              </w:rPr>
              <w:t xml:space="preserve">konglomerátu určí, či a v akom rozsahu sa bude vykonávať doplňujúci dohľad nad regulovanými osobami tak, ako keby predstavovali finančný konglomerát, ktorý by mal podliehať doplňujúcemu dohľadu. Aby sa mohol vykonávať takýto doplňujúci dohľad, aspoň jedna z právnických osôb podľa prvej vety musí byť </w:t>
            </w:r>
            <w:r w:rsidRPr="00C60D04">
              <w:rPr>
                <w:rFonts w:ascii="Arial Narrow" w:hAnsi="Arial Narrow" w:cs="Times New Roman"/>
                <w:b w:val="0"/>
                <w:bCs/>
                <w:noProof/>
                <w:sz w:val="20"/>
              </w:rPr>
              <w:t>poisťovňou, zahraničnou poisťovňou vrátane jej pobočiek, zaisťovňou alebo zahraničnou zaisťovňou vrátane jej pobočiek</w:t>
            </w:r>
            <w:r w:rsidRPr="00C60D04">
              <w:rPr>
                <w:rFonts w:ascii="Arial Narrow" w:hAnsi="Arial Narrow" w:cs="Times New Roman"/>
                <w:b w:val="0"/>
                <w:noProof/>
                <w:sz w:val="20"/>
              </w:rPr>
              <w:t xml:space="preserve">, musia byť splnené podmienky ustanovené v § 53 písm. a) body 1c. a 1d., a je to potrebné z hľadiska plnenia cieľov doplňujúceho dohľadu. </w:t>
            </w:r>
          </w:p>
          <w:p w:rsidR="00C60D04" w:rsidRPr="00C60D04" w:rsidP="00605909">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80FB8">
            <w:pPr>
              <w:rPr>
                <w:rFonts w:ascii="Arial Narrow" w:hAnsi="Arial Narrow" w:cs="Times New Roman"/>
                <w:sz w:val="20"/>
              </w:rPr>
            </w:pPr>
          </w:p>
          <w:p w:rsidR="00C60D04"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19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Spolupráca s príslušnými orgánmi tretích štátov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Článok 25 ods. 1 a 2 smernice 2000/12/ES a článok 10a smernice 98/78/ES platia, s potrebnými zmenami, na dojednanie dohôd s jedným alebo viacerými tretími štátmi týkajúcich sa spôsobu vykonávania doplnkového dohľadu nad regulovanými subjektami vo finančnom konglomeráte.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Komisia, Poradný výbor pre bankovníctvo, Výbor pre poistenie a Výbor pre finančné konglomeráty preskúmajú výsledok rokovaní uvedených v odseku 1 a výslednú situáciu.</w:t>
            </w:r>
          </w:p>
          <w:p w:rsidR="00BA210B"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374F4">
            <w:pPr>
              <w:rPr>
                <w:rFonts w:ascii="Arial Narrow" w:hAnsi="Arial Narrow" w:cs="Times New Roman"/>
                <w:sz w:val="20"/>
              </w:rPr>
            </w:pPr>
          </w:p>
          <w:p w:rsidR="00A61F24">
            <w:pPr>
              <w:rPr>
                <w:rFonts w:ascii="Arial Narrow" w:hAnsi="Arial Narrow" w:cs="Times New Roman"/>
                <w:sz w:val="20"/>
              </w:rPr>
            </w:pPr>
            <w:r>
              <w:rPr>
                <w:rFonts w:ascii="Arial Narrow" w:hAnsi="Arial Narrow" w:cs="Times New Roman"/>
                <w:sz w:val="20"/>
              </w:rPr>
              <w:t>N</w:t>
            </w: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rsidRPr="007078D1">
            <w:pPr>
              <w:rPr>
                <w:rFonts w:ascii="Arial Narrow" w:hAnsi="Arial Narrow" w:cs="Times New Roman"/>
                <w:sz w:val="20"/>
              </w:rPr>
            </w:pPr>
            <w:r>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26D4" w:rsidP="003F4E11">
            <w:pPr>
              <w:rPr>
                <w:rFonts w:ascii="Arial Narrow" w:hAnsi="Arial Narrow" w:cs="Times New Roman"/>
                <w:sz w:val="20"/>
              </w:rPr>
            </w:pPr>
          </w:p>
          <w:p w:rsidR="006039F3" w:rsidRPr="007078D1" w:rsidP="003F4E1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21A6D">
            <w:pPr>
              <w:rPr>
                <w:rFonts w:ascii="Arial Narrow" w:hAnsi="Arial Narrow" w:cs="Times New Roman"/>
                <w:sz w:val="20"/>
              </w:rPr>
            </w:pPr>
          </w:p>
          <w:p w:rsidR="00A61F24" w:rsidRPr="007078D1">
            <w:pPr>
              <w:rPr>
                <w:rFonts w:ascii="Arial Narrow" w:hAnsi="Arial Narrow" w:cs="Times New Roman"/>
                <w:sz w:val="20"/>
              </w:rPr>
            </w:pPr>
            <w:r>
              <w:rPr>
                <w:rFonts w:ascii="Arial Narrow" w:hAnsi="Arial Narrow" w:cs="Times New Roman"/>
                <w:sz w:val="20"/>
              </w:rPr>
              <w:t>§ 63 ods.7</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826D4" w:rsidP="00094C8E">
            <w:pPr>
              <w:jc w:val="both"/>
              <w:rPr>
                <w:rFonts w:ascii="Arial Narrow" w:hAnsi="Arial Narrow" w:cs="Times New Roman"/>
                <w:sz w:val="20"/>
              </w:rPr>
            </w:pPr>
          </w:p>
          <w:p w:rsidR="00A61F24" w:rsidRPr="00A61F24" w:rsidP="00EC6B7D">
            <w:pPr>
              <w:jc w:val="both"/>
              <w:rPr>
                <w:rFonts w:ascii="Arial Narrow" w:hAnsi="Arial Narrow" w:cs="Times New Roman"/>
                <w:sz w:val="20"/>
              </w:rPr>
            </w:pPr>
            <w:r w:rsidRPr="00A61F24">
              <w:rPr>
                <w:rFonts w:ascii="Arial Narrow" w:hAnsi="Arial Narrow" w:cs="Times New Roman"/>
                <w:sz w:val="20"/>
              </w:rPr>
              <w:t>Ustanovenia odsekov 1 až 6 sa vzťahujú aj na spoluprácu Národnej banky Slovenska s orgánmi dohľadu štátov, s ktorými Európska únia podpísala dohodu o spolupráci pri výkone doplňujúceho dohľadu.</w:t>
            </w:r>
          </w:p>
          <w:p w:rsidR="00A61F24" w:rsidRPr="00094C8E" w:rsidP="00094C8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374F4">
            <w:pPr>
              <w:rPr>
                <w:rFonts w:ascii="Arial Narrow" w:hAnsi="Arial Narrow" w:cs="Times New Roman"/>
                <w:sz w:val="20"/>
              </w:rPr>
            </w:pPr>
          </w:p>
          <w:p w:rsidR="00A61F24">
            <w:pPr>
              <w:rPr>
                <w:rFonts w:ascii="Arial Narrow" w:hAnsi="Arial Narrow" w:cs="Times New Roman"/>
                <w:sz w:val="20"/>
              </w:rPr>
            </w:pPr>
            <w:r>
              <w:rPr>
                <w:rFonts w:ascii="Arial Narrow" w:hAnsi="Arial Narrow" w:cs="Times New Roman"/>
                <w:sz w:val="20"/>
              </w:rPr>
              <w:t>Ú</w:t>
            </w: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rsidRPr="007078D1">
            <w:pPr>
              <w:rPr>
                <w:rFonts w:ascii="Arial Narrow" w:hAnsi="Arial Narrow" w:cs="Times New Roman"/>
                <w:sz w:val="20"/>
              </w:rPr>
            </w:pPr>
            <w:r>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A210B"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PRÁVOMOCI PRIDELENÉ KOMISII A POSTUP VO VÝBORE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Právomoci pridelené Komisii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Komisia prijme v súlade s postupom uvedeným v článku 21 ods. 2 potrebné technické úpravy tejto smernice v týchto oblastiach:</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presnejšia formulácia definícií uvedených v článku 2 s cieľom zohľadniť vývoj na finančných trhoch pri uplatňovaní tejto smernice;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presnejšia formulácia definícií uvedených v článku 2 na zabezpečenie jednotného uplatňovania tejto smernice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zjednotenie terminológie a formulácie definícií v tejto smernici v súlade s následnými právnymi aktmi spoločenstva o regulovaných subjektoch a súvisiacich záležitostiach;</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 presnejšia definícia metód výpočtu uvedených v prílohe 1 s cieľom zohľadniť vývoj na finančných trhoch a metód obozretného podnikania;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e) koordinácia ustanovení prijatých podľa článkov 7 a 8 a prílohy II s cieľom podporiť jednotné uplatňovanie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Komisia informuje verejnosť o každom návrhu predloženom na základe tohto článku a poradí sa s dotknutými stranami pred predložením návrhov opatrení Výboru pre finančné konglomeráty uvedeným v článku 21.</w:t>
            </w:r>
          </w:p>
          <w:p w:rsidR="00E44D55"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7078D1">
            <w:pPr>
              <w:rPr>
                <w:rFonts w:ascii="Arial Narrow" w:hAnsi="Arial Narrow" w:cs="Times New Roman"/>
                <w:sz w:val="20"/>
              </w:rPr>
            </w:pPr>
            <w:r w:rsidR="00A61F24">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F2916"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24C72"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E13E34" w:rsidP="00E13E34">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374F4" w:rsidRPr="007078D1">
            <w:pPr>
              <w:rPr>
                <w:rFonts w:ascii="Arial Narrow" w:hAnsi="Arial Narrow" w:cs="Times New Roman"/>
                <w:sz w:val="20"/>
              </w:rPr>
            </w:pPr>
            <w:r w:rsidR="00A61F24">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44D55"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7078D1">
            <w:pPr>
              <w:rPr>
                <w:rFonts w:ascii="Arial Narrow" w:hAnsi="Arial Narrow" w:cs="Times New Roman"/>
                <w:sz w:val="20"/>
              </w:rPr>
            </w:pPr>
            <w:r w:rsidRPr="007078D1" w:rsidR="00192925">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Výbor</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Komisii pomáha Výbor pre finančné konglomeráty (ďalej "výbor").</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Ak sa odkazuje na tento odsek, uplatnia sa články 5 a 7 rozhodnutia 1999/468/ES so zreteľom na ustanovenia jeho článku 8.</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Obdobie uvedené v článku 5 ods. 6 rozhodnutia 1999/468/ES predstavuje obdobie troch mesiacov.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Výbor prijme svoje rokovací poriadok.</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Bez toho, aby boli dotknuté už prijaté vykonávacie opatrenia, pozastaví sa po uplynutí štvorročného obdobia od nadobudnutia účinnosti tejto smernice uplatňovanie jej ustanovení, ktoré vyžadujú prijatie technických predpisov a rozhodnutí uvedených v odseku 2. Európsky parlament a Rada môžu na návrh Komisie predĺžiť účinnosť príslušných ustanovení v súlade s postupom uvedeným v článku 251 zmluvy a na tento účel ich pred uplynutím uvedeného obdobia preskúmajú.</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 Výbor môže vydať všeobecné usmernenie k tomu, či mechanizmy doplnkového dohľadu príslušných orgánov tretích štátov sú schopné zabezpečiť ciele doplnkového dohľadu definované v tejto smernici vo vzťahu k regulovaným subjektom vo finančnom konglomeráte, ktorého vrchol má svoje sídlo mimo spoločenstva. Výbor priebežne reviduje každé takého usmernenie a berie do úvahy všetky zmeny doplnkového dohľadu, ktorý vykonávajú tieto príslušné orgány.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6. Členské štáty sú povinné informovať výbor o princípoch, ktoré uplatňujú vo vzťahu k dohľadu nad vnútroskupinovými transakciami a koncentráciou rizík.</w:t>
            </w:r>
          </w:p>
          <w:p w:rsidR="00911C8C" w:rsidRPr="00C02544" w:rsidP="00C02544">
            <w:pPr>
              <w:jc w:val="both"/>
              <w:rPr>
                <w:rFonts w:ascii="Arial Narrow" w:hAnsi="Arial Narrow" w:cs="Times New Roman"/>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2342">
            <w:pPr>
              <w:rPr>
                <w:rFonts w:ascii="Arial Narrow" w:hAnsi="Arial Narrow" w:cs="Times New Roman"/>
                <w:sz w:val="20"/>
              </w:rPr>
            </w:pPr>
          </w:p>
          <w:p w:rsidR="00A61F24">
            <w:pPr>
              <w:rPr>
                <w:rFonts w:ascii="Arial Narrow" w:hAnsi="Arial Narrow" w:cs="Times New Roman"/>
                <w:sz w:val="20"/>
              </w:rPr>
            </w:pPr>
            <w:r>
              <w:rPr>
                <w:rFonts w:ascii="Arial Narrow" w:hAnsi="Arial Narrow" w:cs="Times New Roman"/>
                <w:sz w:val="20"/>
              </w:rPr>
              <w:t>n.a.</w:t>
            </w: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r>
              <w:rPr>
                <w:rFonts w:ascii="Arial Narrow" w:hAnsi="Arial Narrow" w:cs="Times New Roman"/>
                <w:sz w:val="20"/>
              </w:rPr>
              <w:t>N</w:t>
            </w:r>
          </w:p>
          <w:p w:rsidR="00A61F24" w:rsidRPr="007078D1">
            <w:pPr>
              <w:rPr>
                <w:rFonts w:ascii="Arial Narrow" w:hAnsi="Arial Narrow" w:cs="Times New Roman"/>
                <w:sz w:val="20"/>
              </w:rPr>
            </w:pP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E2C60"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2342">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r>
              <w:rPr>
                <w:rFonts w:ascii="Arial Narrow" w:hAnsi="Arial Narrow" w:cs="Times New Roman"/>
                <w:sz w:val="20"/>
              </w:rPr>
              <w:t>§ 55 ods.4</w:t>
            </w:r>
          </w:p>
          <w:p w:rsidR="00A61F24"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2342"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P="004462C6">
            <w:pPr>
              <w:jc w:val="both"/>
              <w:rPr>
                <w:rFonts w:ascii="Arial Narrow" w:hAnsi="Arial Narrow" w:cs="Times New Roman"/>
                <w:sz w:val="20"/>
              </w:rPr>
            </w:pPr>
          </w:p>
          <w:p w:rsidR="00A61F24" w:rsidRPr="00A61F24" w:rsidP="00A61F24">
            <w:pPr>
              <w:jc w:val="both"/>
              <w:rPr>
                <w:rFonts w:ascii="Arial Narrow" w:hAnsi="Arial Narrow" w:cs="Times New Roman"/>
                <w:bCs/>
                <w:sz w:val="20"/>
              </w:rPr>
            </w:pPr>
            <w:r w:rsidRPr="00A61F24">
              <w:rPr>
                <w:rFonts w:ascii="Arial Narrow" w:hAnsi="Arial Narrow" w:cs="Times New Roman"/>
                <w:bCs/>
                <w:sz w:val="20"/>
              </w:rPr>
              <w:t xml:space="preserve">Národná banka Slovenska oznámi </w:t>
            </w:r>
            <w:r w:rsidRPr="00A61F24">
              <w:rPr>
                <w:rFonts w:ascii="Arial Narrow" w:hAnsi="Arial Narrow" w:cs="Times New Roman"/>
                <w:sz w:val="20"/>
              </w:rPr>
              <w:t>Výboru pre finančné konglomeráty</w:t>
            </w:r>
            <w:r w:rsidRPr="00A61F24">
              <w:rPr>
                <w:rFonts w:ascii="Arial Narrow" w:hAnsi="Arial Narrow" w:cs="Times New Roman"/>
                <w:bCs/>
                <w:sz w:val="20"/>
              </w:rPr>
              <w:t xml:space="preserve"> pri komisii princípy, ktoré uplatňuje pri doplňujúcom dohľade nad koncentráciou rizík finančného konglomerátu podľa § 59 a nad vnútroskupinovými obchodmi podľa § 60.</w:t>
            </w:r>
          </w:p>
          <w:p w:rsidR="00A61F24" w:rsidRPr="004462C6" w:rsidP="004462C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02342">
            <w:pPr>
              <w:rPr>
                <w:rFonts w:ascii="Arial Narrow" w:hAnsi="Arial Narrow" w:cs="Times New Roman"/>
                <w:sz w:val="20"/>
              </w:rPr>
            </w:pPr>
          </w:p>
          <w:p w:rsidR="00A61F24">
            <w:pPr>
              <w:rPr>
                <w:rFonts w:ascii="Arial Narrow" w:hAnsi="Arial Narrow" w:cs="Times New Roman"/>
                <w:sz w:val="20"/>
              </w:rPr>
            </w:pPr>
            <w:r>
              <w:rPr>
                <w:rFonts w:ascii="Arial Narrow" w:hAnsi="Arial Narrow" w:cs="Times New Roman"/>
                <w:sz w:val="20"/>
              </w:rPr>
              <w:t>n.a.</w:t>
            </w: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pPr>
              <w:rPr>
                <w:rFonts w:ascii="Arial Narrow" w:hAnsi="Arial Narrow" w:cs="Times New Roman"/>
                <w:sz w:val="20"/>
              </w:rPr>
            </w:pPr>
          </w:p>
          <w:p w:rsidR="00A61F24" w:rsidRPr="007078D1">
            <w:pPr>
              <w:rPr>
                <w:rFonts w:ascii="Arial Narrow" w:hAnsi="Arial Narrow" w:cs="Times New Roman"/>
                <w:sz w:val="20"/>
              </w:rPr>
            </w:pPr>
            <w:r>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11C8C"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K JESTVUJÚCIM SMERNICIAM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73/239/EHS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Smernica 73/239/EHS sa mení a dopĺňa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Dopĺňa sa tento článok:</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"Článok 12a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S príslušnými orgánmi druhého dotknutého členského štátu sa treba poradiť pred udelením povolenia poisťovni, ktorá je: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dcérskym podnikom poisťovne, ktorej bolo udelené povolenie v inom členskom štáte;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dcérskym podnikom materského podniku poisťovne, ktorej bolo udelené povolenie v inom členskom štáte, alebo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kontrolovaná tou istou fyzickou alebo právnickou osobou, ktorá kontroluje poisťovňu, ktorej bolo udelené povolenie v inom členskom štáte.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S príslušným orgánom dotknutého členského štátu zodpovedným za dohľad nad úverovými inštitúciami alebo investičnými podnikmi sa treba poradiť pred udelením povolenia poisťovni, ktorá je: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dcérskym podnikom úverovej inštitúcie alebo investičnej spoločnosti, ktorej bolo udelené povolenie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dcérskym podnikom materského podniku úverovej inštitúcie alebo investičnej spoločnosti oprávnenej v spoločenstve, alebo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kontrolovaná tou istou fyzickou alebo právnickou osobou, ktorá kontroluje úverovú inštitúciu alebo investičnú spoločnosť, ktorej bolo udelené povolenie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Príslušné orgány uvedené v odsekoch 1 a 2 sa navzájom poradia najmä pri hodnotení vhodnosti akcionárov a dobrej povesti a skúseností riaditeľov angažovaných v manažmente iného subjektu tej istej skupiny. Navzájom sa informujú o všetkých informáciách týkajúcich sa vhodnosti akcionárov a dobrej povesti a skúseností riaditeľov, ktoré sú dôležité pre ostatné dotknuté príslušné orgány pri udeľovaní oprávnenia, ako aj pri stálom hodnotení dodržiavania podmienok činnosti."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K článku 16 ods. 2 sa dopĺňajú tieto pododseky: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"Dostupná miera solventnosti sa zníži aj o tieto položky: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účasti, ktoré poisťovňa vlastní 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poisťovniach v zmysle článku 6 tejto smernice, článku 6 prvej smernice 79/267/EHS z 5. marca 1979 o koordinácii zákonov, iných právnych predpisov a správnych opatrení vzťahujúcich sa na začatie a vykonávanie podnikania v oblasti priameho životného poistenia [17], alebo článku 1 písm. b) smernice Európskeho parlamentu a Rady 98/78/ES [18],</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zaisťovniach v zmysle článku 1 písm. c) smernice 98/78/ES,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holdingových poisťovniach v zmysle článku 1 písm. c) smernice 98/78 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úverových inštitúciách a finančných inštitúciách v zmysle článku 1 ods. 1 a 5 smernice Európskeho parlamentu a Rady 2000/12/ES [19],</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investičných spoločnostiach a finančných inštitúciách v zmysle článku 1 ods. 2 smernice 93/22/EHS [20] a článku 2 ods. 4 a 7 smernice 93/6/EHS [21];</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každú z nasledujúcich položiek, ktorú poisťovňa vlastní vo vzťahu k subjektom definovaným v písmene a), v ktorých vlastní účasť:</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nástroje uvedené v odseku 3,</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nástroje uvedené v článku 18 ods. 3 smernice 79/267/EHS,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podriadené pohľadávky a nástroje uvedené v článku 35 a článku 36 ods. 3 smernice 2000/12/ES.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sú podiely v inej úverovej inštitúcii, investičnej spoločnosti, finančnej inštitúcii, poisťovni, zaisťovni alebo holdingovej poisťovni držané dočasne na účely poskytovania finančnej pomoci určenej na reorganizáciu a zachránenie tohto subjektu, príslušný orgán môže upustiť od ustanovení o znížení zakotvených v písmenách a) a b) štvrtého pododseku.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Ako alternatívu k odpočítaniu položiek uvedených v písmenách a) a b) štvrtého pododseku, ktoré poisťovňa drží v úverových inštitúciách, investičných spoločnostiach a finančných inštitúciách, členské štáty môžu povoliť, aby ich poisťovne uplatňovali s náležitými zmenami, metódy 1, 2 alebo 3 prílohy I smernice Európskeho parlamentu a Rady 2002/87/ES zo 16. decembra 2002 o doplnkovom dohľade nad úverovými inštitúciami, poisťovňami a investičnými spoločnosťami vo finančnom konglomeráte [22] Metóda 1 (účtovná konsolidácia) sa uplatňuje, len ak je príslušný orgán presvedčený o úrovni integrovaného riadenia a vnútornej kontroly, čo sa týka subjektov, ktoré budú zahrnuté do predmetu konsolidácie. Zvolená metóda sa musí uplatňovať dlhodobo jednotne.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môžu ustanoviť, že pri výpočte miery solventnosti, ktorá sa ustanovuje v tejto smernici, poisťovne, na ktoré sa vzťahuje doplnkový dohľad v súlade so smernicou 98/78/ES alebo doplnkový dohľad v súlade so smernicou 2002/87/ES, nemusia odpočítavať položky uvedené v písmenách a) a b) štvrtého pododseku, ktoré sú vlastnené v úverových inštitúciách, investičných spoločnostiach, finančných inštitúciách, poisťovniach, zaisťovniach alebo holdingových poisťovniach, ktoré sú zahrnuté v doplnkovom dohľade.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Na účely odpočítania účastí uvedených v tomto odseku účasť znamená účasť v zmysle článku 1 písm. f) smernice 98/78/ES."</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19EE" w:rsidRPr="007078D1">
            <w:pPr>
              <w:rPr>
                <w:rFonts w:ascii="Arial Narrow" w:hAnsi="Arial Narrow" w:cs="Times New Roman"/>
                <w:sz w:val="20"/>
              </w:rPr>
            </w:pPr>
            <w:r w:rsidR="00A61F24">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45D7"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45D7"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61F24" w:rsidRPr="00A61F24" w:rsidP="00A61F24">
            <w:pPr>
              <w:ind w:left="40"/>
              <w:jc w:val="both"/>
              <w:rPr>
                <w:rFonts w:ascii="Arial Narrow" w:hAnsi="Arial Narrow" w:cs="Times New Roman"/>
                <w:sz w:val="20"/>
              </w:rPr>
            </w:pPr>
            <w:r>
              <w:rPr>
                <w:rFonts w:ascii="Arial Narrow" w:hAnsi="Arial Narrow" w:cs="Times New Roman"/>
                <w:sz w:val="20"/>
              </w:rPr>
              <w:t>Ustanovenia návrhu zákona o poisťovníctve sú uvedené v tabuľke k smer. 73/239/EHS.</w:t>
            </w:r>
          </w:p>
          <w:p w:rsidR="006045D7" w:rsidRPr="004B4C2B" w:rsidP="004B4C2B">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19EE" w:rsidRPr="007078D1">
            <w:pPr>
              <w:rPr>
                <w:rFonts w:ascii="Arial Narrow" w:hAnsi="Arial Narrow" w:cs="Times New Roman"/>
                <w:sz w:val="20"/>
              </w:rPr>
            </w:pPr>
            <w:r w:rsidR="00A61F24">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79/267/EHS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Smernica 79/267/ES sa mení a dopĺňa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Dopĺňa sa tento článok:</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"Článok 12a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S príslušnými orgánmi druhého dotknutého členského štátu sa treba poradiť pred udelením povolenia poisťovni na životné poistenie, ktorá je: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dcérskym podnikom poisťovne, ktorej bolo udelené povolenie v inom členskom štáte;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dcérskym podnikom materského podniku poisťovne, ktorej bolo udelené povolenie v inom členskom štáte, alebo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kontrolovaná tou istou fyzickou alebo právnickou osobou, ktorá kontroluje poisťovňu, ktorej bolo udelené povolenie v inom členskom štáte.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S príslušným orgánom dotknutého členského štátu zodpovedným za dohľad nad úverovými inštitúciami alebo investičnými podnikmi sa treba poradiť pred udelením povolenia poisťovni na životné poistenie, ktorá je: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dcérskym podnikom úverovej inštitúcie alebo investičnej spoločnosti, ktorej bolo udelené povolenie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dcérskym podnikom materského podniku úverovej inštitúcie alebo investičnej spoločnosti, ktorej bolo udelené povolenie v spoločenstve, alebo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kontrolovaná tou istou osobou, fyzickou alebo právnickou, ktorá kontroluje úverová inštitúcia alebo investičnú spoločnosť, ktorej bolo udelené povolenie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Relevantné príslušné orgány uvedené v odsekoch 1 a 2 sa navzájom poradia najmä pri hodnotení vhodnosti akcionárov a dobrej povesti a skúseností riaditeľov angažovaných v manažmente iného subjektu tej istej skupiny. Navzájom sa informujú o všetkých informáciách týkajúcich sa vhodnosti akcionárov a dobrej povesti a skúseností riaditeľov, ktoré sú dôležité pre ostatné dotknuté príslušné orgány pri udeľovaní oprávnenia, ako aj pri stálom hodnotení dodržiavania podmienok na činnosť."</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K článku 18 ods. 2 sa pridávajú tieto pododseky: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"Dostupná miera solventnosti sa zníži aj o tieto položky: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účasti, ktoré poisťovňa na životné poistenie vlastní 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poisťovniach v zmysle článku 6 tejto smernice, článku 6 smernice 73/239/EHS [23] alebo článku 1 písm. b smernice Európskeho parlamentu a Rady 98/78/ES [24],</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zaisťovniach v zmysle článku 1 písm. c) smernice 98/78/ES,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holdingových poisťovniach v zmysle článku 1 písm. i) smernice 98/78 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úverových inštitúciách a finančných inštitúciách v zmysle článku 1 ods. 1 a 5 smernice Európskeho parlamentu a Rady 2000/12/ES [25],</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investičných spoločnostiach a finančných inštitúciách v zmysle článku 1 ods. 2 smernice 93/22/EHS [26] a článkov 2 ods. 4 a 2 ods. 7 smernice 93/6/EHS [27];</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každú z nasledujúcich položiek, ktorú poisťovňa na životné poistenie vlastní vo vzťahu k subjektom definovaným v písmene a), v ktorých vlastní účasť:</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nástroje uvedené v odseku 3,</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nástroje uvedené v článku 16 ods. 3 smernice 73/239/EHS,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podriadené pohľadávky a nástroje uvedené v článkoch 35 a 36 ods. 3 smernice 2000/12/ES.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sú podiely v inej úverovej inštitúcii, investičnej spoločnosti, finančnej inštitúcii, poisťovni, zaisťovni alebo holdingovej poisťovni držané dočasne na účel poskytnutia finančnej pomoci na reorganizáciu a záchranu tohto subjektu, príslušný orgán môže upustiť od ustanovení o znížení zakotvených v písmenách a) a b) tretieho pododseku.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Ako alternatívu k odpočítaniu položiek uvedených v písmenách a) a b) tretieho pododseku, ktoré poisťovňa vlastní v úverových inštitúciách, investičných firmách a finančných inštitúciách, členské štáty môžu povoliť, aby ich poisťovne primerane uplatňovali metódy 1, 2 alebo 3 prílohy I smernice Európskeho parlamentu a Rady 2002/87/ES zo 16. decembra 2002 o doplnkovom dohľade nad úverovými inštitúciami, poisťovňami a investičnými podnikmi vo finančnom konglomeráte [28]. Metóda 1 (účtovná konsolidácia) sa uplatňuje, len ak je príslušný orgán presvedčený o úrovni integrovaného riadenia a vnútornej kontrole, čo sa týka subjektov, ktoré budú zahrnuté do predmetu konsolidácie. Zvolená metóda sa musí dlhodobo jednotne uplatňovať.</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môžu ustanoviť, že pri výpočte miery solventnosti podľa tejto smernice poisťovne, na ktoré sa vzťahuje doplnkový dohľad podľa smernice 98/78/ES alebo doplnkový dohľad podľa smernice 2002/87/ES, nemusia odpočítavať položky uvedené v písmenách a) a b) tretieho pododseku, ktoré držia v úverových inštitúciách, investičných spoločnostiach, finančných inštitúciách, poisťovniach, zaisťovniach alebo holdingových poisťovniach, ktoré sú zahrnuté v doplnkovom dohľade.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Na účely odpočítania účastí uvedených v tomto odseku účasť znamená účasť v zmysle článku 1 písm. f) smernice 98/78/ES."</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6DF6" w:rsidRPr="007078D1">
            <w:pPr>
              <w:rPr>
                <w:rFonts w:ascii="Arial Narrow" w:hAnsi="Arial Narrow" w:cs="Times New Roman"/>
                <w:sz w:val="20"/>
              </w:rPr>
            </w:pPr>
            <w:r w:rsidR="00FD03CF">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6DF6"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76DF6"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46B93" w:rsidRPr="00346B93" w:rsidP="00346B93">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619EE" w:rsidRPr="007078D1">
            <w:pPr>
              <w:rPr>
                <w:rFonts w:ascii="Arial Narrow" w:hAnsi="Arial Narrow" w:cs="Times New Roman"/>
                <w:sz w:val="20"/>
              </w:rPr>
            </w:pPr>
            <w:r w:rsidR="00FD03CF">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FD03CF">
              <w:rPr>
                <w:rFonts w:ascii="Arial Narrow" w:hAnsi="Arial Narrow" w:cs="Times New Roman"/>
                <w:sz w:val="20"/>
              </w:rPr>
              <w:t>Smer. 79/267/EHS bola zrušená smernicou 2002/83/ES.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 24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92/49/EHS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Smernica 92/49/EHS sa mení a dopĺňa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V článku 15 sa dopĺňa tento odsek:</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"1a. Ak je nadobúdateľ podielu uvedeného v odseku 1 poisťovňou, úverovou inštitúciou alebo investičnou spoločnosťou, ktorej bolo udelené povolenie v inom členskom štáte, resp. materským podnikom takéhoto subjektu, alebo je fyzickou alebo právnickou osobou kontrolujúcou takýto subjekt, a ak sa v dôsledku tohto nadobudnutia podnik, v ktorom nadobúdateľ plánuje vlastniť daný podiel, stane dcérskym podnikom alebo prejde pod kontrolu nadobúdateľa, posúdenie nadobudnutia musí byť predmetom predchádzajúcej porady uvedenej v článku 12a smernice 73/239/EHS."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Článok 16 ods. 5c sa nahrádza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"5c. Tento článok nebráni príslušnému orgánu v tom, aby oznamoval</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centrálnym bankám a iným orgánom s podobnou funkciou v ich postavení ako menový orgán,</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ak je to vhodné, iným verejným orgánom zodpovedným za dohľad nad platobnými systémami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informácie určené na výkon ich úloh, ani nebráni týmto orgánom v oznamovaní príslušným orgánom takých informácií, ktoré môžu potrebovať na účely odseku 4. Na informácie prijaté v spojitosti s tým sa vzťahuje služobné tajomstvo podľa tohto článku."</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C0C0C" w:rsidRPr="007078D1">
            <w:pPr>
              <w:rPr>
                <w:rFonts w:ascii="Arial Narrow" w:hAnsi="Arial Narrow" w:cs="Times New Roman"/>
                <w:sz w:val="20"/>
              </w:rPr>
            </w:pPr>
            <w:r w:rsidR="00FD03CF">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5152"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20A2D"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5152" w:rsidRPr="00C4217E" w:rsidP="00C4217E">
            <w:pPr>
              <w:jc w:val="both"/>
              <w:rPr>
                <w:rFonts w:ascii="Arial Narrow" w:hAnsi="Arial Narrow" w:cs="Times New Roman"/>
                <w:sz w:val="20"/>
              </w:rPr>
            </w:pPr>
            <w:r w:rsidR="00FD03CF">
              <w:rPr>
                <w:rFonts w:ascii="Arial Narrow" w:hAnsi="Arial Narrow" w:cs="Times New Roman"/>
                <w:sz w:val="20"/>
              </w:rPr>
              <w:t>Ustanovenia návrhu zákona o poisťovníctve sú uvedené v tabuľke k smer. 92/49/ES.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C0C0C" w:rsidRPr="007078D1">
            <w:pPr>
              <w:rPr>
                <w:rFonts w:ascii="Arial Narrow" w:hAnsi="Arial Narrow" w:cs="Times New Roman"/>
                <w:sz w:val="20"/>
              </w:rPr>
            </w:pPr>
            <w:r w:rsidR="00FD03CF">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 25</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92/96/EHS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Smernica 92/96/EHS sa mení a dopĺňa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V článku 14 sa dopĺňa tento odsek:</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"1a. Ak je nadobúdateľ podielu uvedeného v odseku 1 poisťovňou, úverovou inštitúciou alebo investičnou spoločnosťou, ktorej bolo udelené povolenie v inom členskom štáte, resp. materským podnikom takéhoto subjektu alebo je fyzickou alebo právnickou osobou kontrolujúcou takýto subjektom, a ak sa v dôsledku tohto nadobudnutia spoločnosť, v ktorej nadobúdateľ plánuje vlastniť daný podiel, stane dcérskym podnikom alebo prejde pod kontrolu nadobúdateľa, posúdenie nadobudnutia musí byť predmetom predchádzajúcej porady podľa článku 12a smernice 79/267/EHS."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Článok 15 ods. 5c sa nahrádza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"5c. Tento článok nebráni príslušnému orgánu v tom, aby oznamoval</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centrálnym bankám a iným orgánom s podobnou funkciou v ich postavení ako menový orgán,</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ak je to vhodné, iným verejným orgánom zodpovedným za dohľad nad platobnými systémami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informácie určené na výkon ich úloh, ani nebráni týmto orgánom v oznamovaní príslušným orgánom takých informácií, ktoré môžu potrebovať na účely odseku 4. Na informácie prijaté v spojitosti s tým sa vzťahuje služobné tajomstvo podľa tohto článku."</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167" w:rsidRPr="007078D1">
            <w:pPr>
              <w:rPr>
                <w:rFonts w:ascii="Arial Narrow" w:hAnsi="Arial Narrow" w:cs="Times New Roman"/>
                <w:sz w:val="20"/>
              </w:rPr>
            </w:pPr>
            <w:r w:rsidR="00FD03CF">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167"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167"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167" w:rsidRPr="007078D1" w:rsidP="0011743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72167" w:rsidRPr="007078D1">
            <w:pPr>
              <w:rPr>
                <w:rFonts w:ascii="Arial Narrow" w:hAnsi="Arial Narrow" w:cs="Times New Roman"/>
                <w:sz w:val="20"/>
              </w:rPr>
            </w:pPr>
            <w:r w:rsidR="00FD03CF">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FD03CF">
              <w:rPr>
                <w:rFonts w:ascii="Arial Narrow" w:hAnsi="Arial Narrow" w:cs="Times New Roman"/>
                <w:sz w:val="20"/>
              </w:rPr>
              <w:t>Smer. 92/96/EHS bola zrušená smernicou 2002/83/ES.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26</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93/6/EHS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 článku 7 ods. 3 smernice 93/6/EHS sa prvá a druhá zarážka nahrádza týmto textom: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"finančná holdingová spoločnos" znamená finančnú inštitúciu, ktorej dcérske podniky sú buď výhradne alebo prevažne investičné spoločnosti, alebo iné finančné inštitúcie, z ktorých aspoň jedna je investičnou spoločnosťou, a ktorá nie je zmiešanou finančnou holdingovou spoločnosťou v zmysle smernice Európskeho parlamentu a Rady 2002/87/ES zo 16. decembra 2002 o doplnkovom dohľade nad úverovými inštitúciami, poisťovňami a investičnými podnikmi vo finančnom konglomeráte [29],</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"holdingová spoločnosť pre zmiešané činnosti" znamená iný materský podnik ako finančnú holdingovú spoločnosť, investičnú spoločnosť alebo zmiešanú finančnú holdingovú spoločnosť v zmysle smernice 2002/87/ES, ktorej aspoň jeden dcérsky podnik je investičnou spoločnosťou."</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FD03CF">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D1C57"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D1C57"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D1C57" w:rsidRPr="001D1C57">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FD03CF">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FD03CF">
              <w:rPr>
                <w:rFonts w:ascii="Arial Narrow" w:hAnsi="Arial Narrow" w:cs="Times New Roman"/>
                <w:sz w:val="20"/>
              </w:rPr>
              <w:t>Smer. 93/6/EHS bola zrušená smernicou 2006/49/ES.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27</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93/22/EHS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Smernica 93/22/EHS sa mení a dopĺňa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V článku 6 sa dopĺňajú tieto odseky: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 príslušným orgánom dotknutého členského štátu, ktorý je zodpovedný za dohľad nad úverovými inštitúciami alebo poisťovňami, sa treba poradiť pred udelením povolenia investičnej spoločnosti, ktorá je: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dcérskym podnikom úverovej inštitúcie alebo poisťovne, ktorej bolo udelené povolenie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dcérskym podnikom materského podniku úverovej inštitúcie alebo poisťovne, ktorej bolo udelené povolenie v spoločenstve, alebo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kontrolovaná tou istou fyzickou alebo právnickou osobou, ktorá kontroluje úverovú inštitúciu alebo poisťovňu, ktorej bolo udelené povolenie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Relevantné príslušné orgány uvedené v prvom a druhom odseku sa navzájom poradia najmä pri hodnotení vhodnosti akcionárov a dobrej povesti a skúseností riaditeľov angažovaných v manažmente iného subjektu tej istej skupiny. Navzájom sa informujú o všetkých informáciách týkajúcich sa vhodnosti akcionárov a dobrej povesti a skúseností riaditeľov, ktoré sú dôležité pre ostatné dotknuté príslušné orgány pri udeľovaní oprávnenia, ako aj pri stálom hodnotení dodržiavania podmienok činnosti."</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Článok 9 ods. 2 sa nahrádza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Ak je nadobúdateľ podielu uvedeného v odseku 1 investičnou spoločnosťou, úverovou inštitúciou alebo poisťovňou, ktorej bolo udelené povolenie v inom členskom štáte, resp. materským podnikom investičnej spoločnosti, úverovej inštitúcie alebo poisťovne, ktorej bolo udelené povolenie v inom členskom štáte, alebo je fyzickou alebo právnickou osobou kontrolujúcou investičnú spoločnosť, úverovú inštitúciu alebo poisťovňu, ktorej bolo udelené povolenie v inom členskom štáte, a ak sa v dôsledku tohto nadobudnutia podnik, v ktorom nadobúdateľ plánuje vlastniť daný podiel, stane dcérskym podnikom alebo prejde pod kontrolu nadobúdateľa, vyhodnotenie tohto nadobudnutia musí byť predmetom predchádzajúcej porady podľa článku 6."</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91416D">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6BFE"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2B93"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C2B93" w:rsidRPr="003C7EC6" w:rsidP="003C7EC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91416D">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91416D">
              <w:rPr>
                <w:rFonts w:ascii="Arial Narrow" w:hAnsi="Arial Narrow" w:cs="Times New Roman"/>
                <w:sz w:val="20"/>
              </w:rPr>
              <w:t>Smer. 93/6/EHS bola zrušená smernicou 2004/39/ES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28</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98/78/ES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Smernica 98/78/ES sa mení a dopĺňa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V článku 1 sa písmená g), h), i) a j) nahrádzajú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"g) "podnik s účasťou" je podnik, ktorý je buď materským podnikom, alebo iným podnikom, ktorý vlastní účasť, alebo spoločnosťou spojenou s inou spoločnosťou vzťahom v zmysle článku 12 ods. 1 smernice 83/349/EHS;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h) "prepojený podnik" je buď dcérsky, alebo iný podnik, v ktorom je držaná účasť, alebo spoločnosť prepojená s iným podnikom vzťahom v zmysle článku 12 ods. 1 smernice 83/349/EHS;</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 "holdingová poisťovňa" je materský podnik, ktorého hlavnou obchodnou činnosťou je nadobúdať a držať účasti v dcérskych podnikoch, ak sú týmito dcérskymi podnikmi výhradne alebo hlavne poisťovne, zaisťovne alebo poisťovne nečlenských štátov, pričom aspoň jeden z týchto dcérskych podnikov je poisťovňa, a ktorá nie je zmiešanou finančnou holdingovou spoločnosťou v zmysle smernice Európskeho parlamentu a Rady 2002/87/ES zo 16. decembra 2002 o doplnkovom dohľade nad úverovými inštitúciami, poisťovňami a investičnými spoločnosťami vo finančnom konglomeráte [30];</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j) "zmiešaná holdingová poisťovňa" je iný materský podnik ako poisťovňa, poisťovňa nečlenských štátov, zaisťovňa, holdingová poisťovňa alebo zmiešaná finančná holdingová spoločnosť v zmysle smernice 2002/87/ES, ktorej aspoň jeden dcérsky podnik je poisťovňa."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V článku 6 ods. 3 sa dopĺňa táto veta: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"Príslušný orgán, ktorý dal žiadosť, sa môže, ak chce, zúčastniť na overovaní, ak overovanie nevykonáva sám."</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V článku 8 ods. 2 sa prvý pododsek nahrádza takto:</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vyžadujú, aby poisťovne mali zavedené primerané postupy riadenia rizík a mechanizmy vnútornej kontroly vrátane správnych oznamovacích a účtovných postupov, aby primerane identifikovali, merali, monitorovali a kontrolovali transakcie uvedené v odseku 1. Členské štáty musia tiež vyžadovať, aby poisťovne aspoň raz ročne podávali správy príslušným orgánom o významných transakciách. Tieto postupy a mechanizmy podliehajú kontrole príslušných orgánov."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Dopĺňajú sa tieto články: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"Článok 10a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Spolupráca s príslušnými orgánmi tretích štátov</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Komisia môže predkladať návrhy Rade buď na žiadosť členského štátu, alebo z vlastnej iniciatívy na dojednanie dohôd s jedným alebo viacerými tretími štátmi, týkajúcich sa prostriedkov vykonávania doplnkového dohľadu nad:</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poisťovňami, ktoré – ako podniky s účasťou – majú podniky v zmysle článku 2, ktorých sídlo sa nachádza v treťom štáte, 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poisťovňami nečlenských štátov, ktoré – ako podniky s účasťou – majú spoločnosti v zmysle článku 2, ktorých sídlo sa nachádza v spoločenstve.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Dohody uvedené v odseku 1 sa musia snažiť najmä zabezpečiť:</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aby príslušné orgány členských štátov boli schopné získavať informácie potrebné na doplnkový dohľad nad poisťovňami, ktorých sídlo sa nachádza v spoločenstve a ktoré majú dcérske podniky alebo vlastnia účasti v podnikoch mimo spoločenstva, a</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aby príslušné orgány tretích štátov boli schopné získavať informácie potrebné na doplnkový dohľad nad poisťovňami, ktorých sídlo sa nachádza na ich území a ktoré majú dcérske podniky alebo vlastnia účasti v podnikoch v jednom alebo viacerých členských štátoch.</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Komisia a Výbor pre poisťovníctvo preskúmajú výsledky rokovaní uvedených v odseku 1 a výslednú situáciu.</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Článok 10b</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Riadiaci orgán holdingových poisťovní</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vyžadujú, aby osoby, ktoré efektívne riadia činnosť holdingovej poisťovne, mali dostatočne dobrú povesť a mali dostatočné skúsenosti na vykonávanie týchto povinností."</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 V prílohe I.1.B. sa pridáva tento odsek:</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neexistuje kapitálové prepojenie medzi niektorými z podnikov v poisťovníckej skupine, príslušný orgán určí, ktorý proporcionálny podiel sa musí brať do úvahy."</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6. V prílohe I.2. sa pridáva tento bod:</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"2.4a. Prepojené úverové inštitúcie, investičné spoločnosti a finančné inštitúcie</w:t>
            </w:r>
          </w:p>
          <w:p w:rsidR="008735E0"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Pri výpočte upravenej solventnosti poisťovne, ktorá je podnikom s účasťou v úverovej inštitúcii, investičnej spoločnosti alebo finančnej inštitúcii, uplatnia sa primerane pravidlá ustanovené v článku 16 ods. 1 smernice 73/239/EHS a v článku 18 smernice 79/267/EHS o odpočítavaní týchto účastí, ako aj ustanovenia o možnosti členských štátov za určitých podmienok povoliť alternatívne metódy a povoliť, aby sa takéto účasti neodpočítavali."</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5710" w:rsidRPr="007078D1">
            <w:pPr>
              <w:rPr>
                <w:rFonts w:ascii="Arial Narrow" w:hAnsi="Arial Narrow" w:cs="Times New Roman"/>
                <w:sz w:val="20"/>
              </w:rPr>
            </w:pPr>
            <w:r w:rsidR="00B325B3">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57AB"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96BFE"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F57AB" w:rsidRPr="002D3416" w:rsidP="002D3416">
            <w:pPr>
              <w:jc w:val="both"/>
              <w:rPr>
                <w:rFonts w:ascii="Arial Narrow" w:hAnsi="Arial Narrow" w:cs="Times New Roman"/>
                <w:sz w:val="20"/>
              </w:rPr>
            </w:pPr>
            <w:r w:rsidR="00B325B3">
              <w:rPr>
                <w:rFonts w:ascii="Arial Narrow" w:hAnsi="Arial Narrow" w:cs="Times New Roman"/>
                <w:sz w:val="20"/>
              </w:rPr>
              <w:t>Ustanovenia návrhu zákona o poisťovníctve sú uvedené v tabuľke k smer. 98/78/ES.</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75710" w:rsidRPr="007078D1">
            <w:pPr>
              <w:rPr>
                <w:rFonts w:ascii="Arial Narrow" w:hAnsi="Arial Narrow" w:cs="Times New Roman"/>
                <w:sz w:val="20"/>
              </w:rPr>
            </w:pPr>
            <w:r w:rsidR="00B325B3">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Pr="007078D1">
              <w:rPr>
                <w:rFonts w:ascii="Arial Narrow" w:hAnsi="Arial Narrow" w:cs="Times New Roman"/>
                <w:sz w:val="20"/>
              </w:rPr>
              <w:t>Čl.</w:t>
            </w:r>
            <w:r w:rsidRPr="007078D1" w:rsidR="001F4EB8">
              <w:rPr>
                <w:rFonts w:ascii="Arial Narrow" w:hAnsi="Arial Narrow" w:cs="Times New Roman"/>
                <w:sz w:val="20"/>
              </w:rPr>
              <w:t xml:space="preserve"> </w:t>
            </w:r>
            <w:r w:rsidRPr="007078D1">
              <w:rPr>
                <w:rFonts w:ascii="Arial Narrow" w:hAnsi="Arial Narrow" w:cs="Times New Roman"/>
                <w:sz w:val="20"/>
              </w:rPr>
              <w:t>29</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Zmeny a doplnenia smernice 2000/12/ES</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Smernica 2000/12/ES sa mení a dopĺňa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Článok 1 sa mení a dopĺňa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Bod 9 sa nahrádza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"9. "účasť na účely dohľadu na konsolidovanom základe a na účely bodov 15 a 16 článku 34 ods. 2" znamená účasť v zmysle prvej vety článku 17 smernice 78/660/EHS alebo priame alebo nepriame vlastníctvo 20 % alebo viac hlasovacích práv alebo základného imania podniku;"</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body 21 a 22 sa nahrádzajú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"21. "finančná holdingová spoločnosť" znamená finančnú inštitúciu, ktorej dcérskymi podnikmi sú buď výhradne alebo prevažne úverové inštitúcie, alebo finančné inštitúcie, pričom aspoň jeden takýto dcérsky podnik je úverovou inštitúciou, a ktorá nie je zmiešanou finančnou holdingovou spoločnosťou v zmysle smernice Európskeho parlamentu a Rady 2002/87/ES zo 16. decembra 2002 o doplnkovom dohľade nad úverovými inštitúciami, poisťovňami a investičnými spoločnosťami vo finančnom konglomeráte [31];</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22. "holdingová spoločnosť so zmiešaným predmetom činnosti" znamená iný materský podnik ako finančnú holdingovú spoločnosť, úverovú inštitúciu alebo zmiešanú finančnú holdingovú spoločnosť v zmysle smernice 2002/87/ES, ktorého aspoň jeden dcérsky podnik je úverovou inštitúciou."</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V článku 12 sa dopĺňajú tieto odseky:</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 príslušným orgánom dotknutého členského štátu, ktorý je zodpovedný za dohľad nad poisťovňami alebo investičnými spoločnosťami, sa treba poradiť pred udelením povolenia úverovej inštitúcii, ktorá je:</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dcérskym podnikom poisťovne alebo investičnej spoločnosti, ktorej bolo udelené povolenie v spoločenstve;</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dcérskym podnikom materského podniku poisťovne alebo investičnej spoločnosti, ktorej bolo udelené povolenie v spoločenstve, alebo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c) riadená tou istou fyzickou alebo právnickou osobou, ktorá riadi poisťovňu alebo investičnú spoločnosť, ktorej bolo udelené povolenie v spoločenstve.</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Príslušné orgány uvedené v prvom a druhom odseku sa navzájom poradia najmä pri hodnotení vhodnosti akcionárov a dobrej povesti a skúseností riaditeľov angažovaných v manažmente iného subjektu tej istej skupiny. Navzájom sa informujú o všetkých informáciách týkajúcich sa vhodnosti akcionárov a dobrej povesti a skúseností riaditeľov, ktoré sú dôležité pre ostatné dotknuté príslušné orgány pri udeľovaní povolenia, ako aj pri stálom hodnotení dodržiavania podmienok činnosti."</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Článok 16 ods. 2 sa nahrádza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Ak je nadobúdateľ účasti uvedenej v odseku 1 úverovou inštitúciou, poisťovňou alebo investičnou spoločnosťou, ktorej bolo udelené povolenie v inom členskom štáte, resp. materským podnikom úverovej inštitúcie, poisťovne alebo investičnej spoločnosti, ktorej bolo udelené povolenie v inom členskom štáte, alebo fyzickou alebo právnickou osobou kontrolujúcou úverovú inštitúciu, poisťovňu alebo investičnú spoločnosť, ktorej bolo udelené povolenie v inom členskom štáte, a ak sa v dôsledku tohto nadobudnutia podnik, v ktorom nadobúdateľ plánuje vlastniť daný podiel, stane dcérskym podnikom alebo prejde pod kontrolu nadobúdateľa, vyhodnotenie tohto nadobudnutia musí byť predmetom predchádzajúcej porady podľa článku 12."</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4. Článok 34 ods. 2 sa mení a dopĺňa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Prvý pododsek bodov 12 a 13 sa nahrádza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"12. podiely v iných úverových a finančných inštitúciách vo výške viac ako 10 % ich základného imania;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13. podriadené pohľadávky a nástroje uvedené v článkoch 35 a 36 ods. 3, ktoré úverová inštitúcia vlastní vo vzťahu k úverovým a finančným inštitúciám, v ktorých má v každom prípade podiel prevyšujúci 10 % základného imania;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14. podiely v iných úverových a finančných inštitúciách do 10 % ich základného imania, podriadených pohľadávok a nástrojov uvedených v článku 35 a článku 36 ods. 3, ktoré úverová inštitúcia vlastní vo vzťahu k iným úverovým a finančným inštitúciám ako inštitúciám uvedeným v bodoch 12 a 13 tohto pododseku, vo vzťahu k úhrnnej sume týchto podielov, podriadených pohľadávok a nástrojov, ktorá prevyšuje 10 % vlastných zdrojov tejto úverovej inštitúcie, vypočítaných pred odpočítaním položiek v bodoch 12 až 16 tohto pododseku;</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15. účasti v zmysle článku 1 ods. 9, ktoré úverová inštitúcia vlastní v</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poisťovniach v zmysle článku 6 smernice 73/239/EHS, článku 6 smernice 79/267/EHS alebo článku 1 písm. b) smernice Európskeho parlamentu a Rady 98/78/ES [32],</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zaisťovniach v zmysle článku 1 písm. c) smernice 98/78/ES,</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holdingových poisťovniach v zmysle článku 1 písm. i) smernice 98/78/ES;</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16. každú z nasledujúcich položiek, ktorú úverová inštitúcia vlastní vo vzťahu k subjektom definovaným v bode 15, v ktorých vlastní účasť:</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nástroje uvedené v článku 16 ods. 3 smernice 73/239/EHS,</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nástroje uvedené v článku 18 ods. 3 smernice 79/267/EHS;"</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Druhý pododsek sa nahrádza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sú podiely v inej úverovej inštitúcii, finančnej inštitúcii, poisťovni, zaisťovni alebo holdingovej poisťovni držané dočasne na účel operácie finančnej pomoci na reorganizáciu a záchranu tohto subjektu, príslušný orgán môže upustiť od ustanovení o odpočítaní, zakotvených v bodoch 12 až 16.</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ako alternatívu k odpočítaniu položiek uvedených v bodoch 15 a 16 môžu povoliť, aby ich úverové inštitúcie primerane uplatňovali metódy 1, 2 alebo 3 prílohy I smernice 2002/87/ES. Metóda 1 (účtovná konsolidácia) sa uplatní, len ak je príslušný orgán presvedčený o úrovni integrovaného riadenia a vnútornej kontroly, čo sa týka subjektov, ktoré budú zahrnuté do predmetu konsolidácie. Zvolená metóda sa musí dlhodobo jednotne uplatňovať.</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môžu ustanoviť, že pri výpočte vlastných zdrojov na samostatnom základe úverové inštitúcie podliehajúce dohľadu na konsolidovanom základe v súlade s kapitolou 3 alebo doplnkovému dohľadu podľa smernice 2002/87/ES nemusia odpočítavať položky uvedené v bodoch 12 až 16, ktoré držia v úverových inštitúciách, finančných inštitúciách, poisťovniach, zaisťovniach alebo holdingových poisťovniach, ktoré sú zahrnuté do predmetu konsolidovaného alebo doplnkového dohľadu.</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Toto ustanovenie sa uplatní na všetky predpisy o obozretnom podnikaní, ktoré sú zosúladené právnymi predpismi spoločenstva."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5. Článok 51 ods. 3 sa nahrádza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"3. Členské štáty nemusia uplatňovať limity uvedené v odsekoch 1 a 2 na podiely v poisťovniach v zmysle smernice 73/239/EHS a smernice 79/267/EHS alebo v zaisťovniach v zmysle smernice 98/78/ES."</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6. Posledná veta článku 52 ods. 2 sa nahrádza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"Bez toho, aby boli dotknuté článku 54a, konsolidácia finančnej situácie finančnej holdingovej spoločnosti neznamená, že príslušné orgány sú povinné vykonávať úlohu dohľadu vo vzťahu k finančnej holdingovej spoločnosti na samostatnom základe."</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7. Článok 54 sa mení a dopĺňa takto:</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 v odseku 1 sa pridáva tento pododsek:</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 prípade, ak sú spoločnosti prepojené vzťahom v zmysle článku 12 ods.1 smernice 83/349/EHS, príslušné orgány určia, ako treba vykonávať konsolidáciu.";</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 v odseku 4 prvom pododseku sa vypúšťa tretia zarážka.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8. Dopĺňa sa tento článok:</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"Článok 54a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Riadiaci orgán finančných holdingových podnikov</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vyžadujú, aby osoby, ktoré efektívne riadia činnosť finančnej holdingovej spoločnosti, mali dostatočne dobrú povesť a dostatočné skúsenosti na vykonávanie týchto povinností."</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9. Doplňuje sa tento článok:</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"Článok 55a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Vnútroskupinové transakcie v holdingových spoločnostiach so zmiešaným predmetom činnosti</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Bez toho, aby boli dotknuté ustanovenia hlavy V kapitoly 2 oddielu 3 tejto smernice, ak je materský podnik jednej alebo viacerých úverových inštitúcií holdingovou spoločnosťou so zmiešaným predmetom činnosti, členské štáty zabezpečia, aby príslušné orgány zodpovedné za dohľad nad týmito úverovými inštitúciami vykonávali všeobecný dohľad nad transakciami medzi úverovou inštitúciou a holdingovou spoločnosťou so zmiešaným predmetom činnosti a jej dcérskymi podnikmi.</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Príslušné orgány vyžadujú, aby úverové inštitúcie mali zavedené primerané postupy riadenia rizík a mechanizmy vnútornej kontroly vrátane správnych oznamovacích a účtovných postupov na primeranú identifikáciu, meranie, monitorovanie a kontrolu transakcií so svojou materskou holdingovou spoločnosťou so zmiešaným predmetom činnosti a jej dcérskymi podnikmi. Príslušné orgány tiež vyžadujú, aby úverová inštitúcia hlásila každú inú významnú transakciu s týmito subjektami ako transakciu uvedenú v článku 48. Tieto postupy a významné transakcie podliehajú kontrole príslušných orgánov.</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vnútroskupinové transakcie ohrozujú finančnú situáciu úverovej inštitúcie, príslušný orgán zodpovedný za dohľad nad inštitúciám prijme primerané opatrenia."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10. V článku 56 ods. 7 sa dopĺňa táto veta: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"Príslušný orgán, ktorý dal žiadosť, sa môže, ak chce, zúčastniť na overovaní, ak overovanie nevykonáva sám."</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11. Vkladá sa tento článok:</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"Článok 56a</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Materské spoločnosti z tretích štátov</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úverová inštitúcia, ktorej materským podnikom je úverová inštitúcia alebo finančná holdingová spoločnosť so sídlom mimo spoločenstva, nepodlieha konsolidovanému dohľadu podľa článku 52, príslušné orgány preveria, či úverová inštitúcia podlieha konsolidovanému dohľadu príslušného orgánu tretieho štátu, ktorý je rovnocenný dohľadu, na ktorý sa vzťahujú princípy uvedené v článku 52. Toto overenie vykoná príslušný orgán, ktorý by bol zodpovedný za konsolidovaný dohľad, ak by platil štvrtý pododsek, na žiadosť materského podniku alebo akýchkoľvek regulovaných subjektov oprávnených v spoločenstve alebo z vlastnej iniciatívy. Príslušný orgán musí konzultovať s ostatnými dotknutými príslušnými orgánmi.</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Poradný výbor pre bankovníctvo môže vydávať všeobecné usmernenia o tom, či je režim konsolidovaného dohľadu príslušných orgánov tretích štátov spôsobilý zabezpečovať ciele konsolidovaného dohľadu definované v tejto kapitole, týkajúce sa úverových inštitúcií, ktorých materský podnik má sídlo mimo spoločenstva. Výbor pravidelne reviduje tieto usmernenia a berie do úvahy všetky zmeny režimu konsolidovaného dohľadu, ktoré tieto príslušné orgány vykonajú.</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Príslušný orgán, ktorý vykonáva overovanie špecifikované v druhom pododseku, musí brať do úvahy každé takéto usmernenie. Príslušný orgán sa na tento účel pred prijatím rozhodnutia poradí s výborom.</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takýto rovnocenný dohľad neexistuje, členské štáty analogicky uplatnia voči úverovej inštitúcii ustanovenia článku 52.</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alternatívne umožnia, aby ich príslušné orgány uplatňovali iné primerané metódy, ktoré zabezpečia ciele dohľadu nad úverovými inštitúciami na konsolidovanom základe. Tieto metódy musia byť odsúhlasené príslušným orgánom, ktorý zodpovedá za konsolidovaný dohľad, po porade s ostatnými dotknutými príslušnými orgánmi. Príslušné orgány môžu predovšetkým vyžadovať zriadenie finančnej holdingovej spoločnosti so sídlom v spoločenstve a uplatňovať ustanovenia o konsolidovanom dohľade nad konsolidovanou pozíciou tejto finančnej holdingovej spoločnosti.</w:t>
            </w:r>
          </w:p>
          <w:p w:rsidR="00522A2E"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Tieto metódy musia zabezpečiť ciele konsolidovaného dohľadu definované v tejto kapitole a musia sa oznámiť ostatným dotknutým príslušným orgánom a Komisii."</w:t>
            </w:r>
          </w:p>
          <w:p w:rsidR="002E3212"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7078D1">
            <w:pPr>
              <w:rPr>
                <w:rFonts w:ascii="Arial Narrow" w:hAnsi="Arial Narrow" w:cs="Times New Roman"/>
                <w:sz w:val="20"/>
              </w:rPr>
            </w:pPr>
            <w:r w:rsidR="00B325B3">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E53ED0" w:rsidP="00E53ED0">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7078D1">
            <w:pPr>
              <w:rPr>
                <w:rFonts w:ascii="Arial Narrow" w:hAnsi="Arial Narrow" w:cs="Times New Roman"/>
                <w:sz w:val="20"/>
              </w:rPr>
            </w:pPr>
            <w:r w:rsidR="00B325B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r w:rsidR="00B325B3">
              <w:rPr>
                <w:rFonts w:ascii="Arial Narrow" w:hAnsi="Arial Narrow" w:cs="Times New Roman"/>
                <w:sz w:val="20"/>
              </w:rPr>
              <w:t>Smer. 2000/12/EHS bola zrušená smernicou 2006/48/ES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E3212"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r w:rsidRPr="007078D1">
              <w:rPr>
                <w:rFonts w:ascii="Arial Narrow" w:hAnsi="Arial Narrow" w:cs="Times New Roman"/>
                <w:sz w:val="20"/>
              </w:rPr>
              <w:t>Čl. 30</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B53A5" w:rsidRPr="008D6975" w:rsidP="00C02544">
            <w:pPr>
              <w:pStyle w:val="Normlnywebov8"/>
              <w:spacing w:before="0" w:after="0"/>
              <w:ind w:left="0" w:right="0"/>
              <w:jc w:val="both"/>
              <w:rPr>
                <w:rFonts w:ascii="Arial Narrow" w:hAnsi="Arial Narrow" w:cs="Tahoma"/>
                <w:sz w:val="20"/>
                <w:szCs w:val="20"/>
              </w:rPr>
            </w:pPr>
            <w:r w:rsidRPr="008D6975">
              <w:rPr>
                <w:rFonts w:ascii="Arial Narrow" w:hAnsi="Arial Narrow" w:cs="Tahoma"/>
                <w:sz w:val="20"/>
                <w:szCs w:val="20"/>
              </w:rPr>
              <w:t>SPOLOČNOSTI PRE SPRÁVU MAJETKU</w:t>
            </w:r>
          </w:p>
          <w:p w:rsidR="005B53A5" w:rsidRPr="008D6975" w:rsidP="00C02544">
            <w:pPr>
              <w:pStyle w:val="Normlnywebov8"/>
              <w:spacing w:before="0" w:after="0"/>
              <w:ind w:left="0" w:right="0"/>
              <w:jc w:val="both"/>
              <w:rPr>
                <w:rFonts w:ascii="Arial Narrow" w:hAnsi="Arial Narrow" w:cs="Tahoma"/>
                <w:sz w:val="20"/>
                <w:szCs w:val="20"/>
              </w:rPr>
            </w:pPr>
            <w:r w:rsidRPr="008D6975">
              <w:rPr>
                <w:rFonts w:ascii="Arial Narrow" w:hAnsi="Arial Narrow" w:cs="Tahoma"/>
                <w:sz w:val="20"/>
                <w:szCs w:val="20"/>
              </w:rPr>
              <w:t>Spoločnosti pre správu majetku</w:t>
            </w:r>
          </w:p>
          <w:p w:rsidR="005B53A5" w:rsidRPr="008D6975" w:rsidP="00C02544">
            <w:pPr>
              <w:pStyle w:val="Normlnywebov8"/>
              <w:spacing w:before="0" w:after="0"/>
              <w:ind w:left="0" w:right="0"/>
              <w:jc w:val="both"/>
              <w:rPr>
                <w:rFonts w:ascii="Arial Narrow" w:hAnsi="Arial Narrow" w:cs="Tahoma"/>
                <w:sz w:val="20"/>
                <w:szCs w:val="20"/>
              </w:rPr>
            </w:pPr>
            <w:r w:rsidRPr="008D6975">
              <w:rPr>
                <w:rFonts w:ascii="Arial Narrow" w:hAnsi="Arial Narrow" w:cs="Tahoma"/>
                <w:sz w:val="20"/>
                <w:szCs w:val="20"/>
              </w:rPr>
              <w:t>Členské štáty až do ďalšej koordinácie sektorových predpisov zabezpečia zaradenie podnikov pre správu majetku:</w:t>
            </w:r>
          </w:p>
          <w:p w:rsidR="005B53A5" w:rsidRPr="008D6975" w:rsidP="00C02544">
            <w:pPr>
              <w:pStyle w:val="Normlnywebov8"/>
              <w:spacing w:before="0" w:after="0"/>
              <w:ind w:left="0" w:right="0"/>
              <w:jc w:val="both"/>
              <w:rPr>
                <w:rFonts w:ascii="Arial Narrow" w:hAnsi="Arial Narrow" w:cs="Tahoma"/>
                <w:sz w:val="20"/>
                <w:szCs w:val="20"/>
              </w:rPr>
            </w:pPr>
            <w:r w:rsidRPr="008D6975">
              <w:rPr>
                <w:rFonts w:ascii="Arial Narrow" w:hAnsi="Arial Narrow" w:cs="Tahoma"/>
                <w:sz w:val="20"/>
                <w:szCs w:val="20"/>
              </w:rPr>
              <w:t>a) do predmetu konsolidovaného dohľadu nad úverovými inštitúciami a investičnými podnikmi, resp. do predmetu doplnkového dohľadu nad poisťovňami v poisťovníckej skupine, a</w:t>
            </w:r>
          </w:p>
          <w:p w:rsidR="005B53A5" w:rsidRPr="008D6975" w:rsidP="00C02544">
            <w:pPr>
              <w:pStyle w:val="Normlnywebov8"/>
              <w:spacing w:before="0" w:after="0"/>
              <w:ind w:left="0" w:right="0"/>
              <w:jc w:val="both"/>
              <w:rPr>
                <w:rFonts w:ascii="Arial Narrow" w:hAnsi="Arial Narrow" w:cs="Tahoma"/>
                <w:sz w:val="20"/>
                <w:szCs w:val="20"/>
              </w:rPr>
            </w:pPr>
            <w:r w:rsidRPr="008D6975">
              <w:rPr>
                <w:rFonts w:ascii="Arial Narrow" w:hAnsi="Arial Narrow" w:cs="Tahoma"/>
                <w:sz w:val="20"/>
                <w:szCs w:val="20"/>
              </w:rPr>
              <w:t>b) ak je skupina finančným konglomerátom, do predmetu doplnkového dohľadu v zmysle tejto smernice.</w:t>
            </w:r>
          </w:p>
          <w:p w:rsidR="005B53A5" w:rsidRPr="008D6975" w:rsidP="00C02544">
            <w:pPr>
              <w:pStyle w:val="Normlnywebov8"/>
              <w:spacing w:before="0" w:after="0"/>
              <w:ind w:left="0" w:right="0"/>
              <w:jc w:val="both"/>
              <w:rPr>
                <w:rFonts w:ascii="Arial Narrow" w:hAnsi="Arial Narrow" w:cs="Tahoma"/>
                <w:sz w:val="20"/>
                <w:szCs w:val="20"/>
              </w:rPr>
            </w:pPr>
            <w:r w:rsidRPr="008D6975">
              <w:rPr>
                <w:rFonts w:ascii="Arial Narrow" w:hAnsi="Arial Narrow" w:cs="Tahoma"/>
                <w:sz w:val="20"/>
                <w:szCs w:val="20"/>
              </w:rPr>
              <w:t>Členské štáty pri uplatňovaní prvého odseku ustanovia alebo dajú svojim príslušným orgánom právomoc rozhodnúť, podľa ktorých sektorových predpisov (pre bankový sektor, sektor poisťovníctva alebo sektor investičných služieb) treba spoločnosti pre správu majetku zahrnúť do konsolidovaného dohľadu, resp. doplnkového dohľadu uvedeného v písmene a) prvého odseku. Pre spoločnosti pre správu majetku na účely tohto ustanovenia primerane platia príslušné sektorové predpisy týkajúce sa formy a rozsahu zahrnutia finančných inštitúcií (ak sa spoločnosti pre správu majetku zahŕňajú do predmetu konsolidovaného dohľadu nad úverovými inštitúciami a investičnými podnikmi) a zaisťovní (ak sa spoločnosti pre správu majetku zahŕňajú do predmetu konsolidovaného dohľadu nad poisťovňami). Na účely doplnkového dohľadu uvedeného v písmene b) prvého odseku sa spoločnosť pre správu majetku berie ako súčasť ktoréhokoľvek sektora, do ktorého je zahrnutá podľa písmena a) prvého odseku.</w:t>
            </w:r>
          </w:p>
          <w:p w:rsidR="005B53A5" w:rsidRPr="00C02544" w:rsidP="00C02544">
            <w:pPr>
              <w:pStyle w:val="Normlnywebov8"/>
              <w:spacing w:before="0" w:after="0"/>
              <w:ind w:left="0" w:right="0"/>
              <w:jc w:val="both"/>
              <w:rPr>
                <w:rFonts w:ascii="Arial Narrow" w:hAnsi="Arial Narrow" w:cs="Tahoma"/>
                <w:sz w:val="20"/>
                <w:szCs w:val="20"/>
              </w:rPr>
            </w:pPr>
            <w:r w:rsidRPr="008D6975">
              <w:rPr>
                <w:rFonts w:ascii="Arial Narrow" w:hAnsi="Arial Narrow" w:cs="Tahoma"/>
                <w:sz w:val="20"/>
                <w:szCs w:val="20"/>
              </w:rPr>
              <w:t>Ak je spoločnosť pre správu majetku súčasťou finančného konglomerátu, každý odkaz na pojem regulovaného subjektu a každý odkaz na pojem príslušných orgánov a príslušných orgánov sa chápe na účely tejto smernice ako zahŕňajúci spoločnosti pre správu majetku, resp. príslušné orgány zodpovedné za dohľad nad podnikmi pre správu majetku. To primerane platí vo vzťahu k skupinám uvedeným v písmene a) prvého odseku.</w:t>
            </w:r>
          </w:p>
          <w:p w:rsidR="0099325C"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7078D1">
            <w:pPr>
              <w:rPr>
                <w:rFonts w:ascii="Arial Narrow" w:hAnsi="Arial Narrow" w:cs="Times New Roman"/>
                <w:sz w:val="20"/>
              </w:rPr>
            </w:pPr>
            <w:r w:rsidR="00B325B3">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8D6975" w:rsidP="0099325C">
            <w:pPr>
              <w:rPr>
                <w:rFonts w:ascii="Arial Narrow" w:hAnsi="Arial Narrow" w:cs="Times New Roman"/>
                <w:b/>
                <w:sz w:val="20"/>
              </w:rPr>
            </w:pPr>
            <w:r w:rsidRPr="008D6975" w:rsidR="008D6975">
              <w:rPr>
                <w:rFonts w:ascii="Arial Narrow" w:hAnsi="Arial Narrow" w:cs="Times New Roman"/>
                <w:b/>
                <w:sz w:val="20"/>
              </w:rPr>
              <w:t>566/2001</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8D6975" w:rsidP="0099325C">
            <w:pPr>
              <w:rPr>
                <w:rFonts w:ascii="Arial Narrow" w:hAnsi="Arial Narrow" w:cs="Times New Roman"/>
                <w:b/>
                <w:sz w:val="20"/>
              </w:rPr>
            </w:pPr>
            <w:r w:rsidRPr="008D6975" w:rsidR="008D6975">
              <w:rPr>
                <w:rFonts w:ascii="Arial Narrow" w:hAnsi="Arial Narrow" w:cs="Times New Roman"/>
                <w:b/>
                <w:sz w:val="20"/>
              </w:rPr>
              <w:t>§ 6 ods.2 pís.a)</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D6975" w:rsidRPr="008D6975" w:rsidP="008D6975">
            <w:pPr>
              <w:jc w:val="both"/>
              <w:rPr>
                <w:rFonts w:ascii="Arial Narrow" w:hAnsi="Arial Narrow" w:cs="Times New Roman"/>
                <w:b/>
                <w:sz w:val="20"/>
              </w:rPr>
            </w:pPr>
            <w:r w:rsidRPr="008D6975">
              <w:rPr>
                <w:rFonts w:ascii="Arial Narrow" w:hAnsi="Arial Narrow" w:cs="Times New Roman"/>
                <w:b/>
                <w:sz w:val="20"/>
              </w:rPr>
              <w:t>Vedľajšie služby sú</w:t>
            </w:r>
          </w:p>
          <w:p w:rsidR="008D6975" w:rsidP="008D6975">
            <w:pPr>
              <w:jc w:val="both"/>
              <w:rPr>
                <w:rFonts w:ascii="Arial Narrow" w:hAnsi="Arial Narrow" w:cs="Times New Roman"/>
                <w:b/>
                <w:sz w:val="20"/>
              </w:rPr>
            </w:pPr>
          </w:p>
          <w:p w:rsidR="00D223AE" w:rsidRPr="008D6975" w:rsidP="008D6975">
            <w:pPr>
              <w:jc w:val="both"/>
              <w:rPr>
                <w:rFonts w:ascii="Arial Narrow" w:hAnsi="Arial Narrow" w:cs="Times New Roman"/>
                <w:sz w:val="20"/>
              </w:rPr>
            </w:pPr>
            <w:r w:rsidRPr="008D6975" w:rsidR="008D6975">
              <w:rPr>
                <w:rFonts w:ascii="Arial Narrow" w:hAnsi="Arial Narrow" w:cs="Times New Roman"/>
                <w:b/>
                <w:sz w:val="20"/>
              </w:rPr>
              <w:t>úschova a správa finančných nástrojov na účet klienta, vrátane držiteľskej správy, a súvisiacich služieb, najmä správy peňažných prostriedkov a finančných zábezpek,</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223AE" w:rsidRPr="007078D1">
            <w:pPr>
              <w:rPr>
                <w:rFonts w:ascii="Arial Narrow" w:hAnsi="Arial Narrow" w:cs="Times New Roman"/>
                <w:sz w:val="20"/>
              </w:rPr>
            </w:pPr>
            <w:r w:rsidR="008D6975">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r w:rsidRPr="007078D1">
              <w:rPr>
                <w:rFonts w:ascii="Arial Narrow" w:hAnsi="Arial Narrow" w:cs="Times New Roman"/>
                <w:sz w:val="20"/>
              </w:rPr>
              <w:t>Čl. 31</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PRECHODNÉ A ZÁVEREČNÉ USTANOVENIA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Správa Komisie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Komisia do 11. augusta 2007 predloží Výboru pre finančné konglomeráty uvedenému v článku 21 správu o postupoch uplatňovaných v členských štátoch a v prípade nutnosti o potrebe ďalšieho zosúladenia vo vzťahu k</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zaradeniu podnikov pre správu majetku do celoskupinového dohľadu,</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výberu a uplatňovaniu metód kapitálovej primeranosti uvedených v prílohe 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definícii významných vnútroskupinových transakcií, významnej koncentrácie rizík a dohľadu nad vnútroskupinovými transakciami a koncentráciou rizík, ktorá sa ustanovuje v prílohe II, najmä vo vzťahu k zavedeniu kvantitatívnych limitov a kvalitatívnych požiadaviek na tento účel,</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intervalom, v ktorých finančné konglomeráty robia výpočet kapitálovej primeranosti uvedenej v článku 6 ods. 2 a oznamujú koordinátorovi významnú koncentráciu rizík uvedenú v článku 7 ods. 2</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Komisia sa pred podaním svojich návrhov poradí s výborom.</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Komisia do jedného roka od dosiahnutia dohody na medzinárodnej úrovni o predpisoch na zabránenie dvojitého "záberu" vlastných zdrojov vo finančných skupinách preskúma, ako zabezpečiť súlad ustanovení tejto smernice s týmito medzinárodnými dohodami, a v prípade potreby predloží vhodné návrhy.</w:t>
            </w:r>
          </w:p>
          <w:p w:rsidR="0099325C"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572C" w:rsidRPr="007078D1">
            <w:pPr>
              <w:rPr>
                <w:rFonts w:ascii="Arial Narrow" w:hAnsi="Arial Narrow" w:cs="Times New Roman"/>
                <w:sz w:val="20"/>
              </w:rPr>
            </w:pPr>
            <w:r w:rsidR="00B325B3">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81405"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81405"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81405" w:rsidRPr="008165B6" w:rsidP="008165B6">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1572C" w:rsidRPr="007078D1">
            <w:pPr>
              <w:rPr>
                <w:rFonts w:ascii="Arial Narrow" w:hAnsi="Arial Narrow" w:cs="Times New Roman"/>
                <w:sz w:val="20"/>
              </w:rPr>
            </w:pPr>
            <w:r w:rsidR="00B325B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r w:rsidRPr="007078D1">
              <w:rPr>
                <w:rFonts w:ascii="Arial Narrow" w:hAnsi="Arial Narrow" w:cs="Times New Roman"/>
                <w:sz w:val="20"/>
              </w:rPr>
              <w:t>Čl. 32</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Transpozícia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uvedú do účinnosti zákony, iné právne predpisy a správne opatrenia potrebné na dosiahnutie súladu s touto smernicou do 11. augusta 2004. Bezodkladne o tom informujú Komisiu.</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zabezpečia, aby sa ustanovenia prvého pododseku prvýkrát uplatnili vo vzťahu k dohľadu nad účtami za finančný rok začínajúci 1. januára 2005 alebo počas toho kalendárneho roka.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uvedú priamo v prijatých ustanoveniach lebo pri ich úradnom uverejnení odkaz na túto smernicu. Podrobnosti o odkaze upravia členské štáty.</w:t>
            </w:r>
          </w:p>
          <w:p w:rsidR="0099325C"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871E0" w:rsidRPr="007078D1">
            <w:pPr>
              <w:rPr>
                <w:rFonts w:ascii="Arial Narrow" w:hAnsi="Arial Narrow" w:cs="Times New Roman"/>
                <w:sz w:val="20"/>
              </w:rPr>
            </w:pPr>
            <w:r w:rsidR="00B325B3">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rsidP="00011027">
            <w:pPr>
              <w:rPr>
                <w:rFonts w:ascii="Arial Narrow" w:hAnsi="Arial Narrow" w:cs="Times New Roman"/>
                <w:sz w:val="20"/>
              </w:rPr>
            </w:pPr>
            <w:r w:rsidR="006039F3">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25B3" w:rsidP="00A023E9">
            <w:pPr>
              <w:rPr>
                <w:rFonts w:ascii="Arial Narrow" w:hAnsi="Arial Narrow" w:cs="Times New Roman"/>
                <w:sz w:val="20"/>
              </w:rPr>
            </w:pPr>
            <w:r w:rsidR="00B55918">
              <w:rPr>
                <w:rFonts w:ascii="Arial Narrow" w:hAnsi="Arial Narrow" w:cs="Times New Roman"/>
                <w:sz w:val="20"/>
              </w:rPr>
              <w:t>Čl. V</w:t>
            </w:r>
          </w:p>
          <w:p w:rsidR="00B325B3" w:rsidP="00B325B3">
            <w:pPr>
              <w:jc w:val="center"/>
              <w:rPr>
                <w:rFonts w:ascii="Arial Narrow" w:hAnsi="Arial Narrow" w:cs="Times New Roman"/>
                <w:sz w:val="20"/>
              </w:rPr>
            </w:pPr>
          </w:p>
          <w:p w:rsidR="00B325B3" w:rsidP="00B325B3">
            <w:pPr>
              <w:jc w:val="center"/>
              <w:rPr>
                <w:rFonts w:ascii="Arial Narrow" w:hAnsi="Arial Narrow" w:cs="Times New Roman"/>
                <w:sz w:val="20"/>
              </w:rPr>
            </w:pPr>
          </w:p>
          <w:p w:rsidR="00B325B3" w:rsidP="00B325B3">
            <w:pPr>
              <w:jc w:val="center"/>
              <w:rPr>
                <w:rFonts w:ascii="Arial Narrow" w:hAnsi="Arial Narrow" w:cs="Times New Roman"/>
                <w:sz w:val="20"/>
              </w:rPr>
            </w:pPr>
          </w:p>
          <w:p w:rsidR="00B325B3" w:rsidP="00C234ED">
            <w:pPr>
              <w:rPr>
                <w:rFonts w:ascii="Arial Narrow" w:hAnsi="Arial Narrow" w:cs="Times New Roman"/>
                <w:sz w:val="20"/>
              </w:rPr>
            </w:pPr>
          </w:p>
          <w:p w:rsidR="00B325B3" w:rsidP="00B325B3">
            <w:pPr>
              <w:jc w:val="center"/>
              <w:rPr>
                <w:rFonts w:ascii="Arial Narrow" w:hAnsi="Arial Narrow" w:cs="Times New Roman"/>
                <w:sz w:val="20"/>
              </w:rPr>
            </w:pPr>
          </w:p>
          <w:p w:rsidR="00B325B3" w:rsidP="00B325B3">
            <w:pPr>
              <w:jc w:val="center"/>
              <w:rPr>
                <w:rFonts w:ascii="Arial Narrow" w:hAnsi="Arial Narrow" w:cs="Times New Roman"/>
                <w:sz w:val="20"/>
              </w:rPr>
            </w:pPr>
            <w:r>
              <w:rPr>
                <w:rFonts w:ascii="Arial Narrow" w:hAnsi="Arial Narrow" w:cs="Times New Roman"/>
                <w:sz w:val="20"/>
              </w:rPr>
              <w:t xml:space="preserve"> § </w:t>
            </w:r>
            <w:r w:rsidR="00B55918">
              <w:rPr>
                <w:rFonts w:ascii="Arial Narrow" w:hAnsi="Arial Narrow" w:cs="Times New Roman"/>
                <w:sz w:val="20"/>
              </w:rPr>
              <w:t>99</w:t>
            </w:r>
            <w:r>
              <w:rPr>
                <w:rFonts w:ascii="Arial Narrow" w:hAnsi="Arial Narrow" w:cs="Times New Roman"/>
                <w:sz w:val="20"/>
              </w:rPr>
              <w:t xml:space="preserve"> </w:t>
            </w:r>
          </w:p>
          <w:p w:rsidR="00B325B3" w:rsidP="00B325B3">
            <w:pPr>
              <w:jc w:val="center"/>
              <w:rPr>
                <w:rFonts w:ascii="Arial Narrow" w:hAnsi="Arial Narrow" w:cs="Times New Roman"/>
                <w:sz w:val="20"/>
              </w:rPr>
            </w:pPr>
          </w:p>
          <w:p w:rsidR="00B325B3" w:rsidP="00B325B3">
            <w:pPr>
              <w:jc w:val="center"/>
              <w:rPr>
                <w:rFonts w:ascii="Arial Narrow" w:hAnsi="Arial Narrow" w:cs="Times New Roman"/>
                <w:sz w:val="20"/>
              </w:rPr>
            </w:pPr>
          </w:p>
          <w:p w:rsidR="00B325B3" w:rsidRPr="00501217" w:rsidP="00B325B3">
            <w:pPr>
              <w:jc w:val="center"/>
              <w:rPr>
                <w:rFonts w:ascii="Arial Narrow" w:hAnsi="Arial Narrow" w:cs="Times New Roman"/>
                <w:sz w:val="20"/>
              </w:rPr>
            </w:pPr>
            <w:r>
              <w:rPr>
                <w:rFonts w:ascii="Arial Narrow" w:hAnsi="Arial Narrow" w:cs="Times New Roman"/>
                <w:sz w:val="20"/>
              </w:rPr>
              <w:t xml:space="preserve">Príloha č. 2 </w:t>
            </w:r>
            <w:r w:rsidRPr="005038AB">
              <w:rPr>
                <w:rFonts w:ascii="Arial Narrow" w:hAnsi="Arial Narrow" w:cs="Times New Roman"/>
                <w:iCs/>
                <w:sz w:val="20"/>
              </w:rPr>
              <w:t>k zákonu .../2008 Z. z.</w:t>
            </w:r>
            <w:r>
              <w:rPr>
                <w:rFonts w:ascii="Arial Narrow" w:hAnsi="Arial Narrow" w:cs="Times New Roman"/>
                <w:iCs/>
                <w:sz w:val="20"/>
              </w:rPr>
              <w:t xml:space="preserve"> bod 13.</w:t>
            </w:r>
          </w:p>
          <w:p w:rsidR="0099325C" w:rsidRPr="007078D1" w:rsidP="00A023E9">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B325B3" w:rsidRPr="00BE04D0" w:rsidP="00B325B3">
            <w:pPr>
              <w:jc w:val="both"/>
              <w:rPr>
                <w:rFonts w:ascii="Arial Narrow" w:hAnsi="Arial Narrow" w:cs="Times New Roman"/>
                <w:sz w:val="20"/>
              </w:rPr>
            </w:pPr>
            <w:r w:rsidRPr="00BE04D0">
              <w:rPr>
                <w:rFonts w:ascii="Arial Narrow" w:hAnsi="Arial Narrow" w:cs="Times New Roman"/>
                <w:sz w:val="20"/>
              </w:rPr>
              <w:t>Tento zákon nadobúda účinnosť 1. januára 2008.</w:t>
            </w:r>
          </w:p>
          <w:p w:rsidR="00B325B3" w:rsidP="00B325B3">
            <w:pPr>
              <w:jc w:val="both"/>
              <w:rPr>
                <w:rFonts w:ascii="Arial Narrow" w:hAnsi="Arial Narrow" w:cs="Times New Roman"/>
                <w:sz w:val="20"/>
              </w:rPr>
            </w:pPr>
          </w:p>
          <w:p w:rsidR="00B325B3" w:rsidP="00B325B3">
            <w:pPr>
              <w:jc w:val="both"/>
              <w:rPr>
                <w:rFonts w:ascii="Arial Narrow" w:hAnsi="Arial Narrow" w:cs="Times New Roman"/>
                <w:sz w:val="20"/>
              </w:rPr>
            </w:pPr>
          </w:p>
          <w:p w:rsidR="00B325B3" w:rsidP="00B325B3">
            <w:pPr>
              <w:jc w:val="both"/>
              <w:rPr>
                <w:rFonts w:ascii="Arial Narrow" w:hAnsi="Arial Narrow" w:cs="Times New Roman"/>
                <w:sz w:val="20"/>
              </w:rPr>
            </w:pPr>
          </w:p>
          <w:p w:rsidR="00B325B3" w:rsidP="00B325B3">
            <w:pPr>
              <w:jc w:val="both"/>
              <w:rPr>
                <w:rFonts w:ascii="Arial Narrow" w:hAnsi="Arial Narrow" w:cs="Times New Roman"/>
                <w:sz w:val="20"/>
              </w:rPr>
            </w:pPr>
          </w:p>
          <w:p w:rsidR="00B325B3" w:rsidP="00B325B3">
            <w:pPr>
              <w:jc w:val="both"/>
              <w:rPr>
                <w:rFonts w:ascii="Arial Narrow" w:hAnsi="Arial Narrow" w:cs="Times New Roman"/>
                <w:sz w:val="20"/>
              </w:rPr>
            </w:pPr>
          </w:p>
          <w:p w:rsidR="00B325B3" w:rsidRPr="00343805" w:rsidP="00B325B3">
            <w:pPr>
              <w:jc w:val="both"/>
              <w:rPr>
                <w:rFonts w:ascii="Arial Narrow" w:hAnsi="Arial Narrow" w:cs="Times New Roman"/>
                <w:sz w:val="20"/>
              </w:rPr>
            </w:pPr>
            <w:r w:rsidRPr="00343805">
              <w:rPr>
                <w:rFonts w:ascii="Arial Narrow" w:hAnsi="Arial Narrow" w:cs="Times New Roman"/>
                <w:sz w:val="20"/>
              </w:rPr>
              <w:t>Týmto zákonom sa preberajú právne akty Európskych spoločenstiev a Európskej únie uvedené v prílohe č. 2.</w:t>
            </w:r>
          </w:p>
          <w:p w:rsidR="00B325B3" w:rsidRPr="00B8562B" w:rsidP="00B325B3">
            <w:pPr>
              <w:pStyle w:val="ManualNumPar1Char"/>
              <w:spacing w:before="0" w:after="0"/>
              <w:ind w:left="0" w:firstLine="0"/>
              <w:jc w:val="left"/>
              <w:rPr>
                <w:rFonts w:ascii="Arial Narrow" w:hAnsi="Arial Narrow" w:cs="Times New Roman"/>
                <w:b/>
                <w:sz w:val="20"/>
                <w:szCs w:val="20"/>
                <w:lang w:val="sk-SK"/>
              </w:rPr>
            </w:pPr>
          </w:p>
          <w:p w:rsidR="00B325B3" w:rsidRPr="00B325B3" w:rsidP="00B325B3">
            <w:pPr>
              <w:spacing w:after="150"/>
              <w:rPr>
                <w:rFonts w:ascii="Arial Narrow" w:hAnsi="Arial Narrow" w:cs="Times New Roman"/>
                <w:iCs/>
                <w:sz w:val="20"/>
              </w:rPr>
            </w:pPr>
            <w:r w:rsidRPr="00B325B3">
              <w:rPr>
                <w:rFonts w:ascii="Arial Narrow" w:hAnsi="Arial Narrow" w:cs="Times New Roman"/>
                <w:iCs/>
                <w:sz w:val="20"/>
              </w:rPr>
              <w:t>Zoznam preberaných právnych aktov Európskych spoločenstiev a Európskej únie</w:t>
            </w:r>
          </w:p>
          <w:p w:rsidR="00B325B3" w:rsidRPr="00B325B3" w:rsidP="00B325B3">
            <w:pPr>
              <w:spacing w:after="150"/>
              <w:jc w:val="both"/>
              <w:rPr>
                <w:rStyle w:val="Emphasis"/>
                <w:rFonts w:ascii="Arial Narrow" w:hAnsi="Arial Narrow" w:cs="Times New Roman"/>
                <w:i w:val="0"/>
                <w:sz w:val="20"/>
              </w:rPr>
            </w:pPr>
            <w:r w:rsidR="00B55918">
              <w:rPr>
                <w:rStyle w:val="Emphasis"/>
                <w:rFonts w:ascii="Arial Narrow" w:hAnsi="Arial Narrow" w:cs="Times New Roman"/>
                <w:i w:val="0"/>
                <w:sz w:val="20"/>
              </w:rPr>
              <w:t xml:space="preserve">13. </w:t>
            </w:r>
            <w:r w:rsidRPr="00B325B3">
              <w:rPr>
                <w:rStyle w:val="Emphasis"/>
                <w:rFonts w:ascii="Arial Narrow" w:hAnsi="Arial Narrow" w:cs="Times New Roman"/>
                <w:i w:val="0"/>
                <w:sz w:val="20"/>
              </w:rPr>
              <w:t>Smernica Európskeho parlamentu a Rady 2002/87/ES zo 16. decembra 2002 o doplnkovom dohľade nad úverovými inštitúciami, poisťovňami a investičnými spoločnosťami vo finančnom konglomeráte, ktorou sa menia a dopĺňajú smernice Rady 73/239/EHS, 79/267/EHS, 92/49/EHS, 92/96/EHS, 93/6/EHS a 93/22/EHS a smernice Európskeho parlamentu a Rady 98/78/ES a 2000/12ES (Ú. v. EÚ L 35, 11.2.2003), v znení smernice Európskeho parlamentu a Rady 2005/1/ES z  9. marca 2005 (Ú. v. EÚ L 79, 24.3.2005).</w:t>
            </w:r>
          </w:p>
          <w:p w:rsidR="0099325C" w:rsidRPr="00CE4A5B" w:rsidP="00CE4A5B">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11027" w:rsidRPr="007078D1">
            <w:pPr>
              <w:rPr>
                <w:rFonts w:ascii="Arial Narrow" w:hAnsi="Arial Narrow" w:cs="Times New Roman"/>
                <w:sz w:val="20"/>
              </w:rPr>
            </w:pPr>
            <w:r w:rsidR="00B325B3">
              <w:rPr>
                <w:rFonts w:ascii="Arial Narrow" w:hAnsi="Arial Narrow" w:cs="Times New Roman"/>
                <w:sz w:val="20"/>
              </w:rPr>
              <w:t>Ú</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pPr>
              <w:rPr>
                <w:rFonts w:ascii="Arial Narrow" w:hAnsi="Arial Narrow" w:cs="Times New Roman"/>
                <w:sz w:val="20"/>
              </w:rPr>
            </w:pPr>
          </w:p>
          <w:p w:rsidR="00B55918">
            <w:pPr>
              <w:rPr>
                <w:rFonts w:ascii="Arial Narrow" w:hAnsi="Arial Narrow" w:cs="Times New Roman"/>
                <w:sz w:val="20"/>
              </w:rPr>
            </w:pPr>
          </w:p>
          <w:p w:rsidR="00B55918">
            <w:pPr>
              <w:rPr>
                <w:rFonts w:ascii="Arial Narrow" w:hAnsi="Arial Narrow" w:cs="Times New Roman"/>
                <w:sz w:val="20"/>
              </w:rPr>
            </w:pPr>
          </w:p>
          <w:p w:rsidR="00B55918" w:rsidRPr="007078D1">
            <w:pPr>
              <w:rPr>
                <w:rFonts w:ascii="Arial Narrow" w:hAnsi="Arial Narrow" w:cs="Times New Roman"/>
                <w:sz w:val="20"/>
              </w:rPr>
            </w:pPr>
            <w:r w:rsidRPr="00B8562B">
              <w:rPr>
                <w:rFonts w:ascii="Arial Narrow" w:hAnsi="Arial Narrow" w:cs="Arial Narrow"/>
                <w:sz w:val="20"/>
              </w:rPr>
              <w:t>§ 35 ods.7 zákona č. 575/ 2001 Z.z</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r w:rsidRPr="007078D1">
              <w:rPr>
                <w:rFonts w:ascii="Arial Narrow" w:hAnsi="Arial Narrow" w:cs="Times New Roman"/>
                <w:sz w:val="20"/>
              </w:rPr>
              <w:t>Čl. 33</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Nadobudnutie účinnosti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Táto smernica nadobudne účinnosť dňom jej uverejnenia v Úradnom vestníku Európskej únie.</w:t>
            </w:r>
          </w:p>
          <w:p w:rsidR="0099325C"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r w:rsidR="00B325B3">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D2D4C"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1D2D4C">
            <w:pPr>
              <w:jc w:val="both"/>
              <w:rPr>
                <w:rFonts w:ascii="Arial Narrow" w:hAnsi="Arial Narrow" w:cs="Times New Roman"/>
                <w:b/>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E35C7" w:rsidRPr="007078D1">
            <w:pPr>
              <w:rPr>
                <w:rFonts w:ascii="Arial Narrow" w:hAnsi="Arial Narrow" w:cs="Times New Roman"/>
                <w:sz w:val="20"/>
              </w:rPr>
            </w:pPr>
            <w:r w:rsidR="00B325B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r w:rsidRPr="007078D1">
              <w:rPr>
                <w:rFonts w:ascii="Arial Narrow" w:hAnsi="Arial Narrow" w:cs="Times New Roman"/>
                <w:sz w:val="20"/>
              </w:rPr>
              <w:t>Čl. 34</w:t>
            </w: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Adresáti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Táto smernica je adresovaná členským štátom.</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Brusel 16. decembra 2002</w:t>
            </w:r>
          </w:p>
          <w:p w:rsidR="0099325C"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7078D1">
            <w:pPr>
              <w:rPr>
                <w:rFonts w:ascii="Arial Narrow" w:hAnsi="Arial Narrow" w:cs="Times New Roman"/>
                <w:sz w:val="20"/>
              </w:rPr>
            </w:pPr>
            <w:r w:rsidR="00B325B3">
              <w:rPr>
                <w:rFonts w:ascii="Arial Narrow" w:hAnsi="Arial Narrow" w:cs="Times New Roman"/>
                <w:sz w:val="20"/>
              </w:rPr>
              <w:t>n.a.</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6BCE" w:rsidRPr="007078D1">
            <w:pPr>
              <w:rPr>
                <w:rFonts w:ascii="Arial Narrow" w:hAnsi="Arial Narrow" w:cs="Times New Roman"/>
                <w:sz w:val="20"/>
              </w:rPr>
            </w:pP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6BCE" w:rsidRPr="007078D1">
            <w:pPr>
              <w:rPr>
                <w:rFonts w:ascii="Arial Narrow" w:hAnsi="Arial Narrow" w:cs="Times New Roman"/>
                <w:sz w:val="20"/>
              </w:rPr>
            </w:pP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6BCE" w:rsidRPr="002A6BCE" w:rsidP="002A6BCE">
            <w:pPr>
              <w:jc w:val="both"/>
              <w:rPr>
                <w:rFonts w:ascii="Arial Narrow" w:hAnsi="Arial Narrow" w:cs="Times New Roman"/>
                <w:sz w:val="20"/>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7078D1">
            <w:pPr>
              <w:rPr>
                <w:rFonts w:ascii="Arial Narrow" w:hAnsi="Arial Narrow" w:cs="Times New Roman"/>
                <w:sz w:val="20"/>
              </w:rPr>
            </w:pPr>
            <w:r w:rsidR="00B325B3">
              <w:rPr>
                <w:rFonts w:ascii="Arial Narrow" w:hAnsi="Arial Narrow" w:cs="Times New Roman"/>
                <w:sz w:val="20"/>
              </w:rPr>
              <w:t>n.a.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pPr>
              <w:rPr>
                <w:rFonts w:ascii="Arial Narrow" w:hAnsi="Arial Narrow" w:cs="Times New Roman"/>
                <w:sz w:val="20"/>
              </w:rPr>
            </w:pPr>
            <w:r w:rsidR="005B53A5">
              <w:rPr>
                <w:rFonts w:ascii="Arial Narrow" w:hAnsi="Arial Narrow" w:cs="Times New Roman"/>
                <w:sz w:val="20"/>
              </w:rPr>
              <w:t>Príloha I</w:t>
            </w:r>
          </w:p>
          <w:p w:rsidR="005B53A5">
            <w:pPr>
              <w:rPr>
                <w:rFonts w:ascii="Arial Narrow" w:hAnsi="Arial Narrow" w:cs="Times New Roman"/>
                <w:sz w:val="20"/>
              </w:rPr>
            </w:pPr>
          </w:p>
          <w:p w:rsidR="005B53A5" w:rsidRPr="007078D1">
            <w:pPr>
              <w:rPr>
                <w:rFonts w:ascii="Arial Narrow" w:hAnsi="Arial Narrow" w:cs="Times New Roman"/>
                <w:sz w:val="20"/>
              </w:rPr>
            </w:pP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PRÍLOHA 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KAPITÁLOVÁ PRIMERANOSŤ</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Výpočet doplňujúcej povinnej kapitálovej primeranosti regulovaných subjektov vo finančnom konglomeráte podľa článku 6 ods. 1 sa vykonáva v súlade s technickými princípmi a jednou z metód opísaných v tejto prílohe.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Bez toho, aby boli dotknuté ustanovenia nasledujúceho odseku, umožnia členské štáty svojim príslušným orgánom, ak tieto prevzali úlohu koordinátora vo vzťahu ku konkrétnemu finančnému konglomerátu, aby rozhodli po porade s ostatnými príslušnými orgánmi a s konglomerátom samotným, ktorú metódu tento finančný konglomerát bude uplatňovať.</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môžu vyžadovať, aby sa výpočet robil jednou konkrétnou metódou z metód uvedených v tejto prílohe, ak je na vrchole finančného konglomerátu regulovaný subjekt, ktorý dostal povolenie v tom členskom štáte. Ak na vrchole finančného konglomerátu nie je regulovaný subjekt v zmysle článku 1, členské štáty schvália uplatňovanie ktorejkoľvek z metód opísaných v tejto prílohe, okrem situácie, ak sa príslušné orgány nachádzajú v tom istom členskom štáte, keď tento členský štát môže vyžadovať uplatňovanie jednej z metód.</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 Technické princípy</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1. Rozsah a forma výpočtu doplňujúcej povinnej kapitálovej primeranosti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je daný subjekt dcérskym podnikom a má deficit solventnosti alebo v prípade neregulovaného subjektu finančného sektora pomyselný deficit solventnosti, bez ohľadu, ktorá metóda sa použije, treba vziať do úvahy celý deficit solventnosti dcérskeho podniku. Ak v tomto prípade, podľa názoru koordinátora, zodpovednosť materského podniku, ktorá vlastní podiel základného imania, sa striktne a jednoznačne obmedzuje na tento podiel na základnom imaní, koordinátor môže dať povolenie, aby sa deficit solventnosti dcérskeho podniku bral do úvahy proporcionálne.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medzi subjektmi vo finančnom konglomeráte neexistuje kapitálové prepojenie, koordinátor po porade s ostatnými príslušnými orgánmi rozhodne, ktorý proporcionálny podiel bude treba brať do úvahy, majúc na pamäti záväzok, ktorý vzniká z jestvujúceho vzťahu.</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2. Ďalšie technické princípy</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Koordinátor a v prípade potreby ostatné dotknuté príslušné orgány, bez ohľadu na metódu použitú pri výpočte doplňujúcej povinnej kapitálovej primeranosti regulovaných subjektov vo finančnom konglomeráte uvedenej v časti II tejto prílohy, zabezpečia uplatňovanie týchto princípov:</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 musí sa zabrániť viacnásobnému použitiu prvkov oprávnených na výpočet vlastných zdrojov na úrovni finančného konglomerátu (viacnásobný "záber"), ako aj každej nenáležitej tvorbe vlastných zdrojov vnútri skupiny; príslušné orgány na zabránenie viacnásobnému "záberu" a tvorbe vlastných zdrojov vnútri skupiny musia podľa analógie uplatňovať relevantné princípy uvedené v príslušných sektorových predpisoch;</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ii) až do ďalšieho zosúladenia sektorových predpisov sa povinná kapitálová primeranosť pre každý odlišný finančný sektor reprezentovaný vo finančnom konglomeráte musí pokryť prvkami vlastných zdrojov v súlade so zodpovedajúcimi sektorovými predpismi; ak na úrovni finančného konglomerátu je deficit vlastných zdrojov, pri overovaní dodržania dodatočných požiadaviek na kapitálovú primeranosť sa kvalifikujú len tie prvky vlastných zdrojov, ktoré sú oprávnené podľa každého zo sektorových predpisov (transsektorový kapitál);</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sektorové predpisy ustanovujú limity na oprávnenosť určitých nástrojov vlastných zdrojov, ktoré sú oprávnené ako transsektorový kapitál, tieto limity budú primerane platiť pri výpočte vlastných zdrojov na úrovni finančného konglomerátu;</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príslušné orgány pri výpočte vlastných zdrojov na úrovni finančného konglomerátu vezmú do úvahy tiež účinnosť prevoditeľnosti a dostupnosti vlastných zdrojov v rámci rôznych právnických osôb v skupine vzhľadom na ciele predpisov o kapitálovej primeranosti;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ak sa v prípade neregulovaného subjektu finančného sektora pomyselná kapitálová požiadavka počíta podľa časti II tejto prílohy, pomyselná kapitálová požiadavka znamená kapitálovú primeranosť, s ktorou by tento subjekt spĺňal príslušné sektorové predpisy, ako keby bol regulovaným subjektom tohto konkrétneho finančného sektora; v prípade spoločnosti zaoberajúcej sa správou investičného majetku kapitálová požiadavka znamená kapitálovú primeranosť uvedenú v článku 5a ods. 1 písm. a) smernice 85/611/EHS; pomyselná kapitálová požiadavka zmiešanej finančnej holdingovej spoločnosti sa vypočíta podľa sektorových predpisov najdôležitejšieho finančného sektora vo finančnom konglomeráte.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II. Technické metódy výpočtu</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Metóda 1: metóda "účtovnej konsolidácie"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Výpočet doplňujúcej kapitálovej primeranosti regulovaných subjektov vo finančnom konglomeráte sa robí na základe konsolidovaných účtov.</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Doplňujúca kapitálová primeranosť sa vypočíta ako rozdiel medzi: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 vlastnými zdrojmi finančného konglomerátu vypočítanými na základe konsolidovanej pozície skupiny; oprávnené prvky sú tie, ktoré sú oprávnené podľa príslušných sektorových predpisov,</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ii) súčtom kapitálových požiadaviek za každý osobitný finančný sektor zastúpený v skupine; kapitálové požiadavky za každý osobitný finančný sektor sa vypočítajú na základe zodpovedajúcich sektorových predpisov.</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Medzi uvedené sektorové predpisy patria najmä smernice 2000/12/ES, hlava V kapitola 3 vo vzťahu k úverovým inštitúciám, 98/78/ES vo vzťahu k poisťovniam a 93/6/EHS vo vzťahu k úverovým inštitúciám a investičným spoločnostiam.</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 prípade neregulovaných subjektov finančného sektora, ktoré nie sú zahrnuté do uvedených výpočtov sektorových kapitálových požiadaviek, sa počíta pomyselná kapitálová požiadavka.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Rozdiel nesmie byť záporný.</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Metóda 2: metóda "odpočítavania a agregácie"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Výpočet doplňujúcej kapitálovej primeranosti regulovaných subjektov vo finančnom konglomeráte sa robí na základe účtov každého zo subjektov v skupine.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Doplňujúca kapitálová primeranosť sa vypočíta ako rozdiel medzi: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 súčtom vlastných zdrojov každého regulovaného a neregulovaného subjektu finančného sektora vo finančnom konglomeráte; oprávnené prvky sú tie, ktoré sú oprávnené podľa príslušných sektorových predpisov,</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ii) súčtom</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kapitálových požiadaviek za každý regulovaný a neregulovaný subjekt finančného sektora v skupine; kapitálové požiadavky sa počítajú podľa príslušných sektorových predpisov 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účtovnej hodnoty účastí v iných subjektoch skupiny.</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 prípade neregulovaných subjektov finančného sektora sa počíta pomyselná kapitálová požiadavka. Vlastné zdroje a kapitálové požiadavky sa berú do úvahy v ich proporcionálnom podiele uvedenom v článku 6 ods. 4 a v súlade s oddielom 1 tejto prílohy.</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Rozdiel nesmie byť záporný.</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Metóda 3: metóda "účtovnej hodnoty/odpočítavania požiadaviek"</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Výpočet doplňujúcej kapitálovej primeranosti regulovaných subjektov vo finančnom konglomeráte sa robí na základe účtov každého zo subjektov v skupine.</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Doplňujúca kapitálová primeranosť sa vypočíta ako rozdiel medzi:</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 vlastnými zdrojmi materského podniku alebo subjektu na vrchole finančného konglomerátu; oprávnené prvky sú tie, ktoré spĺňajú požiadavky príslušných sektorových predpisov,</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ii) súčtom</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požadovanej kapitálovej primeranosti materského podniku alebo vrcholového subjektu uvedeného v bode i) a</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 vyššej hodnoty z účtovnej hodnoty účasti vyššie uvedených podnikov v iných subjektoch v skupine a z kapitálových požiadaviek týchto subjektov; kapitálové požiadavky vrcholového subjektu sa berú do úvahy v ich proporcionálnom podiele, ktorý sa ustanovuje v článku 6 ods. 4, a v súlade s časťou 1 tejto prílohy.</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V prípade neregulovaných subjektov finančného sektora sa počíta pomyselná kapitálová požiadavka. Pri oceňovaní prvkov oprávnených na výpočet doplňujúcej kapitálovej primeranosti sa účasti môžu oceňovať na základe metódy v súlade s možnosťou uvedenou v článku 59 ods. 2 písm. b) smernice 78/660/EHS.</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Rozdiel nesmie byť záporný.</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Metóda 4: kombinácia metód 1, 2 a 3.</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Príslušné orgány môžu povoliť kombináciu metód 1, 2 a 3 alebo kombináciu dvoch z týchto metód.</w:t>
            </w:r>
          </w:p>
          <w:p w:rsidR="0099325C"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7078D1">
            <w:pPr>
              <w:rPr>
                <w:rFonts w:ascii="Arial Narrow" w:hAnsi="Arial Narrow" w:cs="Times New Roman"/>
                <w:sz w:val="20"/>
              </w:rPr>
            </w:pPr>
            <w:r w:rsidR="00B325B3">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pPr>
              <w:rPr>
                <w:rFonts w:ascii="Arial Narrow" w:hAnsi="Arial Narrow" w:cs="Times New Roman"/>
                <w:sz w:val="20"/>
              </w:rPr>
            </w:pPr>
          </w:p>
          <w:p w:rsidR="006039F3" w:rsidRPr="007078D1">
            <w:pPr>
              <w:rPr>
                <w:rFonts w:ascii="Arial Narrow" w:hAnsi="Arial Narrow" w:cs="Times New Roman"/>
                <w:sz w:val="20"/>
              </w:rPr>
            </w:pPr>
            <w:r>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pPr>
              <w:rPr>
                <w:rFonts w:ascii="Arial Narrow" w:hAnsi="Arial Narrow" w:cs="Times New Roman"/>
                <w:sz w:val="20"/>
              </w:rPr>
            </w:pPr>
          </w:p>
          <w:p w:rsidR="00B325B3" w:rsidRPr="007078D1">
            <w:pPr>
              <w:rPr>
                <w:rFonts w:ascii="Arial Narrow" w:hAnsi="Arial Narrow" w:cs="Times New Roman"/>
                <w:sz w:val="20"/>
              </w:rPr>
            </w:pPr>
            <w:r>
              <w:rPr>
                <w:rFonts w:ascii="Arial Narrow" w:hAnsi="Arial Narrow" w:cs="Times New Roman"/>
                <w:sz w:val="20"/>
              </w:rPr>
              <w:t xml:space="preserve">§ 58 </w:t>
            </w:r>
            <w:r w:rsidR="006123F9">
              <w:rPr>
                <w:rFonts w:ascii="Arial Narrow" w:hAnsi="Arial Narrow" w:cs="Times New Roman"/>
                <w:sz w:val="20"/>
              </w:rPr>
              <w:t>ods. 9</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P="00EE49E4">
            <w:pPr>
              <w:jc w:val="both"/>
              <w:rPr>
                <w:rFonts w:ascii="Arial Narrow" w:hAnsi="Arial Narrow" w:cs="Times New Roman"/>
                <w:sz w:val="20"/>
              </w:rPr>
            </w:pPr>
          </w:p>
          <w:p w:rsidR="006123F9" w:rsidRPr="006123F9" w:rsidP="006123F9">
            <w:pPr>
              <w:pStyle w:val="BodyText"/>
              <w:rPr>
                <w:rFonts w:ascii="Arial Narrow" w:hAnsi="Arial Narrow" w:cs="Times New Roman"/>
                <w:sz w:val="20"/>
              </w:rPr>
            </w:pPr>
            <w:r w:rsidR="00D34BF4">
              <w:rPr>
                <w:rFonts w:ascii="Arial Narrow" w:hAnsi="Arial Narrow" w:cs="Times New Roman"/>
                <w:sz w:val="20"/>
              </w:rPr>
              <w:t>Opatrenie, ktoré</w:t>
            </w:r>
            <w:r w:rsidRPr="006123F9">
              <w:rPr>
                <w:rFonts w:ascii="Arial Narrow" w:hAnsi="Arial Narrow" w:cs="Times New Roman"/>
                <w:sz w:val="20"/>
              </w:rPr>
              <w:t xml:space="preserve"> vydá Národná banka Slovenska</w:t>
            </w:r>
            <w:r w:rsidR="00D34BF4">
              <w:rPr>
                <w:rFonts w:ascii="Arial Narrow" w:hAnsi="Arial Narrow" w:cs="Times New Roman"/>
                <w:sz w:val="20"/>
              </w:rPr>
              <w:t xml:space="preserve"> a ktoré sa vyhlasuje v zbierke zákonov</w:t>
            </w:r>
            <w:r w:rsidRPr="006123F9">
              <w:rPr>
                <w:rFonts w:ascii="Arial Narrow" w:hAnsi="Arial Narrow" w:cs="Times New Roman"/>
                <w:sz w:val="20"/>
              </w:rPr>
              <w:t>, ustanoví na účely výpočtu dostatočnej výšky vlastných zdrojov na úrovni finančného konglomerátu</w:t>
            </w:r>
          </w:p>
          <w:p w:rsidR="006123F9" w:rsidRPr="006123F9" w:rsidP="006123F9">
            <w:pPr>
              <w:pStyle w:val="BodyText"/>
              <w:rPr>
                <w:rFonts w:ascii="Arial Narrow" w:hAnsi="Arial Narrow" w:cs="Times New Roman"/>
                <w:sz w:val="20"/>
              </w:rPr>
            </w:pPr>
            <w:r w:rsidRPr="006123F9">
              <w:rPr>
                <w:rFonts w:ascii="Arial Narrow" w:hAnsi="Arial Narrow" w:cs="Times New Roman"/>
                <w:sz w:val="20"/>
              </w:rPr>
              <w:t>a) čo tvorí vlastné zdroje na úrovni finančného konglomerátu a spôsob ich výpočtu, vrátane vlastných zdrojov zmiešanej finančnej holdingovej spoločnosti,</w:t>
            </w:r>
          </w:p>
          <w:p w:rsidR="006123F9" w:rsidRPr="006123F9" w:rsidP="006123F9">
            <w:pPr>
              <w:pStyle w:val="BodyText"/>
              <w:rPr>
                <w:rFonts w:ascii="Arial Narrow" w:hAnsi="Arial Narrow" w:cs="Times New Roman"/>
                <w:sz w:val="20"/>
              </w:rPr>
            </w:pPr>
            <w:r w:rsidRPr="006123F9">
              <w:rPr>
                <w:rFonts w:ascii="Arial Narrow" w:hAnsi="Arial Narrow" w:cs="Times New Roman"/>
                <w:sz w:val="20"/>
              </w:rPr>
              <w:t>b) čo sa rozumie minimálnou výškou vlastných zdrojov osôb vo finančnom konglomeráte a spôsob ich výpočtu,</w:t>
            </w:r>
          </w:p>
          <w:p w:rsidR="006123F9" w:rsidRPr="00EE49E4" w:rsidP="006123F9">
            <w:pPr>
              <w:jc w:val="both"/>
              <w:rPr>
                <w:rFonts w:ascii="Arial Narrow" w:hAnsi="Arial Narrow" w:cs="Times New Roman"/>
                <w:sz w:val="20"/>
              </w:rPr>
            </w:pPr>
            <w:r w:rsidRPr="006123F9">
              <w:rPr>
                <w:rFonts w:ascii="Arial Narrow" w:hAnsi="Arial Narrow" w:cs="Times New Roman"/>
                <w:sz w:val="20"/>
              </w:rPr>
              <w:t>c) metódy výpočtu dostatočnej výšky vlastných zdrojov finančného konglomerátu</w:t>
            </w:r>
            <w:r>
              <w:rPr>
                <w:rFonts w:ascii="Arial Narrow" w:hAnsi="Arial Narrow" w:cs="Times New Roman"/>
                <w:sz w:val="20"/>
              </w:rPr>
              <w: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7580A" w:rsidRPr="007078D1">
            <w:pPr>
              <w:rPr>
                <w:rFonts w:ascii="Arial Narrow" w:hAnsi="Arial Narrow" w:cs="Times New Roman"/>
                <w:sz w:val="20"/>
              </w:rPr>
            </w:pPr>
            <w:r w:rsidR="004501A0">
              <w:rPr>
                <w:rFonts w:ascii="Arial Narrow" w:hAnsi="Arial Narrow" w:cs="Times New Roman"/>
                <w:sz w:val="20"/>
              </w:rPr>
              <w:t>Č</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501A0">
            <w:pPr>
              <w:rPr>
                <w:rFonts w:ascii="Arial Narrow" w:hAnsi="Arial Narrow" w:cs="Times New Roman"/>
                <w:sz w:val="20"/>
              </w:rPr>
            </w:pPr>
          </w:p>
          <w:p w:rsidR="0099325C" w:rsidRPr="007078D1">
            <w:pPr>
              <w:rPr>
                <w:rFonts w:ascii="Arial Narrow" w:hAnsi="Arial Narrow" w:cs="Times New Roman"/>
                <w:sz w:val="20"/>
              </w:rPr>
            </w:pPr>
            <w:r w:rsidR="004501A0">
              <w:rPr>
                <w:rFonts w:ascii="Arial Narrow" w:hAnsi="Arial Narrow" w:cs="Times New Roman"/>
                <w:sz w:val="20"/>
              </w:rPr>
              <w:t>Návrh o</w:t>
            </w:r>
            <w:r w:rsidR="00D34BF4">
              <w:rPr>
                <w:rFonts w:ascii="Arial Narrow" w:hAnsi="Arial Narrow" w:cs="Times New Roman"/>
                <w:sz w:val="20"/>
              </w:rPr>
              <w:t>patreni</w:t>
            </w:r>
            <w:r w:rsidR="004501A0">
              <w:rPr>
                <w:rFonts w:ascii="Arial Narrow" w:hAnsi="Arial Narrow" w:cs="Times New Roman"/>
                <w:sz w:val="20"/>
              </w:rPr>
              <w:t>a</w:t>
            </w:r>
            <w:r w:rsidR="00D34BF4">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r>
      <w:tr>
        <w:tblPrEx>
          <w:tblW w:w="15950" w:type="dxa"/>
          <w:jc w:val="center"/>
          <w:tblInd w:w="618" w:type="dxa"/>
          <w:tblLayout w:type="fixed"/>
          <w:tblCellMar>
            <w:top w:w="28" w:type="dxa"/>
            <w:left w:w="28" w:type="dxa"/>
            <w:bottom w:w="28" w:type="dxa"/>
            <w:right w:w="28" w:type="dxa"/>
          </w:tblCellMar>
        </w:tblPrEx>
        <w:trPr>
          <w:trHeight w:val="284"/>
          <w:jc w:val="center"/>
        </w:trPr>
        <w:tc>
          <w:tcPr>
            <w:tcW w:w="39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pPr>
              <w:rPr>
                <w:rFonts w:ascii="Arial Narrow" w:hAnsi="Arial Narrow" w:cs="Times New Roman"/>
                <w:sz w:val="20"/>
              </w:rPr>
            </w:pPr>
            <w:r w:rsidR="005B53A5">
              <w:rPr>
                <w:rFonts w:ascii="Arial Narrow" w:hAnsi="Arial Narrow" w:cs="Times New Roman"/>
                <w:sz w:val="20"/>
              </w:rPr>
              <w:t>Príloha II</w:t>
            </w:r>
          </w:p>
          <w:p w:rsidR="005B53A5">
            <w:pPr>
              <w:rPr>
                <w:rFonts w:ascii="Arial Narrow" w:hAnsi="Arial Narrow" w:cs="Times New Roman"/>
                <w:sz w:val="20"/>
              </w:rPr>
            </w:pPr>
          </w:p>
          <w:p w:rsidR="005B53A5">
            <w:pPr>
              <w:rPr>
                <w:rFonts w:ascii="Arial Narrow" w:hAnsi="Arial Narrow" w:cs="Times New Roman"/>
                <w:sz w:val="20"/>
              </w:rPr>
            </w:pPr>
          </w:p>
          <w:p w:rsidR="005B53A5">
            <w:pPr>
              <w:rPr>
                <w:rFonts w:ascii="Arial Narrow" w:hAnsi="Arial Narrow" w:cs="Times New Roman"/>
                <w:sz w:val="20"/>
              </w:rPr>
            </w:pPr>
          </w:p>
          <w:p w:rsidR="005B53A5">
            <w:pPr>
              <w:rPr>
                <w:rFonts w:ascii="Arial Narrow" w:hAnsi="Arial Narrow" w:cs="Times New Roman"/>
                <w:sz w:val="20"/>
              </w:rPr>
            </w:pPr>
          </w:p>
          <w:p w:rsidR="005B53A5">
            <w:pPr>
              <w:rPr>
                <w:rFonts w:ascii="Arial Narrow" w:hAnsi="Arial Narrow" w:cs="Times New Roman"/>
                <w:sz w:val="20"/>
              </w:rPr>
            </w:pPr>
          </w:p>
          <w:p w:rsidR="005B53A5">
            <w:pPr>
              <w:rPr>
                <w:rFonts w:ascii="Arial Narrow" w:hAnsi="Arial Narrow" w:cs="Times New Roman"/>
                <w:sz w:val="20"/>
              </w:rPr>
            </w:pPr>
          </w:p>
          <w:p w:rsidR="005B53A5">
            <w:pPr>
              <w:rPr>
                <w:rFonts w:ascii="Arial Narrow" w:hAnsi="Arial Narrow" w:cs="Times New Roman"/>
                <w:sz w:val="20"/>
              </w:rPr>
            </w:pPr>
          </w:p>
          <w:p w:rsidR="005B53A5">
            <w:pPr>
              <w:rPr>
                <w:rFonts w:ascii="Arial Narrow" w:hAnsi="Arial Narrow" w:cs="Times New Roman"/>
                <w:sz w:val="20"/>
              </w:rPr>
            </w:pPr>
          </w:p>
          <w:p w:rsidR="005B53A5" w:rsidRPr="007078D1">
            <w:pPr>
              <w:rPr>
                <w:rFonts w:ascii="Arial Narrow" w:hAnsi="Arial Narrow" w:cs="Times New Roman"/>
                <w:sz w:val="20"/>
              </w:rPr>
            </w:pPr>
          </w:p>
        </w:tc>
        <w:tc>
          <w:tcPr>
            <w:tcW w:w="61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TECHNICKÉ UPLATŇOVANIE USTANOVENÍ O VNÚTROSKUPINOVÝCH TRANSAKCIÁCH A KONCENTRÁCII RIZÍK</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Koordinátor po porade s ostatnými príslušnými orgánmi identifikuje druh transakcií a rizík, ktoré regulované subjekty v konkrétnom finančnom konglomeráte musia hlásiť v súlade s ustanoveniami článku 7 ods. 2 a článku 8 ods. 2 o oznamovaní vnútroskupinových transakcií a koncentrácii rizík. Koordinátor a príslušné orgány pri určovaní alebo podávaní svojho stanoviska o type transakcií a rizík berú do úvahy špecifickú štruktúru skupiny a štruktúru riadenia rizík finančného konglomerátu. Koordinátor na identifikáciu významných vnútroskupinových transakcií a významnej koncentrácie rizík, ktoré treba oznamovať podľa ustanovení článkov 7 a 8, po porade s ostatnými príslušnými orgánmi a s konglomerátom samotným definuje príslušné limity na základe vlastných zdrojoch, resp. poistných rezerv určených regulátorom.</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Koordinátor pri skúmaní vnútroskupinových transakcií a koncentrácie rizík predovšetkým monitoruje možné riziko nákazy vo finančnom konglomeráte, riziko konfliktu záujmov, riziko obchádzania sektorových predpisov a úroveň alebo rozsah rizík.</w:t>
            </w:r>
          </w:p>
          <w:p w:rsidR="005B53A5" w:rsidRPr="00C02544" w:rsidP="00C02544">
            <w:pPr>
              <w:pStyle w:val="Normlnywebov8"/>
              <w:spacing w:before="0" w:after="0"/>
              <w:ind w:left="0" w:right="0"/>
              <w:jc w:val="both"/>
              <w:rPr>
                <w:rFonts w:ascii="Arial Narrow" w:hAnsi="Arial Narrow" w:cs="Tahoma"/>
                <w:sz w:val="20"/>
                <w:szCs w:val="20"/>
              </w:rPr>
            </w:pPr>
            <w:r w:rsidRPr="00C02544">
              <w:rPr>
                <w:rFonts w:ascii="Arial Narrow" w:hAnsi="Arial Narrow" w:cs="Tahoma"/>
                <w:sz w:val="20"/>
                <w:szCs w:val="20"/>
              </w:rPr>
              <w:t>Členské štáty môžu povoliť, aby ich príslušné orgány uplatňovali na úrovni finančného konglomerátu ustanovenia sektorových predpisov o vnútroskupinových transakciách a koncentrácii rizík, najmä aby zabránili obchádzaniu sektorových predpisov.</w:t>
            </w:r>
          </w:p>
          <w:p w:rsidR="0099325C" w:rsidRPr="00C02544" w:rsidP="00C02544">
            <w:pPr>
              <w:pStyle w:val="Heading1"/>
              <w:jc w:val="both"/>
              <w:rPr>
                <w:rFonts w:ascii="Arial Narrow" w:hAnsi="Arial Narrow" w:cs="Arial"/>
                <w:b w:val="0"/>
                <w:sz w:val="20"/>
              </w:rPr>
            </w:pPr>
          </w:p>
        </w:tc>
        <w:tc>
          <w:tcPr>
            <w:tcW w:w="357"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E35C7" w:rsidRPr="007078D1">
            <w:pPr>
              <w:rPr>
                <w:rFonts w:ascii="Arial Narrow" w:hAnsi="Arial Narrow" w:cs="Times New Roman"/>
                <w:sz w:val="20"/>
              </w:rPr>
            </w:pPr>
            <w:r w:rsidR="00262297">
              <w:rPr>
                <w:rFonts w:ascii="Arial Narrow" w:hAnsi="Arial Narrow" w:cs="Times New Roman"/>
                <w:sz w:val="20"/>
              </w:rPr>
              <w:t>N</w:t>
            </w:r>
          </w:p>
        </w:tc>
        <w:tc>
          <w:tcPr>
            <w:tcW w:w="81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CC6A63" w:rsidRPr="007078D1">
            <w:pPr>
              <w:rPr>
                <w:rFonts w:ascii="Arial Narrow" w:hAnsi="Arial Narrow" w:cs="Times New Roman"/>
                <w:sz w:val="20"/>
              </w:rPr>
            </w:pPr>
            <w:r w:rsidR="006039F3">
              <w:rPr>
                <w:rFonts w:ascii="Arial Narrow" w:hAnsi="Arial Narrow" w:cs="Times New Roman"/>
                <w:sz w:val="20"/>
              </w:rPr>
              <w:t>Návrh zákona</w:t>
            </w:r>
          </w:p>
        </w:tc>
        <w:tc>
          <w:tcPr>
            <w:tcW w:w="63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C15B5" w:rsidRPr="007078D1">
            <w:pPr>
              <w:rPr>
                <w:rFonts w:ascii="Arial Narrow" w:hAnsi="Arial Narrow" w:cs="Times New Roman"/>
                <w:sz w:val="20"/>
              </w:rPr>
            </w:pPr>
            <w:r w:rsidR="00262297">
              <w:rPr>
                <w:rFonts w:ascii="Arial Narrow" w:hAnsi="Arial Narrow" w:cs="Times New Roman"/>
                <w:sz w:val="20"/>
              </w:rPr>
              <w:t>§ 58 ods.9</w:t>
            </w:r>
          </w:p>
        </w:tc>
        <w:tc>
          <w:tcPr>
            <w:tcW w:w="5316"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4BF4" w:rsidRPr="006123F9" w:rsidP="00D34BF4">
            <w:pPr>
              <w:pStyle w:val="BodyText"/>
              <w:rPr>
                <w:rFonts w:ascii="Arial Narrow" w:hAnsi="Arial Narrow" w:cs="Times New Roman"/>
                <w:sz w:val="20"/>
              </w:rPr>
            </w:pPr>
            <w:r>
              <w:rPr>
                <w:rFonts w:ascii="Arial Narrow" w:hAnsi="Arial Narrow" w:cs="Times New Roman"/>
                <w:sz w:val="20"/>
              </w:rPr>
              <w:t>Opatrenie, ktoré</w:t>
            </w:r>
            <w:r w:rsidRPr="006123F9">
              <w:rPr>
                <w:rFonts w:ascii="Arial Narrow" w:hAnsi="Arial Narrow" w:cs="Times New Roman"/>
                <w:sz w:val="20"/>
              </w:rPr>
              <w:t xml:space="preserve"> vydá Národná banka Slovenska</w:t>
            </w:r>
            <w:r>
              <w:rPr>
                <w:rFonts w:ascii="Arial Narrow" w:hAnsi="Arial Narrow" w:cs="Times New Roman"/>
                <w:sz w:val="20"/>
              </w:rPr>
              <w:t xml:space="preserve"> a ktoré sa vyhlasuje v zbierke zákonov</w:t>
            </w:r>
            <w:r w:rsidRPr="006123F9">
              <w:rPr>
                <w:rFonts w:ascii="Arial Narrow" w:hAnsi="Arial Narrow" w:cs="Times New Roman"/>
                <w:sz w:val="20"/>
              </w:rPr>
              <w:t>, ustanoví na účely výpočtu dostatočnej výšky vlastných zdrojov na úrovni finančného konglomerátu</w:t>
            </w:r>
          </w:p>
          <w:p w:rsidR="00D34BF4" w:rsidRPr="006123F9" w:rsidP="00D34BF4">
            <w:pPr>
              <w:pStyle w:val="BodyText"/>
              <w:rPr>
                <w:rFonts w:ascii="Arial Narrow" w:hAnsi="Arial Narrow" w:cs="Times New Roman"/>
                <w:sz w:val="20"/>
              </w:rPr>
            </w:pPr>
            <w:r w:rsidRPr="006123F9">
              <w:rPr>
                <w:rFonts w:ascii="Arial Narrow" w:hAnsi="Arial Narrow" w:cs="Times New Roman"/>
                <w:sz w:val="20"/>
              </w:rPr>
              <w:t>a) čo tvorí vlastné zdroje na úrovni finančného konglomerátu a spôsob ich výpočtu, vrátane vlastných zdrojov zmiešanej finančnej holdingovej spoločnosti,</w:t>
            </w:r>
          </w:p>
          <w:p w:rsidR="00D34BF4" w:rsidRPr="006123F9" w:rsidP="00D34BF4">
            <w:pPr>
              <w:pStyle w:val="BodyText"/>
              <w:rPr>
                <w:rFonts w:ascii="Arial Narrow" w:hAnsi="Arial Narrow" w:cs="Times New Roman"/>
                <w:sz w:val="20"/>
              </w:rPr>
            </w:pPr>
            <w:r w:rsidRPr="006123F9">
              <w:rPr>
                <w:rFonts w:ascii="Arial Narrow" w:hAnsi="Arial Narrow" w:cs="Times New Roman"/>
                <w:sz w:val="20"/>
              </w:rPr>
              <w:t>b) čo sa rozumie minimálnou výškou vlastných zdrojov osôb vo finančnom konglomeráte a spôsob ich výpočtu,</w:t>
            </w:r>
          </w:p>
          <w:p w:rsidR="003F79B3" w:rsidRPr="003F79B3" w:rsidP="00D34BF4">
            <w:pPr>
              <w:jc w:val="both"/>
              <w:rPr>
                <w:rFonts w:ascii="Arial Narrow" w:hAnsi="Arial Narrow" w:cs="Times New Roman"/>
                <w:sz w:val="20"/>
              </w:rPr>
            </w:pPr>
            <w:r w:rsidRPr="006123F9" w:rsidR="00D34BF4">
              <w:rPr>
                <w:rFonts w:ascii="Arial Narrow" w:hAnsi="Arial Narrow" w:cs="Times New Roman"/>
                <w:sz w:val="20"/>
              </w:rPr>
              <w:t>c) metódy výpočtu dostatočnej výšky vlastných zdrojov finančného konglomerátu</w:t>
            </w:r>
            <w:r w:rsidR="00D34BF4">
              <w:rPr>
                <w:rFonts w:ascii="Arial Narrow" w:hAnsi="Arial Narrow" w:cs="Times New Roman"/>
                <w:sz w:val="20"/>
              </w:rPr>
              <w: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7E35C7" w:rsidRPr="007078D1">
            <w:pPr>
              <w:rPr>
                <w:rFonts w:ascii="Arial Narrow" w:hAnsi="Arial Narrow" w:cs="Times New Roman"/>
                <w:sz w:val="20"/>
              </w:rPr>
            </w:pPr>
            <w:r w:rsidR="00C65692">
              <w:rPr>
                <w:rFonts w:ascii="Arial Narrow" w:hAnsi="Arial Narrow" w:cs="Times New Roman"/>
                <w:sz w:val="20"/>
              </w:rPr>
              <w:t>Č</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c>
          <w:tcPr>
            <w:tcW w:w="106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r w:rsidR="00C65692">
              <w:rPr>
                <w:rFonts w:ascii="Arial Narrow" w:hAnsi="Arial Narrow" w:cs="Times New Roman"/>
                <w:sz w:val="20"/>
              </w:rPr>
              <w:t>Návrh opatrenia</w:t>
            </w:r>
            <w:r w:rsidR="00D34BF4">
              <w:rPr>
                <w:rFonts w:ascii="Arial Narrow" w:hAnsi="Arial Narrow" w:cs="Times New Roman"/>
                <w:sz w:val="20"/>
              </w:rPr>
              <w:t xml:space="preserve"> NBS</w:t>
            </w:r>
          </w:p>
        </w:tc>
        <w:tc>
          <w:tcPr>
            <w:tcW w:w="41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9325C" w:rsidRPr="007078D1">
            <w:pPr>
              <w:rPr>
                <w:rFonts w:ascii="Arial Narrow" w:hAnsi="Arial Narrow" w:cs="Times New Roman"/>
                <w:sz w:val="20"/>
              </w:rPr>
            </w:pPr>
          </w:p>
        </w:tc>
      </w:tr>
    </w:tbl>
    <w:p w:rsidR="005F497C" w:rsidP="005E44FD">
      <w:pPr>
        <w:rPr>
          <w:rFonts w:ascii="Arial Narrow" w:hAnsi="Arial Narrow" w:cs="Times New Roman"/>
          <w:sz w:val="20"/>
        </w:rPr>
      </w:pPr>
    </w:p>
    <w:p w:rsidR="005B0AA3" w:rsidRPr="005B7794" w:rsidP="005B0AA3">
      <w:pPr>
        <w:ind w:left="360"/>
        <w:rPr>
          <w:rFonts w:ascii="Arial Narrow" w:hAnsi="Arial Narrow" w:cs="Arial Narrow"/>
          <w:sz w:val="20"/>
        </w:rPr>
      </w:pPr>
    </w:p>
    <w:p w:rsidR="005B0AA3" w:rsidRPr="005B7794" w:rsidP="005B0AA3">
      <w:pPr>
        <w:rPr>
          <w:rFonts w:ascii="Arial Narrow" w:hAnsi="Arial Narrow" w:cs="Arial Narrow"/>
          <w:sz w:val="20"/>
        </w:rPr>
      </w:pPr>
      <w:r w:rsidRPr="005B7794">
        <w:rPr>
          <w:rFonts w:ascii="Arial Narrow" w:hAnsi="Arial Narrow" w:cs="Arial Narrow"/>
          <w:sz w:val="20"/>
        </w:rPr>
        <w:t>LEGENDA:</w:t>
      </w:r>
    </w:p>
    <w:tbl>
      <w:tblPr>
        <w:tblW w:w="15730" w:type="dxa"/>
        <w:tblCellMar>
          <w:top w:w="0" w:type="dxa"/>
          <w:left w:w="70" w:type="dxa"/>
          <w:bottom w:w="0" w:type="dxa"/>
          <w:right w:w="70" w:type="dxa"/>
        </w:tblCellMar>
      </w:tblPr>
      <w:tblGrid>
        <w:gridCol w:w="2410"/>
        <w:gridCol w:w="4140"/>
        <w:gridCol w:w="2410"/>
        <w:gridCol w:w="6770"/>
      </w:tblGrid>
      <w:tr>
        <w:tblPrEx>
          <w:tblW w:w="15730" w:type="dxa"/>
          <w:tblCellMar>
            <w:top w:w="0" w:type="dxa"/>
            <w:left w:w="70" w:type="dxa"/>
            <w:bottom w:w="0" w:type="dxa"/>
            <w:right w:w="70" w:type="dxa"/>
          </w:tblCellMar>
        </w:tblPrEx>
        <w:trPr>
          <w:trHeight w:hRule="auto" w:val="0"/>
        </w:trPr>
        <w:tc>
          <w:tcPr>
            <w:tcW w:w="241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(1):</w:t>
            </w:r>
          </w:p>
          <w:p w:rsidR="005B0AA3" w:rsidRPr="005B7794" w:rsidP="005B0AA3">
            <w:pPr>
              <w:rPr>
                <w:rFonts w:ascii="Arial Narrow" w:hAnsi="Arial Narrow" w:cs="Arial Narrow"/>
                <w:sz w:val="20"/>
              </w:rPr>
            </w:pPr>
            <w:r w:rsidRPr="005B7794">
              <w:rPr>
                <w:rFonts w:ascii="Arial Narrow" w:hAnsi="Arial Narrow" w:cs="Arial Narrow"/>
                <w:sz w:val="20"/>
              </w:rPr>
              <w:t>Č – článok</w:t>
            </w:r>
          </w:p>
          <w:p w:rsidR="005B0AA3" w:rsidRPr="005B7794" w:rsidP="005B0AA3">
            <w:pPr>
              <w:rPr>
                <w:rFonts w:ascii="Arial Narrow" w:hAnsi="Arial Narrow" w:cs="Arial Narrow"/>
                <w:sz w:val="20"/>
              </w:rPr>
            </w:pPr>
            <w:r w:rsidRPr="005B7794">
              <w:rPr>
                <w:rFonts w:ascii="Arial Narrow" w:hAnsi="Arial Narrow" w:cs="Arial Narrow"/>
                <w:sz w:val="20"/>
              </w:rPr>
              <w:t>O – odsek</w:t>
            </w:r>
          </w:p>
          <w:p w:rsidR="005B0AA3" w:rsidRPr="005B7794" w:rsidP="005B0AA3">
            <w:pPr>
              <w:rPr>
                <w:rFonts w:ascii="Arial Narrow" w:hAnsi="Arial Narrow" w:cs="Arial Narrow"/>
                <w:sz w:val="20"/>
              </w:rPr>
            </w:pPr>
            <w:r w:rsidRPr="005B7794">
              <w:rPr>
                <w:rFonts w:ascii="Arial Narrow" w:hAnsi="Arial Narrow" w:cs="Arial Narrow"/>
                <w:sz w:val="20"/>
              </w:rPr>
              <w:t>V – veta</w:t>
            </w:r>
          </w:p>
          <w:p w:rsidR="005B0AA3" w:rsidRPr="005B7794" w:rsidP="005B0AA3">
            <w:pPr>
              <w:rPr>
                <w:rFonts w:ascii="Arial Narrow" w:hAnsi="Arial Narrow" w:cs="Arial Narrow"/>
                <w:sz w:val="20"/>
              </w:rPr>
            </w:pPr>
            <w:r w:rsidRPr="005B7794">
              <w:rPr>
                <w:rFonts w:ascii="Arial Narrow" w:hAnsi="Arial Narrow" w:cs="Arial Narrow"/>
                <w:sz w:val="20"/>
              </w:rPr>
              <w:t>P – písmeno (číslo)</w:t>
            </w:r>
          </w:p>
          <w:p w:rsidR="005B0AA3" w:rsidRPr="005B7794" w:rsidP="005B0AA3">
            <w:pPr>
              <w:rPr>
                <w:rFonts w:ascii="Arial Narrow" w:hAnsi="Arial Narrow" w:cs="Arial Narrow"/>
                <w:sz w:val="20"/>
              </w:rPr>
            </w:pPr>
          </w:p>
        </w:tc>
        <w:tc>
          <w:tcPr>
            <w:tcW w:w="414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(3):</w:t>
            </w:r>
          </w:p>
          <w:p w:rsidR="005B0AA3" w:rsidRPr="005B7794" w:rsidP="005B0AA3">
            <w:pPr>
              <w:rPr>
                <w:rFonts w:ascii="Arial Narrow" w:hAnsi="Arial Narrow" w:cs="Arial Narrow"/>
                <w:sz w:val="20"/>
              </w:rPr>
            </w:pPr>
            <w:r w:rsidRPr="005B7794">
              <w:rPr>
                <w:rFonts w:ascii="Arial Narrow" w:hAnsi="Arial Narrow" w:cs="Arial Narrow"/>
                <w:sz w:val="20"/>
              </w:rPr>
              <w:t>N – bežná transpozícia</w:t>
            </w:r>
          </w:p>
          <w:p w:rsidR="005B0AA3" w:rsidRPr="005B7794" w:rsidP="005B0AA3">
            <w:pPr>
              <w:rPr>
                <w:rFonts w:ascii="Arial Narrow" w:hAnsi="Arial Narrow" w:cs="Arial Narrow"/>
                <w:sz w:val="20"/>
              </w:rPr>
            </w:pPr>
            <w:r w:rsidRPr="005B7794">
              <w:rPr>
                <w:rFonts w:ascii="Arial Narrow" w:hAnsi="Arial Narrow" w:cs="Arial Narrow"/>
                <w:sz w:val="20"/>
              </w:rPr>
              <w:t>O – transpozícia s možnosťou voľby</w:t>
            </w:r>
          </w:p>
          <w:p w:rsidR="005B0AA3" w:rsidRPr="005B7794" w:rsidP="005B0AA3">
            <w:pPr>
              <w:rPr>
                <w:rFonts w:ascii="Arial Narrow" w:hAnsi="Arial Narrow" w:cs="Arial Narrow"/>
                <w:sz w:val="20"/>
              </w:rPr>
            </w:pPr>
            <w:r w:rsidRPr="005B7794">
              <w:rPr>
                <w:rFonts w:ascii="Arial Narrow" w:hAnsi="Arial Narrow" w:cs="Arial Narrow"/>
                <w:sz w:val="20"/>
              </w:rPr>
              <w:t>D – transpozícia podľa úvahy (dobrovoľná)</w:t>
            </w:r>
          </w:p>
          <w:p w:rsidR="005B0AA3" w:rsidRPr="005B7794" w:rsidP="005B0AA3">
            <w:pPr>
              <w:rPr>
                <w:rFonts w:ascii="Arial Narrow" w:hAnsi="Arial Narrow" w:cs="Arial Narrow"/>
                <w:sz w:val="20"/>
              </w:rPr>
            </w:pPr>
            <w:r w:rsidRPr="005B7794">
              <w:rPr>
                <w:rFonts w:ascii="Arial Narrow" w:hAnsi="Arial Narrow" w:cs="Arial Narrow"/>
                <w:sz w:val="20"/>
              </w:rPr>
              <w:t>n.a. – transpozícia sa neuskutočňuje</w:t>
            </w:r>
          </w:p>
        </w:tc>
        <w:tc>
          <w:tcPr>
            <w:tcW w:w="241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(5):</w:t>
            </w:r>
          </w:p>
          <w:p w:rsidR="005B0AA3" w:rsidRPr="005B7794" w:rsidP="005B0AA3">
            <w:pPr>
              <w:rPr>
                <w:rFonts w:ascii="Arial Narrow" w:hAnsi="Arial Narrow" w:cs="Arial Narrow"/>
                <w:sz w:val="20"/>
              </w:rPr>
            </w:pPr>
            <w:r w:rsidRPr="005B7794">
              <w:rPr>
                <w:rFonts w:ascii="Arial Narrow" w:hAnsi="Arial Narrow" w:cs="Arial Narrow"/>
                <w:sz w:val="20"/>
              </w:rPr>
              <w:t>Č – článok</w:t>
            </w:r>
          </w:p>
          <w:p w:rsidR="005B0AA3" w:rsidRPr="005B7794" w:rsidP="005B0AA3">
            <w:pPr>
              <w:rPr>
                <w:rFonts w:ascii="Arial Narrow" w:hAnsi="Arial Narrow" w:cs="Arial Narrow"/>
                <w:sz w:val="20"/>
              </w:rPr>
            </w:pPr>
            <w:r w:rsidRPr="005B7794">
              <w:rPr>
                <w:rFonts w:ascii="Arial Narrow" w:hAnsi="Arial Narrow" w:cs="Arial Narrow"/>
                <w:sz w:val="20"/>
              </w:rPr>
              <w:t>§ – paragraf</w:t>
            </w:r>
          </w:p>
          <w:p w:rsidR="005B0AA3" w:rsidRPr="005B7794" w:rsidP="005B0AA3">
            <w:pPr>
              <w:rPr>
                <w:rFonts w:ascii="Arial Narrow" w:hAnsi="Arial Narrow" w:cs="Arial Narrow"/>
                <w:sz w:val="20"/>
              </w:rPr>
            </w:pPr>
            <w:r w:rsidRPr="005B7794">
              <w:rPr>
                <w:rFonts w:ascii="Arial Narrow" w:hAnsi="Arial Narrow" w:cs="Arial Narrow"/>
                <w:sz w:val="20"/>
              </w:rPr>
              <w:t>O – odsek</w:t>
            </w:r>
          </w:p>
          <w:p w:rsidR="005B0AA3" w:rsidRPr="005B7794" w:rsidP="005B0AA3">
            <w:pPr>
              <w:rPr>
                <w:rFonts w:ascii="Arial Narrow" w:hAnsi="Arial Narrow" w:cs="Arial Narrow"/>
                <w:sz w:val="20"/>
              </w:rPr>
            </w:pPr>
            <w:r w:rsidRPr="005B7794">
              <w:rPr>
                <w:rFonts w:ascii="Arial Narrow" w:hAnsi="Arial Narrow" w:cs="Arial Narrow"/>
                <w:sz w:val="20"/>
              </w:rPr>
              <w:t>V – veta</w:t>
            </w:r>
          </w:p>
          <w:p w:rsidR="005B0AA3" w:rsidRPr="005B7794" w:rsidP="005B0AA3">
            <w:pPr>
              <w:rPr>
                <w:rFonts w:ascii="Arial Narrow" w:hAnsi="Arial Narrow" w:cs="Arial Narrow"/>
                <w:sz w:val="20"/>
              </w:rPr>
            </w:pPr>
            <w:r w:rsidRPr="005B7794">
              <w:rPr>
                <w:rFonts w:ascii="Arial Narrow" w:hAnsi="Arial Narrow" w:cs="Arial Narrow"/>
                <w:sz w:val="20"/>
              </w:rPr>
              <w:t>P – písmeno (číslo)</w:t>
            </w:r>
          </w:p>
        </w:tc>
        <w:tc>
          <w:tcPr>
            <w:tcW w:w="6770" w:type="dxa"/>
            <w:tcBorders>
              <w:top w:val="nil"/>
              <w:left w:val="nil"/>
              <w:bottom w:val="nil"/>
              <w:right w:val="nil"/>
              <w:tl2br w:val="nil"/>
              <w:tr2bl w:val="nil"/>
            </w:tcBorders>
            <w:textDirection w:val="lrTb"/>
            <w:vAlign w:val="top"/>
          </w:tcPr>
          <w:p w:rsidR="005B0AA3" w:rsidRPr="005B7794" w:rsidP="005B0AA3">
            <w:pPr>
              <w:pStyle w:val="Normlny"/>
              <w:spacing w:after="60"/>
              <w:rPr>
                <w:rFonts w:ascii="Arial Narrow" w:hAnsi="Arial Narrow" w:cs="Arial Narrow"/>
                <w:lang w:eastAsia="sk-SK"/>
              </w:rPr>
            </w:pPr>
            <w:r w:rsidRPr="005B7794">
              <w:rPr>
                <w:rFonts w:ascii="Arial Narrow" w:hAnsi="Arial Narrow" w:cs="Arial Narrow"/>
                <w:lang w:eastAsia="sk-SK"/>
              </w:rPr>
              <w:t>V stĺpci (7):</w:t>
            </w:r>
          </w:p>
          <w:p w:rsidR="005B0AA3" w:rsidRPr="005B7794" w:rsidP="005B0AA3">
            <w:pPr>
              <w:rPr>
                <w:rFonts w:ascii="Arial Narrow" w:hAnsi="Arial Narrow" w:cs="Arial Narrow"/>
                <w:sz w:val="20"/>
              </w:rPr>
            </w:pPr>
            <w:r w:rsidRPr="005B7794">
              <w:rPr>
                <w:rFonts w:ascii="Arial Narrow" w:hAnsi="Arial Narrow" w:cs="Arial Narrow"/>
                <w:sz w:val="20"/>
              </w:rPr>
              <w:t>Ú – úplná zhoda</w:t>
            </w:r>
          </w:p>
          <w:p w:rsidR="005B0AA3" w:rsidRPr="005B7794" w:rsidP="005B0AA3">
            <w:pPr>
              <w:rPr>
                <w:rFonts w:ascii="Arial Narrow" w:hAnsi="Arial Narrow" w:cs="Arial Narrow"/>
                <w:sz w:val="20"/>
              </w:rPr>
            </w:pPr>
            <w:r w:rsidRPr="005B7794">
              <w:rPr>
                <w:rFonts w:ascii="Arial Narrow" w:hAnsi="Arial Narrow" w:cs="Arial Narrow"/>
                <w:sz w:val="20"/>
              </w:rPr>
              <w:t>Č – čiastočná zhoda</w:t>
            </w:r>
          </w:p>
          <w:p w:rsidR="005B0AA3" w:rsidRPr="005B7794" w:rsidP="005B0AA3">
            <w:pPr>
              <w:rPr>
                <w:rFonts w:ascii="Arial Narrow" w:hAnsi="Arial Narrow" w:cs="Arial Narrow"/>
                <w:sz w:val="20"/>
              </w:rPr>
            </w:pPr>
            <w:r w:rsidRPr="005B7794">
              <w:rPr>
                <w:rFonts w:ascii="Arial Narrow" w:hAnsi="Arial Narrow" w:cs="Arial Narrow"/>
                <w:sz w:val="20"/>
              </w:rPr>
              <w:t>R – rozpor (v príp., že zatiaľ nedošlo k transp., ale príde k nej v budúcnosti</w:t>
            </w:r>
          </w:p>
          <w:p w:rsidR="005B0AA3" w:rsidRPr="005B7794" w:rsidP="005B0AA3">
            <w:pPr>
              <w:rPr>
                <w:rFonts w:ascii="Arial Narrow" w:hAnsi="Arial Narrow" w:cs="Arial Narrow"/>
                <w:sz w:val="20"/>
              </w:rPr>
            </w:pPr>
            <w:r w:rsidR="0090044A">
              <w:rPr>
                <w:rFonts w:ascii="Arial Narrow" w:hAnsi="Arial Narrow" w:cs="Arial Narrow"/>
                <w:sz w:val="20"/>
              </w:rPr>
              <w:t>n.a.</w:t>
            </w:r>
            <w:r w:rsidRPr="005B7794">
              <w:rPr>
                <w:rFonts w:ascii="Arial Narrow" w:hAnsi="Arial Narrow" w:cs="Arial Narrow"/>
                <w:sz w:val="20"/>
              </w:rPr>
              <w:t xml:space="preserve"> – neaplikovateľné</w:t>
            </w:r>
          </w:p>
        </w:tc>
      </w:tr>
    </w:tbl>
    <w:p w:rsidR="005B0AA3" w:rsidRPr="005B7794" w:rsidP="005B0AA3">
      <w:pPr>
        <w:rPr>
          <w:rFonts w:ascii="Arial Narrow" w:hAnsi="Arial Narrow" w:cs="Arial Narrow"/>
          <w:sz w:val="20"/>
        </w:rPr>
      </w:pPr>
    </w:p>
    <w:p w:rsidR="005B0AA3" w:rsidRPr="005B7794" w:rsidP="005B0AA3">
      <w:pPr>
        <w:rPr>
          <w:rFonts w:ascii="Arial Narrow" w:hAnsi="Arial Narrow" w:cs="Arial Narrow"/>
          <w:sz w:val="20"/>
        </w:rPr>
      </w:pPr>
    </w:p>
    <w:tbl>
      <w:tblPr>
        <w:tblW w:w="15656" w:type="dxa"/>
        <w:tblInd w:w="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1418"/>
        <w:gridCol w:w="14238"/>
      </w:tblGrid>
      <w:tr>
        <w:tblPrEx>
          <w:tblW w:w="15656" w:type="dxa"/>
          <w:tblInd w:w="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cantSplit/>
          <w:trHeight w:hRule="auto" w:val="0"/>
        </w:trPr>
        <w:tc>
          <w:tcPr>
            <w:tcW w:w="15656" w:type="dxa"/>
            <w:gridSpan w:val="2"/>
            <w:tcBorders>
              <w:top w:val="single" w:sz="12" w:space="0" w:color="auto"/>
              <w:left w:val="single" w:sz="12" w:space="0" w:color="auto"/>
              <w:bottom w:val="single" w:sz="4" w:space="0" w:color="auto"/>
              <w:right w:val="single" w:sz="12" w:space="0" w:color="auto"/>
              <w:tl2br w:val="nil"/>
              <w:tr2bl w:val="nil"/>
            </w:tcBorders>
            <w:textDirection w:val="lrTb"/>
            <w:vAlign w:val="top"/>
          </w:tcPr>
          <w:p w:rsidR="005B0AA3" w:rsidRPr="005B7794" w:rsidP="005B0AA3">
            <w:pPr>
              <w:pStyle w:val="Heading2"/>
              <w:ind w:firstLine="497"/>
              <w:rPr>
                <w:rFonts w:ascii="Arial Narrow" w:hAnsi="Arial Narrow" w:cs="Arial Narrow"/>
              </w:rPr>
            </w:pPr>
            <w:r w:rsidRPr="005B7794">
              <w:rPr>
                <w:rFonts w:ascii="Arial Narrow" w:hAnsi="Arial Narrow" w:cs="Arial Narrow"/>
              </w:rPr>
              <w:t>Zoznam všeobecne záväzných právnych predpisov preberajúcich smernicu: (uveďte číslo smernice)</w:t>
            </w:r>
          </w:p>
          <w:p w:rsidR="005B0AA3" w:rsidRPr="005B7794" w:rsidP="005B0AA3">
            <w:pPr>
              <w:jc w:val="center"/>
              <w:rPr>
                <w:rFonts w:ascii="Arial Narrow" w:hAnsi="Arial Narrow" w:cs="Arial Narrow"/>
                <w:sz w:val="20"/>
              </w:rPr>
            </w:pPr>
          </w:p>
        </w:tc>
      </w:tr>
      <w:tr>
        <w:tblPrEx>
          <w:tblW w:w="15656" w:type="dxa"/>
          <w:tblInd w:w="43" w:type="dxa"/>
          <w:tblLayout w:type="fixed"/>
          <w:tblCellMar>
            <w:left w:w="43" w:type="dxa"/>
            <w:right w:w="43" w:type="dxa"/>
          </w:tblCellMar>
        </w:tblPrEx>
        <w:trPr>
          <w:cantSplit/>
          <w:trHeight w:hRule="auto" w:val="0"/>
        </w:trPr>
        <w:tc>
          <w:tcPr>
            <w:tcW w:w="1418"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5B0AA3" w:rsidRPr="005B7794" w:rsidP="005B0AA3">
            <w:pPr>
              <w:spacing w:before="120"/>
              <w:jc w:val="center"/>
              <w:rPr>
                <w:rFonts w:ascii="Arial Narrow" w:hAnsi="Arial Narrow" w:cs="Arial Narrow"/>
                <w:sz w:val="20"/>
              </w:rPr>
            </w:pPr>
            <w:r w:rsidRPr="005B7794">
              <w:rPr>
                <w:rFonts w:ascii="Arial Narrow" w:hAnsi="Arial Narrow" w:cs="Arial Narrow"/>
                <w:sz w:val="20"/>
              </w:rPr>
              <w:t>Por. č.</w:t>
            </w:r>
          </w:p>
        </w:tc>
        <w:tc>
          <w:tcPr>
            <w:tcW w:w="14238"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5B0AA3" w:rsidRPr="005B7794" w:rsidP="005B0AA3">
            <w:pPr>
              <w:pStyle w:val="Normlny"/>
              <w:ind w:left="99"/>
              <w:rPr>
                <w:rFonts w:ascii="Arial Narrow" w:hAnsi="Arial Narrow" w:cs="Arial Narrow"/>
                <w:lang w:eastAsia="sk-SK"/>
              </w:rPr>
            </w:pPr>
            <w:r w:rsidRPr="005B7794">
              <w:rPr>
                <w:rFonts w:ascii="Arial Narrow" w:hAnsi="Arial Narrow" w:cs="Arial Narrow"/>
                <w:lang w:eastAsia="sk-SK"/>
              </w:rPr>
              <w:t>Názov predpisu</w:t>
            </w:r>
          </w:p>
        </w:tc>
      </w:tr>
      <w:tr>
        <w:tblPrEx>
          <w:tblW w:w="15656" w:type="dxa"/>
          <w:tblInd w:w="43" w:type="dxa"/>
          <w:tblLayout w:type="fixed"/>
          <w:tblCellMar>
            <w:left w:w="43" w:type="dxa"/>
            <w:right w:w="43" w:type="dxa"/>
          </w:tblCellMar>
        </w:tblPrEx>
        <w:trPr>
          <w:cantSplit/>
          <w:trHeight w:hRule="auto" w:val="0"/>
        </w:trPr>
        <w:tc>
          <w:tcPr>
            <w:tcW w:w="1418" w:type="dxa"/>
            <w:tcBorders>
              <w:top w:val="single" w:sz="4" w:space="0" w:color="auto"/>
              <w:left w:val="single" w:sz="12" w:space="0" w:color="auto"/>
              <w:bottom w:val="single" w:sz="12" w:space="0" w:color="auto"/>
              <w:right w:val="single" w:sz="4" w:space="0" w:color="auto"/>
              <w:tl2br w:val="nil"/>
              <w:tr2bl w:val="nil"/>
            </w:tcBorders>
            <w:textDirection w:val="lrTb"/>
            <w:vAlign w:val="top"/>
          </w:tcPr>
          <w:p w:rsidR="005B0AA3" w:rsidRPr="005B7794" w:rsidP="005B0AA3">
            <w:pPr>
              <w:numPr>
                <w:ilvl w:val="0"/>
                <w:numId w:val="120"/>
              </w:numPr>
              <w:tabs>
                <w:tab w:val="left" w:pos="720"/>
              </w:tabs>
              <w:autoSpaceDE/>
              <w:autoSpaceDN/>
              <w:jc w:val="center"/>
              <w:rPr>
                <w:rFonts w:ascii="Arial Narrow" w:hAnsi="Arial Narrow" w:cs="Arial Narrow"/>
                <w:sz w:val="20"/>
              </w:rPr>
            </w:pPr>
          </w:p>
        </w:tc>
        <w:tc>
          <w:tcPr>
            <w:tcW w:w="14238" w:type="dxa"/>
            <w:tcBorders>
              <w:top w:val="single" w:sz="4" w:space="0" w:color="auto"/>
              <w:left w:val="single" w:sz="4" w:space="0" w:color="auto"/>
              <w:bottom w:val="single" w:sz="12" w:space="0" w:color="auto"/>
              <w:right w:val="single" w:sz="12" w:space="0" w:color="auto"/>
              <w:tl2br w:val="nil"/>
              <w:tr2bl w:val="nil"/>
            </w:tcBorders>
            <w:textDirection w:val="lrTb"/>
            <w:vAlign w:val="top"/>
          </w:tcPr>
          <w:p w:rsidR="005B0AA3" w:rsidRPr="005B7794" w:rsidP="005B0AA3">
            <w:pPr>
              <w:pStyle w:val="abc"/>
              <w:tabs>
                <w:tab w:val="clear" w:pos="360"/>
                <w:tab w:val="clear" w:pos="680"/>
              </w:tabs>
              <w:rPr>
                <w:rFonts w:ascii="Arial Narrow" w:hAnsi="Arial Narrow" w:cs="Arial Narrow"/>
                <w:lang w:eastAsia="sk-SK"/>
              </w:rPr>
            </w:pPr>
          </w:p>
        </w:tc>
      </w:tr>
    </w:tbl>
    <w:p w:rsidR="005B0AA3" w:rsidRPr="005B7794" w:rsidP="005B0AA3">
      <w:pPr>
        <w:rPr>
          <w:rFonts w:ascii="Arial Narrow" w:hAnsi="Arial Narrow" w:cs="Arial Narrow"/>
          <w:sz w:val="20"/>
        </w:rPr>
      </w:pPr>
    </w:p>
    <w:p w:rsidR="005B0AA3" w:rsidRPr="007078D1" w:rsidP="005E44FD">
      <w:pPr>
        <w:rPr>
          <w:rFonts w:ascii="Arial Narrow" w:hAnsi="Arial Narrow" w:cs="Times New Roman"/>
          <w:sz w:val="20"/>
        </w:rPr>
      </w:pPr>
    </w:p>
    <w:sectPr>
      <w:footerReference w:type="even" r:id="rId4"/>
      <w:footerReference w:type="default" r:id="rId5"/>
      <w:pgSz w:w="16840" w:h="11907" w:orient="landscape" w:code="9"/>
      <w:pgMar w:top="567" w:right="454" w:bottom="567" w:left="454" w:header="284" w:footer="284"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9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rsidR="00C65692">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692">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595284">
      <w:rPr>
        <w:rStyle w:val="PageNumber"/>
        <w:rFonts w:ascii="Times New Roman" w:hAnsi="Times New Roman" w:cs="Times New Roman"/>
        <w:noProof/>
      </w:rPr>
      <w:t>1</w:t>
    </w:r>
    <w:r>
      <w:rPr>
        <w:rStyle w:val="PageNumber"/>
        <w:rFonts w:ascii="Times New Roman" w:hAnsi="Times New Roman" w:cs="Times New Roman"/>
      </w:rPr>
      <w:fldChar w:fldCharType="end"/>
    </w:r>
  </w:p>
  <w:p w:rsidR="00C65692">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15F9"/>
    <w:multiLevelType w:val="hybridMultilevel"/>
    <w:tmpl w:val="2EC0097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250474"/>
    <w:multiLevelType w:val="hybridMultilevel"/>
    <w:tmpl w:val="12989218"/>
    <w:lvl w:ilvl="0">
      <w:start w:val="2"/>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0575FA"/>
    <w:multiLevelType w:val="hybridMultilevel"/>
    <w:tmpl w:val="D654ED6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42A6A18"/>
    <w:multiLevelType w:val="hybridMultilevel"/>
    <w:tmpl w:val="D49E645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50D02A9"/>
    <w:multiLevelType w:val="singleLevel"/>
    <w:tmpl w:val="0405000F"/>
    <w:lvl w:ilvl="0">
      <w:start w:val="1"/>
      <w:numFmt w:val="decimal"/>
      <w:lvlText w:val="%1."/>
      <w:lvlJc w:val="left"/>
      <w:pPr>
        <w:tabs>
          <w:tab w:val="num" w:pos="360"/>
        </w:tabs>
        <w:ind w:left="360" w:hanging="360"/>
      </w:pPr>
    </w:lvl>
  </w:abstractNum>
  <w:abstractNum w:abstractNumId="5">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8695370"/>
    <w:multiLevelType w:val="hybridMultilevel"/>
    <w:tmpl w:val="8F16D6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8EA34C8"/>
    <w:multiLevelType w:val="hybridMultilevel"/>
    <w:tmpl w:val="617E8A50"/>
    <w:lvl w:ilvl="0">
      <w:start w:val="1"/>
      <w:numFmt w:val="lowerRoman"/>
      <w:lvlText w:val="(%1)"/>
      <w:lvlJc w:val="left"/>
      <w:pPr>
        <w:tabs>
          <w:tab w:val="num" w:pos="1854"/>
        </w:tabs>
        <w:ind w:left="1701" w:hanging="567"/>
      </w:pPr>
    </w:lvl>
    <w:lvl w:ilvl="1">
      <w:start w:val="1"/>
      <w:numFmt w:val="decimal"/>
      <w:lvlText w:val="%2."/>
      <w:lvlJc w:val="left"/>
      <w:pPr>
        <w:tabs>
          <w:tab w:val="num" w:pos="1440"/>
        </w:tabs>
        <w:ind w:left="108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lowerRoman"/>
      <w:lvlText w:val="(%7)"/>
      <w:lvlJc w:val="left"/>
      <w:pPr>
        <w:tabs>
          <w:tab w:val="num" w:pos="1854"/>
        </w:tabs>
        <w:ind w:left="1701" w:hanging="567"/>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A702E3C"/>
    <w:multiLevelType w:val="hybridMultilevel"/>
    <w:tmpl w:val="C38C542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B70073B"/>
    <w:multiLevelType w:val="hybridMultilevel"/>
    <w:tmpl w:val="7B12F6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805511"/>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
    <w:nsid w:val="0B92085E"/>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2">
    <w:nsid w:val="0E712EA7"/>
    <w:multiLevelType w:val="hybridMultilevel"/>
    <w:tmpl w:val="055C11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F432DC9"/>
    <w:multiLevelType w:val="hybridMultilevel"/>
    <w:tmpl w:val="75C8D98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7F27E1"/>
    <w:multiLevelType w:val="hybridMultilevel"/>
    <w:tmpl w:val="3E9AF25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F83549E"/>
    <w:multiLevelType w:val="hybridMultilevel"/>
    <w:tmpl w:val="D9063638"/>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FEC7AE2"/>
    <w:multiLevelType w:val="hybridMultilevel"/>
    <w:tmpl w:val="1638E63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13263EE0"/>
    <w:multiLevelType w:val="hybridMultilevel"/>
    <w:tmpl w:val="6BA64348"/>
    <w:lvl w:ilvl="0">
      <w:start w:val="1"/>
      <w:numFmt w:val="lowerRoman"/>
      <w:lvlText w:val="(%1)"/>
      <w:lvlJc w:val="left"/>
      <w:pPr>
        <w:tabs>
          <w:tab w:val="num" w:pos="1287"/>
        </w:tabs>
        <w:ind w:left="1134" w:hanging="567"/>
      </w:pPr>
    </w:lvl>
    <w:lvl w:ilvl="1">
      <w:start w:val="1"/>
      <w:numFmt w:val="decimal"/>
      <w:lvlText w:val="%2."/>
      <w:lvlJc w:val="left"/>
      <w:pPr>
        <w:tabs>
          <w:tab w:val="num" w:pos="360"/>
        </w:tabs>
        <w:ind w:left="0" w:firstLine="0"/>
      </w:pPr>
    </w:lvl>
    <w:lvl w:ilvl="2">
      <w:start w:val="1"/>
      <w:numFmt w:val="decimal"/>
      <w:lvlText w:val="%3)"/>
      <w:lvlJc w:val="left"/>
      <w:pPr>
        <w:tabs>
          <w:tab w:val="num" w:pos="644"/>
        </w:tabs>
        <w:ind w:left="567" w:hanging="283"/>
      </w:pPr>
    </w:lvl>
    <w:lvl w:ilvl="3">
      <w:start w:val="1"/>
      <w:numFmt w:val="lowerRoman"/>
      <w:lvlText w:val="(%4)"/>
      <w:lvlJc w:val="left"/>
      <w:pPr>
        <w:tabs>
          <w:tab w:val="num" w:pos="1287"/>
        </w:tabs>
        <w:ind w:left="1134" w:hanging="567"/>
      </w:pPr>
    </w:lvl>
    <w:lvl w:ilvl="4">
      <w:start w:val="1"/>
      <w:numFmt w:val="lowerLetter"/>
      <w:lvlText w:val="(%5)"/>
      <w:lvlJc w:val="left"/>
      <w:pPr>
        <w:tabs>
          <w:tab w:val="num" w:pos="1134"/>
        </w:tabs>
        <w:ind w:left="1134" w:hanging="567"/>
      </w:pPr>
    </w:lvl>
    <w:lvl w:ilvl="5">
      <w:start w:val="2"/>
      <w:numFmt w:val="bullet"/>
      <w:lvlText w:val="-"/>
      <w:lvlJc w:val="left"/>
      <w:pPr>
        <w:tabs>
          <w:tab w:val="num" w:pos="4500"/>
        </w:tabs>
        <w:ind w:left="4500" w:hanging="360"/>
      </w:pPr>
      <w:rPr>
        <w:rFonts w:ascii="Times New Roman" w:hAnsi="Times New Roman" w:cs="Times New Roman"/>
        <w:rtl w:val="0"/>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45D7870"/>
    <w:multiLevelType w:val="hybridMultilevel"/>
    <w:tmpl w:val="1726718C"/>
    <w:lvl w:ilvl="0">
      <w:start w:val="2"/>
      <w:numFmt w:val="lowerLetter"/>
      <w:lvlText w:val="%1)"/>
      <w:lvlJc w:val="left"/>
      <w:pPr>
        <w:tabs>
          <w:tab w:val="num" w:pos="1818"/>
        </w:tabs>
        <w:ind w:left="1818" w:hanging="1110"/>
      </w:pPr>
    </w:lvl>
    <w:lvl w:ilvl="1">
      <w:start w:val="1"/>
      <w:numFmt w:val="lowerLetter"/>
      <w:lvlText w:val="%2)"/>
      <w:lvlJc w:val="left"/>
      <w:pPr>
        <w:tabs>
          <w:tab w:val="num" w:pos="1788"/>
        </w:tabs>
        <w:ind w:left="1788" w:hanging="360"/>
      </w:pPr>
      <w:rPr>
        <w:i w:val="0"/>
        <w:rtl w:val="0"/>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9">
    <w:nsid w:val="155B7714"/>
    <w:multiLevelType w:val="singleLevel"/>
    <w:tmpl w:val="60C0363A"/>
    <w:lvl w:ilvl="0">
      <w:start w:val="1"/>
      <w:numFmt w:val="decimal"/>
      <w:lvlText w:val="%1."/>
      <w:lvlJc w:val="left"/>
      <w:pPr>
        <w:tabs>
          <w:tab w:val="num" w:pos="360"/>
        </w:tabs>
        <w:ind w:left="360" w:hanging="360"/>
      </w:pPr>
    </w:lvl>
  </w:abstractNum>
  <w:abstractNum w:abstractNumId="20">
    <w:nsid w:val="15E80A51"/>
    <w:multiLevelType w:val="hybrid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887393"/>
    <w:multiLevelType w:val="singleLevel"/>
    <w:tmpl w:val="74347696"/>
    <w:lvl w:ilvl="0">
      <w:start w:val="1"/>
      <w:numFmt w:val="lowerLetter"/>
      <w:lvlText w:val="(%1)"/>
      <w:lvlJc w:val="left"/>
      <w:pPr>
        <w:tabs>
          <w:tab w:val="num" w:pos="360"/>
        </w:tabs>
        <w:ind w:left="360" w:hanging="360"/>
      </w:pPr>
    </w:lvl>
  </w:abstractNum>
  <w:abstractNum w:abstractNumId="22">
    <w:nsid w:val="1A8345D8"/>
    <w:multiLevelType w:val="hybridMultilevel"/>
    <w:tmpl w:val="270695C4"/>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2"/>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A8F1455"/>
    <w:multiLevelType w:val="hybridMultilevel"/>
    <w:tmpl w:val="CC2438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1A9F70EC"/>
    <w:multiLevelType w:val="hybridMultilevel"/>
    <w:tmpl w:val="B65204D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BB22AC2"/>
    <w:multiLevelType w:val="hybridMultilevel"/>
    <w:tmpl w:val="87CE89F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1C2446A7"/>
    <w:multiLevelType w:val="hybridMultilevel"/>
    <w:tmpl w:val="60E0FE5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1C797CA0"/>
    <w:multiLevelType w:val="hybridMultilevel"/>
    <w:tmpl w:val="2BA0078C"/>
    <w:lvl w:ilvl="0">
      <w:start w:val="1"/>
      <w:numFmt w:val="lowerLetter"/>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1CA92D7C"/>
    <w:multiLevelType w:val="hybridMultilevel"/>
    <w:tmpl w:val="576414C8"/>
    <w:lvl w:ilvl="0">
      <w:start w:val="3"/>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1CC85324"/>
    <w:multiLevelType w:val="hybridMultilevel"/>
    <w:tmpl w:val="C7B85B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1CE53725"/>
    <w:multiLevelType w:val="hybridMultilevel"/>
    <w:tmpl w:val="F760E08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31">
    <w:nsid w:val="21D17B3D"/>
    <w:multiLevelType w:val="hybridMultilevel"/>
    <w:tmpl w:val="8AE013C4"/>
    <w:lvl w:ilvl="0">
      <w:start w:val="1"/>
      <w:numFmt w:val="decimal"/>
      <w:lvlText w:val="%1."/>
      <w:lvlJc w:val="left"/>
      <w:pPr>
        <w:tabs>
          <w:tab w:val="num" w:pos="360"/>
        </w:tabs>
        <w:ind w:left="0" w:firstLine="0"/>
      </w:pPr>
    </w:lvl>
    <w:lvl w:ilvl="1">
      <w:start w:val="1"/>
      <w:numFmt w:val="lowerLetter"/>
      <w:lvlText w:val="(%2)"/>
      <w:lvlJc w:val="left"/>
      <w:pPr>
        <w:tabs>
          <w:tab w:val="num" w:pos="1485"/>
        </w:tabs>
        <w:ind w:left="1485" w:hanging="405"/>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2217FCB"/>
    <w:multiLevelType w:val="hybridMultilevel"/>
    <w:tmpl w:val="5DD89A9C"/>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4"/>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24481AC7"/>
    <w:multiLevelType w:val="singleLevel"/>
    <w:tmpl w:val="DCE874A2"/>
    <w:lvl w:ilvl="0">
      <w:start w:val="1"/>
      <w:numFmt w:val="lowerLetter"/>
      <w:lvlText w:val="(%1)"/>
      <w:lvlJc w:val="left"/>
      <w:pPr>
        <w:tabs>
          <w:tab w:val="num" w:pos="405"/>
        </w:tabs>
        <w:ind w:left="405" w:hanging="405"/>
      </w:pPr>
    </w:lvl>
  </w:abstractNum>
  <w:abstractNum w:abstractNumId="34">
    <w:nsid w:val="250028DC"/>
    <w:multiLevelType w:val="hybridMultilevel"/>
    <w:tmpl w:val="7CF8CFE4"/>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073B13"/>
    <w:multiLevelType w:val="hybridMultilevel"/>
    <w:tmpl w:val="1DF6EA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251F5771"/>
    <w:multiLevelType w:val="hybridMultilevel"/>
    <w:tmpl w:val="C3F8A52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567"/>
        </w:tabs>
        <w:ind w:left="567" w:hanging="567"/>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5C11713"/>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38">
    <w:nsid w:val="26E71AAB"/>
    <w:multiLevelType w:val="hybridMultilevel"/>
    <w:tmpl w:val="19A63DAE"/>
    <w:lvl w:ilvl="0">
      <w:start w:val="1"/>
      <w:numFmt w:val="decimal"/>
      <w:lvlText w:val="%1."/>
      <w:lvlJc w:val="left"/>
      <w:pPr>
        <w:tabs>
          <w:tab w:val="num" w:pos="360"/>
        </w:tabs>
        <w:ind w:left="0" w:firstLine="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27633A25"/>
    <w:multiLevelType w:val="hybridMultilevel"/>
    <w:tmpl w:val="D04A1F8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29014E07"/>
    <w:multiLevelType w:val="hybridMultilevel"/>
    <w:tmpl w:val="33722B0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91836CE"/>
    <w:multiLevelType w:val="hybridMultilevel"/>
    <w:tmpl w:val="614642B6"/>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96F3136"/>
    <w:multiLevelType w:val="hybridMultilevel"/>
    <w:tmpl w:val="54C46E8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2AD14781"/>
    <w:multiLevelType w:val="hybridMultilevel"/>
    <w:tmpl w:val="BAEC7526"/>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134"/>
        </w:tabs>
        <w:ind w:left="1134" w:hanging="567"/>
      </w:pPr>
    </w:lvl>
    <w:lvl w:ilvl="5">
      <w:start w:val="1"/>
      <w:numFmt w:val="lowerLetter"/>
      <w:lvlText w:val="(%6)"/>
      <w:lvlJc w:val="left"/>
      <w:pPr>
        <w:tabs>
          <w:tab w:val="num" w:pos="4707"/>
        </w:tabs>
        <w:ind w:left="470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2AFC4FD8"/>
    <w:multiLevelType w:val="hybridMultilevel"/>
    <w:tmpl w:val="C982F344"/>
    <w:lvl w:ilvl="0">
      <w:start w:val="2"/>
      <w:numFmt w:val="lowerLetter"/>
      <w:lvlText w:val="(%1)"/>
      <w:lvlJc w:val="left"/>
      <w:pPr>
        <w:tabs>
          <w:tab w:val="num" w:pos="1134"/>
        </w:tabs>
        <w:ind w:left="1134"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2B051AA9"/>
    <w:multiLevelType w:val="hybridMultilevel"/>
    <w:tmpl w:val="DB7CCFD0"/>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B337E63"/>
    <w:multiLevelType w:val="hybridMultilevel"/>
    <w:tmpl w:val="DBA27E7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C642803"/>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48">
    <w:nsid w:val="2C725DAD"/>
    <w:multiLevelType w:val="hybridMultilevel"/>
    <w:tmpl w:val="241463B0"/>
    <w:lvl w:ilvl="0">
      <w:start w:val="1"/>
      <w:numFmt w:val="decimal"/>
      <w:lvlText w:val="%1."/>
      <w:lvlJc w:val="left"/>
      <w:pPr>
        <w:tabs>
          <w:tab w:val="num" w:pos="360"/>
        </w:tabs>
        <w:ind w:left="0" w:firstLine="0"/>
      </w:pPr>
    </w:lvl>
    <w:lvl w:ilvl="1">
      <w:start w:val="1"/>
      <w:numFmt w:val="lowerLetter"/>
      <w:lvlText w:val="(%2)"/>
      <w:lvlJc w:val="left"/>
      <w:pPr>
        <w:tabs>
          <w:tab w:val="num" w:pos="1647"/>
        </w:tabs>
        <w:ind w:left="164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CAA277A"/>
    <w:multiLevelType w:val="multilevel"/>
    <w:tmpl w:val="5D90EFC2"/>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50">
    <w:nsid w:val="2D635C56"/>
    <w:multiLevelType w:val="hybridMultilevel"/>
    <w:tmpl w:val="3EC8DF6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2F742DDC"/>
    <w:multiLevelType w:val="hybridMultilevel"/>
    <w:tmpl w:val="1FF8F6F8"/>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2340"/>
        </w:tabs>
        <w:ind w:left="2340" w:hanging="360"/>
      </w:pPr>
      <w:rPr>
        <w:rFonts w:ascii="Times New Roman" w:hAnsi="Times New Roman" w:cs="Times New Roman"/>
        <w:rtl w:val="0"/>
      </w:rPr>
    </w:lvl>
    <w:lvl w:ilvl="3">
      <w:start w:val="1"/>
      <w:numFmt w:val="lowerRoman"/>
      <w:lvlText w:val="(%4)"/>
      <w:lvlJc w:val="left"/>
      <w:pPr>
        <w:tabs>
          <w:tab w:val="num" w:pos="3240"/>
        </w:tabs>
        <w:ind w:left="3240" w:hanging="72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2FDE1BBF"/>
    <w:multiLevelType w:val="hybridMultilevel"/>
    <w:tmpl w:val="433A5C3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nsid w:val="32786D85"/>
    <w:multiLevelType w:val="hybridMultilevel"/>
    <w:tmpl w:val="B6546CE6"/>
    <w:lvl w:ilvl="0">
      <w:start w:val="1"/>
      <w:numFmt w:val="bullet"/>
      <w:lvlText w:val=""/>
      <w:lvlJc w:val="left"/>
      <w:pPr>
        <w:tabs>
          <w:tab w:val="num" w:pos="567"/>
        </w:tabs>
        <w:ind w:left="567" w:hanging="567"/>
      </w:pPr>
      <w:rPr>
        <w:rFonts w:ascii="Symbol" w:hAnsi="Symbol"/>
        <w:rtl w:val="0"/>
      </w:rPr>
    </w:lvl>
    <w:lvl w:ilvl="1">
      <w:start w:val="1"/>
      <w:numFmt w:val="decimal"/>
      <w:lvlText w:val="%2."/>
      <w:lvlJc w:val="left"/>
      <w:pPr>
        <w:tabs>
          <w:tab w:val="num" w:pos="360"/>
        </w:tabs>
        <w:ind w:left="0" w:firstLine="0"/>
      </w:p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4320"/>
        </w:tabs>
        <w:ind w:left="4320" w:hanging="360"/>
      </w:pPr>
      <w:rPr>
        <w:rFonts w:ascii="Times New Roman" w:hAnsi="Times New Roman" w:cs="Times New Roman"/>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54">
    <w:nsid w:val="328F594D"/>
    <w:multiLevelType w:val="hybridMultilevel"/>
    <w:tmpl w:val="D0E8CA20"/>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32CB549E"/>
    <w:multiLevelType w:val="hybridMultilevel"/>
    <w:tmpl w:val="4D24AE9E"/>
    <w:lvl w:ilvl="0">
      <w:start w:val="1"/>
      <w:numFmt w:val="lowerLetter"/>
      <w:lvlText w:val="(%1)"/>
      <w:lvlJc w:val="left"/>
      <w:pPr>
        <w:tabs>
          <w:tab w:val="num" w:pos="1701"/>
        </w:tabs>
        <w:ind w:left="1701" w:hanging="567"/>
      </w:pPr>
    </w:lvl>
    <w:lvl w:ilvl="1">
      <w:start w:val="1"/>
      <w:numFmt w:val="decimal"/>
      <w:lvlText w:val="(%2)"/>
      <w:lvlJc w:val="left"/>
      <w:pPr>
        <w:tabs>
          <w:tab w:val="num" w:pos="1440"/>
        </w:tabs>
        <w:ind w:left="1440" w:hanging="360"/>
      </w:pPr>
    </w:lvl>
    <w:lvl w:ilvl="2">
      <w:start w:val="1"/>
      <w:numFmt w:val="lowerLetter"/>
      <w:lvlText w:val="(%3)"/>
      <w:lvlJc w:val="left"/>
      <w:pPr>
        <w:tabs>
          <w:tab w:val="num" w:pos="1701"/>
        </w:tabs>
        <w:ind w:left="1701" w:hanging="567"/>
      </w:pPr>
    </w:lvl>
    <w:lvl w:ilvl="3">
      <w:start w:val="4"/>
      <w:numFmt w:val="bullet"/>
      <w:lvlText w:val="-"/>
      <w:lvlJc w:val="left"/>
      <w:pPr>
        <w:tabs>
          <w:tab w:val="num" w:pos="2880"/>
        </w:tabs>
        <w:ind w:left="2880" w:hanging="360"/>
      </w:pPr>
      <w:rPr>
        <w:rFonts w:ascii="Times New Roman" w:hAnsi="Times New Roman" w:cs="Times New Roman"/>
        <w:rtl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335E528E"/>
    <w:multiLevelType w:val="singleLevel"/>
    <w:tmpl w:val="04050017"/>
    <w:lvl w:ilvl="0">
      <w:start w:val="1"/>
      <w:numFmt w:val="lowerLetter"/>
      <w:lvlText w:val="%1)"/>
      <w:lvlJc w:val="left"/>
      <w:pPr>
        <w:tabs>
          <w:tab w:val="num" w:pos="360"/>
        </w:tabs>
        <w:ind w:left="360" w:hanging="360"/>
      </w:pPr>
    </w:lvl>
  </w:abstractNum>
  <w:abstractNum w:abstractNumId="57">
    <w:nsid w:val="3675601C"/>
    <w:multiLevelType w:val="hybridMultilevel"/>
    <w:tmpl w:val="B2D895F0"/>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68E2080"/>
    <w:multiLevelType w:val="multilevel"/>
    <w:tmpl w:val="7568875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8D21F84"/>
    <w:multiLevelType w:val="multilevel"/>
    <w:tmpl w:val="6EE6C6D4"/>
    <w:lvl w:ilvl="0">
      <w:start w:val="4"/>
      <w:numFmt w:val="decimal"/>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0">
    <w:nsid w:val="39621A1C"/>
    <w:multiLevelType w:val="singleLevel"/>
    <w:tmpl w:val="60C0363A"/>
    <w:lvl w:ilvl="0">
      <w:start w:val="1"/>
      <w:numFmt w:val="decimal"/>
      <w:lvlText w:val="%1."/>
      <w:lvlJc w:val="left"/>
      <w:pPr>
        <w:tabs>
          <w:tab w:val="num" w:pos="360"/>
        </w:tabs>
        <w:ind w:left="360" w:hanging="360"/>
      </w:pPr>
    </w:lvl>
  </w:abstractNum>
  <w:abstractNum w:abstractNumId="61">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62">
    <w:nsid w:val="3E1F6934"/>
    <w:multiLevelType w:val="hybridMultilevel"/>
    <w:tmpl w:val="A0E4D8D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ECF5610"/>
    <w:multiLevelType w:val="hybridMultilevel"/>
    <w:tmpl w:val="32BEF41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404A2AC7"/>
    <w:multiLevelType w:val="hybridMultilevel"/>
    <w:tmpl w:val="B418768A"/>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42AA307B"/>
    <w:multiLevelType w:val="hybridMultilevel"/>
    <w:tmpl w:val="59C06C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42AF7427"/>
    <w:multiLevelType w:val="multilevel"/>
    <w:tmpl w:val="E43689B0"/>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67">
    <w:nsid w:val="4433296B"/>
    <w:multiLevelType w:val="hybridMultilevel"/>
    <w:tmpl w:val="2FA41064"/>
    <w:lvl w:ilvl="0">
      <w:start w:val="1"/>
      <w:numFmt w:val="lowerLetter"/>
      <w:lvlText w:val="(%1)"/>
      <w:lvlJc w:val="left"/>
      <w:pPr>
        <w:tabs>
          <w:tab w:val="num" w:pos="1134"/>
        </w:tabs>
        <w:ind w:left="1134" w:hanging="567"/>
      </w:pPr>
    </w:lvl>
    <w:lvl w:ilvl="1">
      <w:start w:val="1"/>
      <w:numFmt w:val="lowerLetter"/>
      <w:lvlText w:val="%2."/>
      <w:lvlJc w:val="left"/>
      <w:pPr>
        <w:tabs>
          <w:tab w:val="num" w:pos="1440"/>
        </w:tabs>
        <w:ind w:left="1440" w:hanging="360"/>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486106B"/>
    <w:multiLevelType w:val="hybridMultilevel"/>
    <w:tmpl w:val="89C865A4"/>
    <w:lvl w:ilvl="0">
      <w:start w:val="1"/>
      <w:numFmt w:val="decimal"/>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7972238"/>
    <w:multiLevelType w:val="hybridMultilevel"/>
    <w:tmpl w:val="F66637E2"/>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nsid w:val="4A8B6F0E"/>
    <w:multiLevelType w:val="multilevel"/>
    <w:tmpl w:val="9B9C1872"/>
    <w:lvl w:ilvl="0">
      <w:start w:val="43"/>
      <w:numFmt w:val="bullet"/>
      <w:lvlText w:val="-"/>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71">
    <w:nsid w:val="4AA96824"/>
    <w:multiLevelType w:val="hybridMultilevel"/>
    <w:tmpl w:val="A00A16BA"/>
    <w:lvl w:ilvl="0">
      <w:start w:val="1"/>
      <w:numFmt w:val="decimal"/>
      <w:lvlText w:val="%1."/>
      <w:lvlJc w:val="left"/>
      <w:pPr>
        <w:tabs>
          <w:tab w:val="num" w:pos="360"/>
        </w:tabs>
        <w:ind w:left="0" w:firstLine="0"/>
      </w:pPr>
    </w:lvl>
    <w:lvl w:ilvl="1">
      <w:start w:val="1"/>
      <w:numFmt w:val="bullet"/>
      <w:lvlText w:val=""/>
      <w:lvlJc w:val="left"/>
      <w:pPr>
        <w:tabs>
          <w:tab w:val="num" w:pos="567"/>
        </w:tabs>
        <w:ind w:left="567" w:hanging="567"/>
      </w:pPr>
      <w:rPr>
        <w:rFonts w:ascii="Symbol" w:hAnsi="Symbol"/>
        <w:rtl w:val="0"/>
      </w:rPr>
    </w:lvl>
    <w:lvl w:ilvl="2">
      <w:start w:val="1"/>
      <w:numFmt w:val="bullet"/>
      <w:lvlText w:val=""/>
      <w:lvlJc w:val="left"/>
      <w:pPr>
        <w:tabs>
          <w:tab w:val="num" w:pos="567"/>
        </w:tabs>
        <w:ind w:left="567" w:hanging="567"/>
      </w:pPr>
      <w:rPr>
        <w:rFonts w:ascii="Symbol" w:hAnsi="Symbol"/>
        <w:rtl w:val="0"/>
      </w:rPr>
    </w:lvl>
    <w:lvl w:ilvl="3">
      <w:start w:val="1"/>
      <w:numFmt w:val="bullet"/>
      <w:lvlText w:val=""/>
      <w:lvlJc w:val="left"/>
      <w:pPr>
        <w:tabs>
          <w:tab w:val="num" w:pos="567"/>
        </w:tabs>
        <w:ind w:left="567" w:hanging="567"/>
      </w:pPr>
      <w:rPr>
        <w:rFonts w:ascii="Symbol" w:hAnsi="Symbol"/>
        <w:rtl w:val="0"/>
      </w:rPr>
    </w:lvl>
    <w:lvl w:ilvl="4">
      <w:start w:val="1"/>
      <w:numFmt w:val="decimal"/>
      <w:lvlText w:val="%5."/>
      <w:lvlJc w:val="left"/>
      <w:pPr>
        <w:tabs>
          <w:tab w:val="num" w:pos="3600"/>
        </w:tabs>
        <w:ind w:left="3240" w:firstLine="0"/>
      </w:pPr>
    </w:lvl>
    <w:lvl w:ilvl="5">
      <w:start w:val="1"/>
      <w:numFmt w:val="lowerLetter"/>
      <w:lvlText w:val="(%6)"/>
      <w:lvlJc w:val="left"/>
      <w:pPr>
        <w:tabs>
          <w:tab w:val="num" w:pos="567"/>
        </w:tabs>
        <w:ind w:left="567" w:hanging="567"/>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nsid w:val="4AB53BF8"/>
    <w:multiLevelType w:val="singleLevel"/>
    <w:tmpl w:val="74347696"/>
    <w:lvl w:ilvl="0">
      <w:start w:val="1"/>
      <w:numFmt w:val="lowerLetter"/>
      <w:lvlText w:val="(%1)"/>
      <w:lvlJc w:val="left"/>
      <w:pPr>
        <w:tabs>
          <w:tab w:val="num" w:pos="360"/>
        </w:tabs>
        <w:ind w:left="360" w:hanging="360"/>
      </w:pPr>
    </w:lvl>
  </w:abstractNum>
  <w:abstractNum w:abstractNumId="73">
    <w:nsid w:val="4BD31BF9"/>
    <w:multiLevelType w:val="hybridMultilevel"/>
    <w:tmpl w:val="ABEABA7E"/>
    <w:lvl w:ilvl="0">
      <w:start w:val="1"/>
      <w:numFmt w:val="lowerLetter"/>
      <w:lvlText w:val="%1)"/>
      <w:lvlJc w:val="left"/>
      <w:pPr>
        <w:tabs>
          <w:tab w:val="num" w:pos="600"/>
        </w:tabs>
        <w:ind w:left="600" w:hanging="360"/>
      </w:pPr>
      <w:rPr>
        <w:i w:val="0"/>
        <w:rtl w:val="0"/>
      </w:rPr>
    </w:lvl>
    <w:lvl w:ilvl="1">
      <w:start w:val="1"/>
      <w:numFmt w:val="lowerLetter"/>
      <w:lvlText w:val="%2."/>
      <w:lvlJc w:val="left"/>
      <w:pPr>
        <w:tabs>
          <w:tab w:val="num" w:pos="1320"/>
        </w:tabs>
        <w:ind w:left="1320" w:hanging="360"/>
      </w:pPr>
    </w:lvl>
    <w:lvl w:ilvl="2">
      <w:start w:val="1"/>
      <w:numFmt w:val="lowerRoman"/>
      <w:lvlText w:val="%3."/>
      <w:lvlJc w:val="right"/>
      <w:pPr>
        <w:tabs>
          <w:tab w:val="num" w:pos="2040"/>
        </w:tabs>
        <w:ind w:left="2040" w:hanging="180"/>
      </w:pPr>
    </w:lvl>
    <w:lvl w:ilvl="3">
      <w:start w:val="1"/>
      <w:numFmt w:val="decimal"/>
      <w:lvlText w:val="%4."/>
      <w:lvlJc w:val="left"/>
      <w:pPr>
        <w:tabs>
          <w:tab w:val="num" w:pos="2760"/>
        </w:tabs>
        <w:ind w:left="2760" w:hanging="360"/>
      </w:pPr>
    </w:lvl>
    <w:lvl w:ilvl="4">
      <w:start w:val="1"/>
      <w:numFmt w:val="lowerLetter"/>
      <w:lvlText w:val="%5."/>
      <w:lvlJc w:val="left"/>
      <w:pPr>
        <w:tabs>
          <w:tab w:val="num" w:pos="3480"/>
        </w:tabs>
        <w:ind w:left="3480" w:hanging="360"/>
      </w:pPr>
    </w:lvl>
    <w:lvl w:ilvl="5">
      <w:start w:val="1"/>
      <w:numFmt w:val="lowerRoman"/>
      <w:lvlText w:val="%6."/>
      <w:lvlJc w:val="right"/>
      <w:pPr>
        <w:tabs>
          <w:tab w:val="num" w:pos="4200"/>
        </w:tabs>
        <w:ind w:left="4200" w:hanging="18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right"/>
      <w:pPr>
        <w:tabs>
          <w:tab w:val="num" w:pos="6360"/>
        </w:tabs>
        <w:ind w:left="6360" w:hanging="180"/>
      </w:pPr>
    </w:lvl>
  </w:abstractNum>
  <w:abstractNum w:abstractNumId="74">
    <w:nsid w:val="4D6315C5"/>
    <w:multiLevelType w:val="singleLevel"/>
    <w:tmpl w:val="D4147E0A"/>
    <w:lvl w:ilvl="0">
      <w:start w:val="1"/>
      <w:numFmt w:val="decimal"/>
      <w:lvlText w:val="%1."/>
      <w:lvlJc w:val="left"/>
      <w:pPr>
        <w:tabs>
          <w:tab w:val="num" w:pos="360"/>
        </w:tabs>
        <w:ind w:left="360" w:hanging="360"/>
      </w:pPr>
    </w:lvl>
  </w:abstractNum>
  <w:abstractNum w:abstractNumId="75">
    <w:nsid w:val="4E560945"/>
    <w:multiLevelType w:val="hybridMultilevel"/>
    <w:tmpl w:val="894EF2CE"/>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ECF16B7"/>
    <w:multiLevelType w:val="hybridMultilevel"/>
    <w:tmpl w:val="30E66B7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EF73014"/>
    <w:multiLevelType w:val="hybridMultilevel"/>
    <w:tmpl w:val="0DA82A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FCA38F1"/>
    <w:multiLevelType w:val="hybridMultilevel"/>
    <w:tmpl w:val="51A467DE"/>
    <w:lvl w:ilvl="0">
      <w:start w:val="1"/>
      <w:numFmt w:val="lowerLetter"/>
      <w:lvlText w:val="(%1)"/>
      <w:lvlJc w:val="left"/>
      <w:pPr>
        <w:tabs>
          <w:tab w:val="num" w:pos="567"/>
        </w:tabs>
        <w:ind w:left="567" w:hanging="567"/>
      </w:pPr>
    </w:lvl>
    <w:lvl w:ilvl="1">
      <w:start w:val="1"/>
      <w:numFmt w:val="lowerRoman"/>
      <w:lvlText w:val="(%2)"/>
      <w:lvlJc w:val="left"/>
      <w:pPr>
        <w:tabs>
          <w:tab w:val="num" w:pos="1287"/>
        </w:tabs>
        <w:ind w:left="1134"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9">
    <w:nsid w:val="4FD73EF1"/>
    <w:multiLevelType w:val="hybridMultilevel"/>
    <w:tmpl w:val="ECECDA5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nsid w:val="5034204E"/>
    <w:multiLevelType w:val="multilevel"/>
    <w:tmpl w:val="CD7474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nsid w:val="52A306F0"/>
    <w:multiLevelType w:val="singleLevel"/>
    <w:tmpl w:val="D25EFEA4"/>
    <w:lvl w:ilvl="0">
      <w:start w:val="2"/>
      <w:numFmt w:val="decimal"/>
      <w:lvlText w:val="%1."/>
      <w:lvlJc w:val="left"/>
      <w:pPr>
        <w:tabs>
          <w:tab w:val="num" w:pos="360"/>
        </w:tabs>
        <w:ind w:left="360" w:hanging="360"/>
      </w:pPr>
    </w:lvl>
  </w:abstractNum>
  <w:abstractNum w:abstractNumId="82">
    <w:nsid w:val="52C173CA"/>
    <w:multiLevelType w:val="hybridMultilevel"/>
    <w:tmpl w:val="C86ED44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nsid w:val="53872A1F"/>
    <w:multiLevelType w:val="hybridMultilevel"/>
    <w:tmpl w:val="27C07574"/>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4FF0880"/>
    <w:multiLevelType w:val="hybridMultilevel"/>
    <w:tmpl w:val="7306309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nsid w:val="577735DD"/>
    <w:multiLevelType w:val="hybridMultilevel"/>
    <w:tmpl w:val="0AD858C6"/>
    <w:lvl w:ilvl="0">
      <w:start w:val="1"/>
      <w:numFmt w:val="lowerLetter"/>
      <w:lvlText w:val="%1)"/>
      <w:lvlJc w:val="left"/>
      <w:pPr>
        <w:tabs>
          <w:tab w:val="num" w:pos="1110"/>
        </w:tabs>
        <w:ind w:left="1110" w:hanging="690"/>
      </w:pPr>
    </w:lvl>
    <w:lvl w:ilvl="1">
      <w:start w:val="1"/>
      <w:numFmt w:val="lowerLetter"/>
      <w:lvlText w:val="(%2)"/>
      <w:lvlJc w:val="left"/>
      <w:pPr>
        <w:tabs>
          <w:tab w:val="num" w:pos="1500"/>
        </w:tabs>
        <w:ind w:left="1500" w:hanging="360"/>
      </w:pPr>
    </w:lvl>
    <w:lvl w:ilvl="2">
      <w:start w:val="1"/>
      <w:numFmt w:val="lowerLetter"/>
      <w:lvlText w:val="(%3)"/>
      <w:lvlJc w:val="left"/>
      <w:pPr>
        <w:tabs>
          <w:tab w:val="num" w:pos="3300"/>
        </w:tabs>
        <w:ind w:left="3300" w:hanging="1260"/>
      </w:pPr>
    </w:lvl>
    <w:lvl w:ilvl="3">
      <w:start w:val="4"/>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86">
    <w:nsid w:val="57D25B96"/>
    <w:multiLevelType w:val="hybridMultilevel"/>
    <w:tmpl w:val="856014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59000DA0"/>
    <w:multiLevelType w:val="multilevel"/>
    <w:tmpl w:val="CFB02E7E"/>
    <w:lvl w:ilvl="0">
      <w:start w:val="1"/>
      <w:numFmt w:val="lowerLetter"/>
      <w:lvlText w:val="%1)"/>
      <w:legacy w:legacy="1" w:legacySpace="0" w:legacyIndent="360"/>
      <w:lvlJc w:val="left"/>
      <w:pPr>
        <w:ind w:left="36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9793834"/>
    <w:multiLevelType w:val="hybridMultilevel"/>
    <w:tmpl w:val="5F3AC04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9886CB8"/>
    <w:multiLevelType w:val="singleLevel"/>
    <w:tmpl w:val="47F2A718"/>
    <w:lvl w:ilvl="0">
      <w:start w:val="1"/>
      <w:numFmt w:val="decimal"/>
      <w:lvlText w:val="(%1)"/>
      <w:lvlJc w:val="left"/>
      <w:pPr>
        <w:tabs>
          <w:tab w:val="num" w:pos="941"/>
        </w:tabs>
        <w:ind w:left="941" w:hanging="375"/>
      </w:pPr>
    </w:lvl>
  </w:abstractNum>
  <w:abstractNum w:abstractNumId="90">
    <w:nsid w:val="5EFA5D41"/>
    <w:multiLevelType w:val="hybridMultilevel"/>
    <w:tmpl w:val="92E848AC"/>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nsid w:val="5F896829"/>
    <w:multiLevelType w:val="multilevel"/>
    <w:tmpl w:val="804AF978"/>
    <w:lvl w:ilvl="0">
      <w:start w:val="1"/>
      <w:numFmt w:val="decimal"/>
      <w:lvlText w:val="(%1)"/>
      <w:lvlJc w:val="left"/>
      <w:pPr>
        <w:tabs>
          <w:tab w:val="num" w:pos="360"/>
        </w:tabs>
        <w:ind w:left="360" w:hanging="360"/>
      </w:pPr>
      <w:rPr>
        <w:i w:val="0"/>
        <w:strike w:val="0"/>
        <w:color w:val="auto"/>
        <w:rtl w:val="0"/>
      </w:rPr>
    </w:lvl>
    <w:lvl w:ilvl="1">
      <w:start w:val="1"/>
      <w:numFmt w:val="lowerLetter"/>
      <w:lvlText w:val="%2)"/>
      <w:lvlJc w:val="left"/>
      <w:pPr>
        <w:tabs>
          <w:tab w:val="num" w:pos="1440"/>
        </w:tabs>
        <w:ind w:left="1440" w:hanging="360"/>
      </w:pPr>
      <w:rPr>
        <w:i w:val="0"/>
        <w:rtl w:val="0"/>
      </w:rPr>
    </w:lvl>
    <w:lvl w:ilvl="2">
      <w:start w:val="1"/>
      <w:numFmt w:val="lowerLetter"/>
      <w:lvlText w:val="%3)"/>
      <w:lvlJc w:val="left"/>
      <w:pPr>
        <w:tabs>
          <w:tab w:val="num" w:pos="2340"/>
        </w:tabs>
        <w:ind w:left="2340" w:hanging="360"/>
      </w:pPr>
      <w:rPr>
        <w:i w:val="0"/>
        <w:strike w:val="0"/>
        <w:szCs w:val="24"/>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nsid w:val="5FDF2804"/>
    <w:multiLevelType w:val="hybridMultilevel"/>
    <w:tmpl w:val="2A6844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600913A6"/>
    <w:multiLevelType w:val="hybridMultilevel"/>
    <w:tmpl w:val="D390E01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0403499"/>
    <w:multiLevelType w:val="hybridMultilevel"/>
    <w:tmpl w:val="1CDEF1CA"/>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12221B7"/>
    <w:multiLevelType w:val="hybridMultilevel"/>
    <w:tmpl w:val="9CEC99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nsid w:val="61AA1045"/>
    <w:multiLevelType w:val="singleLevel"/>
    <w:tmpl w:val="D4147E0A"/>
    <w:lvl w:ilvl="0">
      <w:start w:val="1"/>
      <w:numFmt w:val="decimal"/>
      <w:lvlText w:val="%1."/>
      <w:lvlJc w:val="left"/>
      <w:pPr>
        <w:tabs>
          <w:tab w:val="num" w:pos="360"/>
        </w:tabs>
        <w:ind w:left="360" w:hanging="360"/>
      </w:pPr>
    </w:lvl>
  </w:abstractNum>
  <w:abstractNum w:abstractNumId="97">
    <w:nsid w:val="624C46D6"/>
    <w:multiLevelType w:val="hybridMultilevel"/>
    <w:tmpl w:val="8F6223A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nsid w:val="627F7AC7"/>
    <w:multiLevelType w:val="hybridMultilevel"/>
    <w:tmpl w:val="E75EC64E"/>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426614B"/>
    <w:multiLevelType w:val="singleLevel"/>
    <w:tmpl w:val="002E4AC0"/>
    <w:lvl w:ilvl="0">
      <w:start w:val="2"/>
      <w:numFmt w:val="bullet"/>
      <w:lvlText w:val="-"/>
      <w:lvlJc w:val="left"/>
      <w:pPr>
        <w:tabs>
          <w:tab w:val="num" w:pos="360"/>
        </w:tabs>
        <w:ind w:left="360" w:hanging="360"/>
      </w:pPr>
    </w:lvl>
  </w:abstractNum>
  <w:abstractNum w:abstractNumId="100">
    <w:nsid w:val="648E7A08"/>
    <w:multiLevelType w:val="hybridMultilevel"/>
    <w:tmpl w:val="D2CA48CA"/>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nsid w:val="6514745C"/>
    <w:multiLevelType w:val="hybridMultilevel"/>
    <w:tmpl w:val="85B0303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2">
    <w:nsid w:val="673A7532"/>
    <w:multiLevelType w:val="hybridMultilevel"/>
    <w:tmpl w:val="D03C2F92"/>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3">
    <w:nsid w:val="675867A1"/>
    <w:multiLevelType w:val="multilevel"/>
    <w:tmpl w:val="ACA22E7C"/>
    <w:lvl w:ilvl="0">
      <w:start w:val="1"/>
      <w:numFmt w:val="lowerLetter"/>
      <w:lvlText w:val="(%1)"/>
      <w:lvlJc w:val="left"/>
      <w:pPr>
        <w:tabs>
          <w:tab w:val="num" w:pos="360"/>
        </w:tabs>
        <w:ind w:left="360" w:hanging="360"/>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04">
    <w:nsid w:val="67B602E7"/>
    <w:multiLevelType w:val="hybridMultilevel"/>
    <w:tmpl w:val="13FC01AE"/>
    <w:lvl w:ilvl="0">
      <w:start w:val="1"/>
      <w:numFmt w:val="lowerRoman"/>
      <w:lvlText w:val="(%1)"/>
      <w:lvlJc w:val="left"/>
      <w:pPr>
        <w:tabs>
          <w:tab w:val="num" w:pos="720"/>
        </w:tabs>
        <w:ind w:left="567" w:hanging="567"/>
      </w:pPr>
    </w:lvl>
    <w:lvl w:ilvl="1">
      <w:start w:val="1"/>
      <w:numFmt w:val="lowerRoman"/>
      <w:lvlText w:val="(%2)"/>
      <w:lvlJc w:val="left"/>
      <w:pPr>
        <w:tabs>
          <w:tab w:val="num" w:pos="720"/>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5">
    <w:nsid w:val="67D829BB"/>
    <w:multiLevelType w:val="hybridMultilevel"/>
    <w:tmpl w:val="51DE1380"/>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68641F44"/>
    <w:multiLevelType w:val="singleLevel"/>
    <w:tmpl w:val="04050017"/>
    <w:lvl w:ilvl="0">
      <w:start w:val="1"/>
      <w:numFmt w:val="lowerLetter"/>
      <w:lvlText w:val="%1)"/>
      <w:lvlJc w:val="left"/>
      <w:pPr>
        <w:tabs>
          <w:tab w:val="num" w:pos="360"/>
        </w:tabs>
        <w:ind w:left="360" w:hanging="360"/>
      </w:pPr>
    </w:lvl>
  </w:abstractNum>
  <w:abstractNum w:abstractNumId="107">
    <w:nsid w:val="69AF219D"/>
    <w:multiLevelType w:val="singleLevel"/>
    <w:tmpl w:val="74347696"/>
    <w:lvl w:ilvl="0">
      <w:start w:val="1"/>
      <w:numFmt w:val="lowerLetter"/>
      <w:lvlText w:val="(%1)"/>
      <w:lvlJc w:val="left"/>
      <w:pPr>
        <w:tabs>
          <w:tab w:val="num" w:pos="360"/>
        </w:tabs>
        <w:ind w:left="360" w:hanging="360"/>
      </w:pPr>
      <w:rPr>
        <w:b w:val="0"/>
        <w:i w:val="0"/>
        <w:rtl w:val="0"/>
      </w:rPr>
    </w:lvl>
  </w:abstractNum>
  <w:abstractNum w:abstractNumId="108">
    <w:nsid w:val="6A2B511C"/>
    <w:multiLevelType w:val="hybridMultilevel"/>
    <w:tmpl w:val="433CB9E4"/>
    <w:lvl w:ilvl="0">
      <w:start w:val="2"/>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2"/>
      <w:numFmt w:val="decimal"/>
      <w:lvlText w:val="%3."/>
      <w:lvlJc w:val="left"/>
      <w:pPr>
        <w:tabs>
          <w:tab w:val="num" w:pos="360"/>
        </w:tabs>
        <w:ind w:left="0" w:firstLine="0"/>
      </w:pPr>
    </w:lvl>
    <w:lvl w:ilvl="3">
      <w:start w:val="1"/>
      <w:numFmt w:val="lowerLetter"/>
      <w:lvlText w:val="(%4)"/>
      <w:lvlJc w:val="left"/>
      <w:pPr>
        <w:tabs>
          <w:tab w:val="num" w:pos="567"/>
        </w:tabs>
        <w:ind w:left="567" w:hanging="567"/>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6B421A01"/>
    <w:multiLevelType w:val="hybridMultilevel"/>
    <w:tmpl w:val="BA5CD8A6"/>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left"/>
      <w:pPr>
        <w:tabs>
          <w:tab w:val="num" w:pos="1287"/>
        </w:tabs>
        <w:ind w:left="1134" w:hanging="567"/>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0">
    <w:nsid w:val="6C9A188D"/>
    <w:multiLevelType w:val="hybridMultilevel"/>
    <w:tmpl w:val="3C1C8E7C"/>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1">
    <w:nsid w:val="6CF11566"/>
    <w:multiLevelType w:val="hybridMultilevel"/>
    <w:tmpl w:val="272E6C8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6E4A5102"/>
    <w:multiLevelType w:val="hybridMultilevel"/>
    <w:tmpl w:val="0F1615DE"/>
    <w:lvl w:ilvl="0">
      <w:start w:val="1"/>
      <w:numFmt w:val="bullet"/>
      <w:lvlText w:val=""/>
      <w:lvlJc w:val="left"/>
      <w:pPr>
        <w:tabs>
          <w:tab w:val="num" w:pos="567"/>
        </w:tabs>
        <w:ind w:left="567" w:hanging="567"/>
      </w:pPr>
      <w:rPr>
        <w:rFonts w:ascii="Symbol" w:hAnsi="Symbol"/>
        <w:rtl w:val="0"/>
      </w:rPr>
    </w:lvl>
    <w:lvl w:ilvl="1">
      <w:start w:val="1"/>
      <w:numFmt w:val="bullet"/>
      <w:lvlText w:val="o"/>
      <w:lvlJc w:val="left"/>
      <w:pPr>
        <w:tabs>
          <w:tab w:val="num" w:pos="1440"/>
        </w:tabs>
        <w:ind w:left="1440" w:hanging="360"/>
      </w:pPr>
      <w:rPr>
        <w:rFonts w:ascii="Courier New" w:hAnsi="Courier New" w:cs="Times New Roman"/>
        <w:rtl w:val="0"/>
      </w:rPr>
    </w:lvl>
    <w:lvl w:ilvl="2">
      <w:start w:val="1"/>
      <w:numFmt w:val="bullet"/>
      <w:lvlText w:val=""/>
      <w:lvlJc w:val="left"/>
      <w:pPr>
        <w:tabs>
          <w:tab w:val="num" w:pos="2160"/>
        </w:tabs>
        <w:ind w:left="2160" w:hanging="360"/>
      </w:pPr>
      <w:rPr>
        <w:rFonts w:ascii="Times New Roman" w:hAnsi="Times New Roman" w:cs="Times New Roman"/>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cs="Times New Roman"/>
        <w:rtl w:val="0"/>
      </w:rPr>
    </w:lvl>
    <w:lvl w:ilvl="5">
      <w:start w:val="1"/>
      <w:numFmt w:val="bullet"/>
      <w:lvlText w:val=""/>
      <w:lvlJc w:val="left"/>
      <w:pPr>
        <w:tabs>
          <w:tab w:val="num" w:pos="567"/>
        </w:tabs>
        <w:ind w:left="567" w:hanging="567"/>
      </w:pPr>
      <w:rPr>
        <w:rFonts w:ascii="Symbol" w:hAnsi="Symbol"/>
        <w:rtl w:val="0"/>
      </w:rPr>
    </w:lvl>
    <w:lvl w:ilvl="6">
      <w:start w:val="1"/>
      <w:numFmt w:val="lowerRoman"/>
      <w:lvlText w:val="(%7)"/>
      <w:lvlJc w:val="left"/>
      <w:pPr>
        <w:tabs>
          <w:tab w:val="num" w:pos="5400"/>
        </w:tabs>
        <w:ind w:left="5247" w:hanging="567"/>
      </w:pPr>
    </w:lvl>
    <w:lvl w:ilvl="7">
      <w:start w:val="1"/>
      <w:numFmt w:val="bullet"/>
      <w:lvlText w:val="o"/>
      <w:lvlJc w:val="left"/>
      <w:pPr>
        <w:tabs>
          <w:tab w:val="num" w:pos="5760"/>
        </w:tabs>
        <w:ind w:left="5760" w:hanging="360"/>
      </w:pPr>
      <w:rPr>
        <w:rFonts w:ascii="Courier New" w:hAnsi="Courier New" w:cs="Times New Roman"/>
        <w:rtl w:val="0"/>
      </w:rPr>
    </w:lvl>
    <w:lvl w:ilvl="8">
      <w:start w:val="1"/>
      <w:numFmt w:val="bullet"/>
      <w:lvlText w:val=""/>
      <w:lvlJc w:val="left"/>
      <w:pPr>
        <w:tabs>
          <w:tab w:val="num" w:pos="6480"/>
        </w:tabs>
        <w:ind w:left="6480" w:hanging="360"/>
      </w:pPr>
      <w:rPr>
        <w:rFonts w:ascii="Times New Roman" w:hAnsi="Times New Roman" w:cs="Times New Roman"/>
        <w:rtl w:val="0"/>
      </w:rPr>
    </w:lvl>
  </w:abstractNum>
  <w:abstractNum w:abstractNumId="113">
    <w:nsid w:val="6F817ED8"/>
    <w:multiLevelType w:val="singleLevel"/>
    <w:tmpl w:val="60C0363A"/>
    <w:lvl w:ilvl="0">
      <w:start w:val="1"/>
      <w:numFmt w:val="decimal"/>
      <w:lvlText w:val="%1."/>
      <w:lvlJc w:val="left"/>
      <w:pPr>
        <w:tabs>
          <w:tab w:val="num" w:pos="360"/>
        </w:tabs>
        <w:ind w:left="360" w:hanging="360"/>
      </w:pPr>
    </w:lvl>
  </w:abstractNum>
  <w:abstractNum w:abstractNumId="114">
    <w:nsid w:val="71FE7575"/>
    <w:multiLevelType w:val="hybridMultilevel"/>
    <w:tmpl w:val="902ED91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nsid w:val="729B6782"/>
    <w:multiLevelType w:val="hybridMultilevel"/>
    <w:tmpl w:val="A9D49A52"/>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6">
    <w:nsid w:val="72A50422"/>
    <w:multiLevelType w:val="multilevel"/>
    <w:tmpl w:val="64D228CE"/>
    <w:lvl w:ilvl="0">
      <w:start w:val="1"/>
      <w:numFmt w:val="lowerLetter"/>
      <w:lvlText w:val="(%1)"/>
      <w:lvlJc w:val="left"/>
      <w:pPr>
        <w:tabs>
          <w:tab w:val="num" w:pos="375"/>
        </w:tabs>
        <w:ind w:left="375" w:hanging="375"/>
      </w:pPr>
    </w:lvl>
    <w:lvl w:ilvl="1">
      <w:start w:val="0"/>
      <w:numFmt w:val="decimal"/>
      <w:lvlJc w:val="left"/>
      <w:pPr>
        <w:ind w:left="0"/>
      </w:pPr>
    </w:lvl>
    <w:lvl w:ilvl="2">
      <w:start w:val="0"/>
      <w:numFmt w:val="decimal"/>
      <w:lvlJc w:val="left"/>
      <w:pPr>
        <w:ind w:left="0"/>
      </w:pPr>
    </w:lvl>
    <w:lvl w:ilvl="3">
      <w:start w:val="0"/>
      <w:numFmt w:val="decimal"/>
      <w:lvlJc w:val="left"/>
      <w:pPr>
        <w:ind w:left="0"/>
      </w:pPr>
    </w:lvl>
    <w:lvl w:ilvl="4">
      <w:start w:val="0"/>
      <w:numFmt w:val="decimal"/>
      <w:lvlJc w:val="left"/>
      <w:pPr>
        <w:ind w:left="0"/>
      </w:pPr>
    </w:lvl>
    <w:lvl w:ilvl="5">
      <w:start w:val="0"/>
      <w:numFmt w:val="decimal"/>
      <w:lvlJc w:val="left"/>
      <w:pPr>
        <w:ind w:left="0"/>
      </w:pPr>
    </w:lvl>
    <w:lvl w:ilvl="6">
      <w:start w:val="0"/>
      <w:numFmt w:val="decimal"/>
      <w:lvlJc w:val="left"/>
      <w:pPr>
        <w:ind w:left="0"/>
      </w:pPr>
    </w:lvl>
    <w:lvl w:ilvl="7">
      <w:start w:val="0"/>
      <w:numFmt w:val="decimal"/>
      <w:lvlJc w:val="left"/>
      <w:pPr>
        <w:ind w:left="0"/>
      </w:pPr>
    </w:lvl>
    <w:lvl w:ilvl="8">
      <w:start w:val="0"/>
      <w:numFmt w:val="decimal"/>
      <w:lvlJc w:val="left"/>
      <w:pPr>
        <w:ind w:left="0"/>
      </w:pPr>
    </w:lvl>
  </w:abstractNum>
  <w:abstractNum w:abstractNumId="117">
    <w:nsid w:val="74A23ECE"/>
    <w:multiLevelType w:val="hybridMultilevel"/>
    <w:tmpl w:val="84122044"/>
    <w:lvl w:ilvl="0">
      <w:start w:val="1"/>
      <w:numFmt w:val="lowerLetter"/>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nsid w:val="75E054DD"/>
    <w:multiLevelType w:val="hybridMultilevel"/>
    <w:tmpl w:val="DD98CBBA"/>
    <w:lvl w:ilvl="0">
      <w:start w:val="1"/>
      <w:numFmt w:val="decimal"/>
      <w:lvlText w:val="%1."/>
      <w:lvlJc w:val="left"/>
      <w:pPr>
        <w:tabs>
          <w:tab w:val="num" w:pos="360"/>
        </w:tabs>
        <w:ind w:left="0" w:firstLine="0"/>
      </w:pPr>
    </w:lvl>
    <w:lvl w:ilvl="1">
      <w:start w:val="1"/>
      <w:numFmt w:val="decimal"/>
      <w:lvlText w:val="%2."/>
      <w:lvlJc w:val="left"/>
      <w:pPr>
        <w:tabs>
          <w:tab w:val="num" w:pos="360"/>
        </w:tabs>
        <w:ind w:left="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nsid w:val="78274C3F"/>
    <w:multiLevelType w:val="hybridMultilevel"/>
    <w:tmpl w:val="A70AA478"/>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nsid w:val="78977CFE"/>
    <w:multiLevelType w:val="hybridMultilevel"/>
    <w:tmpl w:val="6422EE84"/>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1">
    <w:nsid w:val="7C120A48"/>
    <w:multiLevelType w:val="hybridMultilevel"/>
    <w:tmpl w:val="559A7FD8"/>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2">
    <w:nsid w:val="7C81265B"/>
    <w:multiLevelType w:val="hybridMultilevel"/>
    <w:tmpl w:val="459280A6"/>
    <w:lvl w:ilvl="0">
      <w:start w:val="1"/>
      <w:numFmt w:val="lowerLetter"/>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nsid w:val="7D1B5505"/>
    <w:multiLevelType w:val="hybridMultilevel"/>
    <w:tmpl w:val="F0AA3934"/>
    <w:lvl w:ilvl="0">
      <w:start w:val="1"/>
      <w:numFmt w:val="decimal"/>
      <w:lvlText w:val="%1."/>
      <w:lvlJc w:val="left"/>
      <w:pPr>
        <w:tabs>
          <w:tab w:val="num" w:pos="360"/>
        </w:tabs>
        <w:ind w:left="0" w:firstLine="0"/>
      </w:pPr>
    </w:lvl>
    <w:lvl w:ilvl="1">
      <w:start w:val="1"/>
      <w:numFmt w:val="lowerLetter"/>
      <w:lvlText w:val="(%2)"/>
      <w:lvlJc w:val="left"/>
      <w:pPr>
        <w:tabs>
          <w:tab w:val="num" w:pos="567"/>
        </w:tabs>
        <w:ind w:left="567" w:hanging="56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nsid w:val="7D754021"/>
    <w:multiLevelType w:val="hybridMultilevel"/>
    <w:tmpl w:val="F7C4AB8C"/>
    <w:lvl w:ilvl="0">
      <w:start w:val="1"/>
      <w:numFmt w:val="decimal"/>
      <w:lvlText w:val="%1."/>
      <w:lvlJc w:val="left"/>
      <w:pPr>
        <w:tabs>
          <w:tab w:val="num" w:pos="36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1"/>
  </w:num>
  <w:num w:numId="2">
    <w:abstractNumId w:val="4"/>
  </w:num>
  <w:num w:numId="3">
    <w:abstractNumId w:val="60"/>
  </w:num>
  <w:num w:numId="4">
    <w:abstractNumId w:val="33"/>
  </w:num>
  <w:num w:numId="5">
    <w:abstractNumId w:val="99"/>
  </w:num>
  <w:num w:numId="6">
    <w:abstractNumId w:val="72"/>
  </w:num>
  <w:num w:numId="7">
    <w:abstractNumId w:val="21"/>
  </w:num>
  <w:num w:numId="8">
    <w:abstractNumId w:val="96"/>
  </w:num>
  <w:num w:numId="9">
    <w:abstractNumId w:val="47"/>
  </w:num>
  <w:num w:numId="10">
    <w:abstractNumId w:val="107"/>
  </w:num>
  <w:num w:numId="11">
    <w:abstractNumId w:val="113"/>
  </w:num>
  <w:num w:numId="12">
    <w:abstractNumId w:val="11"/>
  </w:num>
  <w:num w:numId="13">
    <w:abstractNumId w:val="81"/>
  </w:num>
  <w:num w:numId="14">
    <w:abstractNumId w:val="74"/>
  </w:num>
  <w:num w:numId="15">
    <w:abstractNumId w:val="19"/>
  </w:num>
  <w:num w:numId="16">
    <w:abstractNumId w:val="80"/>
  </w:num>
  <w:num w:numId="17">
    <w:abstractNumId w:val="103"/>
  </w:num>
  <w:num w:numId="18">
    <w:abstractNumId w:val="70"/>
  </w:num>
  <w:num w:numId="19">
    <w:abstractNumId w:val="59"/>
  </w:num>
  <w:num w:numId="20">
    <w:abstractNumId w:val="49"/>
  </w:num>
  <w:num w:numId="21">
    <w:abstractNumId w:val="10"/>
  </w:num>
  <w:num w:numId="22">
    <w:abstractNumId w:val="116"/>
  </w:num>
  <w:num w:numId="23">
    <w:abstractNumId w:val="37"/>
  </w:num>
  <w:num w:numId="24">
    <w:abstractNumId w:val="66"/>
  </w:num>
  <w:num w:numId="25">
    <w:abstractNumId w:val="77"/>
  </w:num>
  <w:num w:numId="26">
    <w:abstractNumId w:val="18"/>
  </w:num>
  <w:num w:numId="27">
    <w:abstractNumId w:val="92"/>
  </w:num>
  <w:num w:numId="28">
    <w:abstractNumId w:val="106"/>
  </w:num>
  <w:num w:numId="29">
    <w:abstractNumId w:val="20"/>
  </w:num>
  <w:num w:numId="30">
    <w:abstractNumId w:val="56"/>
  </w:num>
  <w:num w:numId="31">
    <w:abstractNumId w:val="14"/>
  </w:num>
  <w:num w:numId="32">
    <w:abstractNumId w:val="85"/>
  </w:num>
  <w:num w:numId="33">
    <w:abstractNumId w:val="87"/>
  </w:num>
  <w:num w:numId="34">
    <w:abstractNumId w:val="89"/>
  </w:num>
  <w:num w:numId="35">
    <w:abstractNumId w:val="58"/>
  </w:num>
  <w:num w:numId="36">
    <w:abstractNumId w:val="1"/>
  </w:num>
  <w:num w:numId="37">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2"/>
    <w:lvlOverride w:ilvl="0"/>
    <w:lvlOverride w:ilvl="1"/>
    <w:lvlOverride w:ilvl="2"/>
    <w:lvlOverride w:ilvl="3"/>
    <w:lvlOverride w:ilvl="4"/>
    <w:lvlOverride w:ilvl="5"/>
    <w:lvlOverride w:ilvl="6">
      <w:startOverride w:val="1"/>
    </w:lvlOverride>
    <w:lvlOverride w:ilvl="7"/>
    <w:lvlOverride w:ilvl="8"/>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lvlOverride w:ilvl="1"/>
    <w:lvlOverride w:ilvl="2"/>
    <w:lvlOverride w:ilvl="3"/>
    <w:lvlOverride w:ilvl="4"/>
    <w:lvlOverride w:ilvl="5"/>
    <w:lvlOverride w:ilvl="6"/>
    <w:lvlOverride w:ilvl="7"/>
    <w:lvlOverride w:ilvl="8"/>
  </w:num>
  <w:num w:numId="47">
    <w:abstractNumId w:val="53"/>
    <w:lvlOverride w:ilvl="0"/>
    <w:lvlOverride w:ilvl="1">
      <w:startOverride w:val="1"/>
    </w:lvlOverride>
    <w:lvlOverride w:ilvl="2"/>
    <w:lvlOverride w:ilvl="3"/>
    <w:lvlOverride w:ilvl="4"/>
    <w:lvlOverride w:ilvl="5"/>
    <w:lvlOverride w:ilvl="6"/>
    <w:lvlOverride w:ilvl="7"/>
    <w:lvlOverride w:ilvl="8"/>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1"/>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5"/>
  </w:num>
  <w:num w:numId="121">
    <w:abstractNumId w:val="95"/>
  </w:num>
  <w:num w:numId="122">
    <w:abstractNumId w:val="17"/>
  </w:num>
  <w:num w:numId="123">
    <w:abstractNumId w:val="73"/>
  </w:num>
  <w:num w:numId="124">
    <w:abstractNumId w:val="91"/>
  </w:num>
  <w:num w:numId="1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54D"/>
    <w:rsid w:val="00011027"/>
    <w:rsid w:val="00030E53"/>
    <w:rsid w:val="0004140F"/>
    <w:rsid w:val="000464B0"/>
    <w:rsid w:val="00065426"/>
    <w:rsid w:val="0007026D"/>
    <w:rsid w:val="000755FF"/>
    <w:rsid w:val="00094C8E"/>
    <w:rsid w:val="000C2CA7"/>
    <w:rsid w:val="000C6FFE"/>
    <w:rsid w:val="00112DB9"/>
    <w:rsid w:val="0011743E"/>
    <w:rsid w:val="0012211F"/>
    <w:rsid w:val="001417D8"/>
    <w:rsid w:val="001462BA"/>
    <w:rsid w:val="001538FE"/>
    <w:rsid w:val="00155BFE"/>
    <w:rsid w:val="00171FE1"/>
    <w:rsid w:val="0017580A"/>
    <w:rsid w:val="00180A06"/>
    <w:rsid w:val="00192925"/>
    <w:rsid w:val="001A53ED"/>
    <w:rsid w:val="001B1E57"/>
    <w:rsid w:val="001C15B5"/>
    <w:rsid w:val="001C1A52"/>
    <w:rsid w:val="001D1C57"/>
    <w:rsid w:val="001D2D4C"/>
    <w:rsid w:val="001F4EB8"/>
    <w:rsid w:val="00220A2D"/>
    <w:rsid w:val="00242466"/>
    <w:rsid w:val="00245766"/>
    <w:rsid w:val="002506EA"/>
    <w:rsid w:val="0025428B"/>
    <w:rsid w:val="002566DE"/>
    <w:rsid w:val="00262297"/>
    <w:rsid w:val="00266A9E"/>
    <w:rsid w:val="00272167"/>
    <w:rsid w:val="002A367E"/>
    <w:rsid w:val="002A5890"/>
    <w:rsid w:val="002A6BCE"/>
    <w:rsid w:val="002B765F"/>
    <w:rsid w:val="002C2B93"/>
    <w:rsid w:val="002D3416"/>
    <w:rsid w:val="002D6C6C"/>
    <w:rsid w:val="002E3212"/>
    <w:rsid w:val="00305152"/>
    <w:rsid w:val="003129A0"/>
    <w:rsid w:val="00317F51"/>
    <w:rsid w:val="00336F96"/>
    <w:rsid w:val="003374F4"/>
    <w:rsid w:val="00341F8C"/>
    <w:rsid w:val="00343805"/>
    <w:rsid w:val="00346B93"/>
    <w:rsid w:val="00352292"/>
    <w:rsid w:val="00381405"/>
    <w:rsid w:val="003A6DA0"/>
    <w:rsid w:val="003B0547"/>
    <w:rsid w:val="003C7EC6"/>
    <w:rsid w:val="003F4E11"/>
    <w:rsid w:val="003F79B3"/>
    <w:rsid w:val="00405E0C"/>
    <w:rsid w:val="00433241"/>
    <w:rsid w:val="00433C79"/>
    <w:rsid w:val="004462C6"/>
    <w:rsid w:val="004501A0"/>
    <w:rsid w:val="00475080"/>
    <w:rsid w:val="004A5246"/>
    <w:rsid w:val="004A69DA"/>
    <w:rsid w:val="004B3E19"/>
    <w:rsid w:val="004B4C2B"/>
    <w:rsid w:val="004C6330"/>
    <w:rsid w:val="004F1478"/>
    <w:rsid w:val="00501217"/>
    <w:rsid w:val="00501C2B"/>
    <w:rsid w:val="005038AB"/>
    <w:rsid w:val="00506D56"/>
    <w:rsid w:val="00522A2E"/>
    <w:rsid w:val="005233A7"/>
    <w:rsid w:val="0053717E"/>
    <w:rsid w:val="00541C80"/>
    <w:rsid w:val="00555630"/>
    <w:rsid w:val="005826D4"/>
    <w:rsid w:val="00595284"/>
    <w:rsid w:val="005B0AA3"/>
    <w:rsid w:val="005B53A5"/>
    <w:rsid w:val="005B7794"/>
    <w:rsid w:val="005B7D74"/>
    <w:rsid w:val="005C3E65"/>
    <w:rsid w:val="005E44FD"/>
    <w:rsid w:val="005F497C"/>
    <w:rsid w:val="006039F3"/>
    <w:rsid w:val="006045D7"/>
    <w:rsid w:val="00605909"/>
    <w:rsid w:val="006123F9"/>
    <w:rsid w:val="0061552E"/>
    <w:rsid w:val="0061572C"/>
    <w:rsid w:val="006743E9"/>
    <w:rsid w:val="00675710"/>
    <w:rsid w:val="006C7016"/>
    <w:rsid w:val="006E0181"/>
    <w:rsid w:val="00702342"/>
    <w:rsid w:val="007078D1"/>
    <w:rsid w:val="0073583F"/>
    <w:rsid w:val="00736FBB"/>
    <w:rsid w:val="00756373"/>
    <w:rsid w:val="0076759A"/>
    <w:rsid w:val="00797484"/>
    <w:rsid w:val="007A107D"/>
    <w:rsid w:val="007E35C7"/>
    <w:rsid w:val="007F2916"/>
    <w:rsid w:val="007F7A09"/>
    <w:rsid w:val="00810F06"/>
    <w:rsid w:val="008165B6"/>
    <w:rsid w:val="008265C5"/>
    <w:rsid w:val="0084325C"/>
    <w:rsid w:val="008735E0"/>
    <w:rsid w:val="00880FB8"/>
    <w:rsid w:val="00895B14"/>
    <w:rsid w:val="008C0C0C"/>
    <w:rsid w:val="008D6975"/>
    <w:rsid w:val="008F16F8"/>
    <w:rsid w:val="008F4F05"/>
    <w:rsid w:val="008F57AB"/>
    <w:rsid w:val="0090044A"/>
    <w:rsid w:val="00911C8C"/>
    <w:rsid w:val="0091416D"/>
    <w:rsid w:val="00970551"/>
    <w:rsid w:val="00972FF1"/>
    <w:rsid w:val="00987825"/>
    <w:rsid w:val="0099325C"/>
    <w:rsid w:val="009952AA"/>
    <w:rsid w:val="009F046A"/>
    <w:rsid w:val="00A023E9"/>
    <w:rsid w:val="00A131A0"/>
    <w:rsid w:val="00A15E0E"/>
    <w:rsid w:val="00A17087"/>
    <w:rsid w:val="00A61F24"/>
    <w:rsid w:val="00A83D46"/>
    <w:rsid w:val="00A871E0"/>
    <w:rsid w:val="00AA230E"/>
    <w:rsid w:val="00AD51FE"/>
    <w:rsid w:val="00AF30A3"/>
    <w:rsid w:val="00AF551A"/>
    <w:rsid w:val="00B21A6D"/>
    <w:rsid w:val="00B325B3"/>
    <w:rsid w:val="00B32964"/>
    <w:rsid w:val="00B42745"/>
    <w:rsid w:val="00B55918"/>
    <w:rsid w:val="00B74452"/>
    <w:rsid w:val="00B8562B"/>
    <w:rsid w:val="00BA210B"/>
    <w:rsid w:val="00BC06EF"/>
    <w:rsid w:val="00BC0F81"/>
    <w:rsid w:val="00BC42E5"/>
    <w:rsid w:val="00BE04D0"/>
    <w:rsid w:val="00BF4577"/>
    <w:rsid w:val="00C02544"/>
    <w:rsid w:val="00C1480F"/>
    <w:rsid w:val="00C17A5E"/>
    <w:rsid w:val="00C234ED"/>
    <w:rsid w:val="00C32E67"/>
    <w:rsid w:val="00C4217E"/>
    <w:rsid w:val="00C60D04"/>
    <w:rsid w:val="00C65692"/>
    <w:rsid w:val="00C70ED5"/>
    <w:rsid w:val="00C76DF6"/>
    <w:rsid w:val="00C835F2"/>
    <w:rsid w:val="00C8361B"/>
    <w:rsid w:val="00C94369"/>
    <w:rsid w:val="00C95810"/>
    <w:rsid w:val="00CC6A63"/>
    <w:rsid w:val="00CE4A5B"/>
    <w:rsid w:val="00CF1893"/>
    <w:rsid w:val="00CF7BD1"/>
    <w:rsid w:val="00D1040A"/>
    <w:rsid w:val="00D1527F"/>
    <w:rsid w:val="00D223AE"/>
    <w:rsid w:val="00D34BF4"/>
    <w:rsid w:val="00D37DFA"/>
    <w:rsid w:val="00D619EE"/>
    <w:rsid w:val="00D6376C"/>
    <w:rsid w:val="00D76DCA"/>
    <w:rsid w:val="00D80F3F"/>
    <w:rsid w:val="00D812BE"/>
    <w:rsid w:val="00D832A4"/>
    <w:rsid w:val="00DC3AA3"/>
    <w:rsid w:val="00DD6E68"/>
    <w:rsid w:val="00E00A68"/>
    <w:rsid w:val="00E13E34"/>
    <w:rsid w:val="00E24C72"/>
    <w:rsid w:val="00E270DB"/>
    <w:rsid w:val="00E36C75"/>
    <w:rsid w:val="00E44D55"/>
    <w:rsid w:val="00E52C57"/>
    <w:rsid w:val="00E53ED0"/>
    <w:rsid w:val="00E5754A"/>
    <w:rsid w:val="00EC6B7D"/>
    <w:rsid w:val="00EE2C60"/>
    <w:rsid w:val="00EE49E4"/>
    <w:rsid w:val="00F05455"/>
    <w:rsid w:val="00F103FD"/>
    <w:rsid w:val="00F755D2"/>
    <w:rsid w:val="00F81359"/>
    <w:rsid w:val="00F9346C"/>
    <w:rsid w:val="00F96BFE"/>
    <w:rsid w:val="00FD03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97"/>
    <w:pPr>
      <w:widowControl w:val="0"/>
      <w:autoSpaceDE w:val="0"/>
      <w:autoSpaceDN w:val="0"/>
      <w:bidi w:val="0"/>
      <w:adjustRightInd w:val="0"/>
      <w:ind w:left="0" w:right="0"/>
      <w:jc w:val="left"/>
      <w:textAlignment w:val="auto"/>
    </w:pPr>
    <w:rPr>
      <w:sz w:val="24"/>
      <w:szCs w:val="20"/>
      <w:rtl w:val="0"/>
      <w:lang w:val="sk-SK" w:bidi="ar-SA"/>
    </w:rPr>
  </w:style>
  <w:style w:type="paragraph" w:styleId="Heading1">
    <w:name w:val="heading 1"/>
    <w:basedOn w:val="Normal"/>
    <w:next w:val="Normal"/>
    <w:uiPriority w:val="9"/>
    <w:qFormat/>
    <w:pPr>
      <w:keepNext/>
      <w:jc w:val="left"/>
      <w:outlineLvl w:val="0"/>
    </w:pPr>
    <w:rPr>
      <w:b/>
      <w:noProof/>
    </w:rPr>
  </w:style>
  <w:style w:type="paragraph" w:styleId="Heading2">
    <w:name w:val="heading 2"/>
    <w:basedOn w:val="Normal"/>
    <w:next w:val="Normal"/>
    <w:uiPriority w:val="9"/>
    <w:qFormat/>
    <w:pPr>
      <w:keepNext/>
      <w:jc w:val="center"/>
      <w:outlineLvl w:val="1"/>
    </w:pPr>
    <w:rPr>
      <w:b/>
      <w:noProof/>
    </w:rPr>
  </w:style>
  <w:style w:type="paragraph" w:styleId="Heading3">
    <w:name w:val="heading 3"/>
    <w:basedOn w:val="Normal"/>
    <w:next w:val="Normal"/>
    <w:uiPriority w:val="9"/>
    <w:qFormat/>
    <w:pPr>
      <w:keepNext/>
      <w:tabs>
        <w:tab w:val="left" w:pos="360"/>
      </w:tabs>
      <w:ind w:right="-285"/>
      <w:jc w:val="left"/>
      <w:outlineLvl w:val="2"/>
    </w:pPr>
    <w:rPr>
      <w:b/>
      <w:bCs/>
    </w:rPr>
  </w:style>
  <w:style w:type="paragraph" w:styleId="Heading5">
    <w:name w:val="heading 5"/>
    <w:basedOn w:val="Normal"/>
    <w:next w:val="Normal"/>
    <w:uiPriority w:val="9"/>
    <w:qFormat/>
    <w:rsid w:val="001A310D"/>
    <w:pPr>
      <w:spacing w:before="240" w:after="60"/>
      <w:jc w:val="left"/>
      <w:outlineLvl w:val="4"/>
    </w:pPr>
    <w:rPr>
      <w:b/>
      <w:bCs/>
      <w:i/>
      <w:iCs/>
      <w:sz w:val="26"/>
      <w:szCs w:val="26"/>
    </w:rPr>
  </w:style>
  <w:style w:type="character" w:default="1" w:styleId="DefaultParagraphFont">
    <w:name w:val="Default Paragraph Font"/>
    <w:link w:val="Char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noProof/>
    </w:rPr>
  </w:style>
  <w:style w:type="paragraph" w:styleId="Footer">
    <w:name w:val="footer"/>
    <w:basedOn w:val="Normal"/>
    <w:pPr>
      <w:tabs>
        <w:tab w:val="center" w:pos="4536"/>
        <w:tab w:val="right" w:pos="9072"/>
      </w:tabs>
      <w:jc w:val="left"/>
    </w:pPr>
  </w:style>
  <w:style w:type="character" w:styleId="PageNumber">
    <w:name w:val="page number"/>
    <w:basedOn w:val="DefaultParagraphFont"/>
    <w:rsid w:val="007078D1"/>
    <w:rPr>
      <w:sz w:val="18"/>
      <w:rtl w:val="0"/>
    </w:rPr>
  </w:style>
  <w:style w:type="paragraph" w:styleId="FootnoteText">
    <w:name w:val="footnote text"/>
    <w:basedOn w:val="Normal"/>
    <w:semiHidden/>
    <w:pPr>
      <w:overflowPunct w:val="0"/>
      <w:autoSpaceDE/>
      <w:autoSpaceDN/>
      <w:jc w:val="left"/>
      <w:textAlignment w:val="baseline"/>
    </w:pPr>
    <w:rPr>
      <w:noProof/>
      <w:sz w:val="20"/>
      <w:lang w:val="en-GB"/>
    </w:rPr>
  </w:style>
  <w:style w:type="character" w:styleId="FootnoteReference">
    <w:name w:val="footnote reference"/>
    <w:basedOn w:val="DefaultParagraphFont"/>
    <w:semiHidden/>
    <w:rPr>
      <w:vertAlign w:val="superscript"/>
    </w:rPr>
  </w:style>
  <w:style w:type="paragraph" w:styleId="BodyText2">
    <w:name w:val="Body Text 2"/>
    <w:basedOn w:val="Normal"/>
    <w:pPr>
      <w:overflowPunct w:val="0"/>
      <w:autoSpaceDE/>
      <w:autoSpaceDN/>
      <w:spacing w:line="360" w:lineRule="auto"/>
      <w:ind w:firstLine="708"/>
      <w:jc w:val="both"/>
      <w:textAlignment w:val="baseline"/>
    </w:pPr>
    <w:rPr>
      <w:noProof/>
    </w:rPr>
  </w:style>
  <w:style w:type="paragraph" w:styleId="BodyText3">
    <w:name w:val="Body Text 3"/>
    <w:basedOn w:val="Normal"/>
    <w:pPr>
      <w:jc w:val="left"/>
    </w:pPr>
    <w:rPr>
      <w:noProof/>
      <w:sz w:val="20"/>
    </w:rPr>
  </w:style>
  <w:style w:type="paragraph" w:styleId="BodyTextIndent">
    <w:name w:val="Body Text Indent"/>
    <w:basedOn w:val="Normal"/>
    <w:pPr>
      <w:spacing w:after="120"/>
      <w:ind w:left="284" w:hanging="284"/>
      <w:jc w:val="both"/>
    </w:pPr>
    <w:rPr>
      <w:noProof/>
      <w:lang w:val="en-GB"/>
    </w:rPr>
  </w:style>
  <w:style w:type="paragraph" w:styleId="BodyTextIndent3">
    <w:name w:val="Body Text Indent 3"/>
    <w:basedOn w:val="Normal"/>
    <w:pPr>
      <w:spacing w:after="120"/>
      <w:ind w:left="709"/>
      <w:jc w:val="both"/>
    </w:pPr>
    <w:rPr>
      <w:noProof/>
    </w:rPr>
  </w:style>
  <w:style w:type="character" w:customStyle="1" w:styleId="tw4winMark">
    <w:name w:val="tw4winMark"/>
    <w:rPr>
      <w:rFonts w:ascii="Courier New" w:hAnsi="Courier New"/>
      <w:vanish/>
      <w:color w:val="800080"/>
      <w:sz w:val="24"/>
      <w:vertAlign w:val="subscript"/>
      <w:rtl w:val="0"/>
    </w:rPr>
  </w:style>
  <w:style w:type="paragraph" w:styleId="Title">
    <w:name w:val="Title"/>
    <w:basedOn w:val="Normal"/>
    <w:uiPriority w:val="10"/>
    <w:qFormat/>
    <w:pPr>
      <w:spacing w:after="120"/>
      <w:jc w:val="center"/>
    </w:pPr>
    <w:rPr>
      <w:b/>
      <w:noProof/>
      <w:lang w:val="en-GB"/>
    </w:rPr>
  </w:style>
  <w:style w:type="paragraph" w:styleId="BodyTextIndent2">
    <w:name w:val="Body Text Indent 2"/>
    <w:basedOn w:val="Normal"/>
    <w:pPr>
      <w:ind w:firstLine="708"/>
      <w:jc w:val="both"/>
    </w:pPr>
  </w:style>
  <w:style w:type="paragraph" w:customStyle="1" w:styleId="Point1">
    <w:name w:val="Point 1"/>
    <w:basedOn w:val="Normal"/>
    <w:pPr>
      <w:spacing w:before="120" w:after="120"/>
      <w:ind w:left="1417" w:hanging="567"/>
      <w:jc w:val="both"/>
    </w:pPr>
    <w:rPr>
      <w:szCs w:val="24"/>
      <w:lang w:val="en-GB" w:eastAsia="ko-KR"/>
    </w:rPr>
  </w:style>
  <w:style w:type="paragraph" w:customStyle="1" w:styleId="Text1">
    <w:name w:val="Text 1"/>
    <w:basedOn w:val="Normal"/>
    <w:pPr>
      <w:spacing w:before="120" w:after="120"/>
      <w:ind w:left="850"/>
      <w:jc w:val="both"/>
    </w:pPr>
    <w:rPr>
      <w:szCs w:val="24"/>
      <w:lang w:val="en-GB" w:eastAsia="ko-KR"/>
    </w:rPr>
  </w:style>
  <w:style w:type="paragraph" w:customStyle="1" w:styleId="Text2">
    <w:name w:val="Text 2"/>
    <w:basedOn w:val="Normal"/>
    <w:pPr>
      <w:spacing w:before="120" w:after="120"/>
      <w:ind w:left="850"/>
      <w:jc w:val="both"/>
    </w:pPr>
    <w:rPr>
      <w:szCs w:val="24"/>
      <w:lang w:val="en-GB" w:eastAsia="ko-KR"/>
    </w:rPr>
  </w:style>
  <w:style w:type="paragraph" w:styleId="BalloonText">
    <w:name w:val="Balloon Text"/>
    <w:basedOn w:val="Normal"/>
    <w:semiHidden/>
    <w:rsid w:val="00796F3A"/>
    <w:pPr>
      <w:jc w:val="left"/>
    </w:pPr>
    <w:rPr>
      <w:rFonts w:ascii="Tahoma" w:hAnsi="Tahoma" w:cs="Tahoma"/>
      <w:sz w:val="16"/>
      <w:szCs w:val="16"/>
    </w:rPr>
  </w:style>
  <w:style w:type="paragraph" w:customStyle="1" w:styleId="N-textsodrkami">
    <w:name w:val="N-text s odrážkami"/>
    <w:basedOn w:val="Normal"/>
    <w:rsid w:val="00924772"/>
    <w:pPr>
      <w:tabs>
        <w:tab w:val="left" w:pos="284"/>
      </w:tabs>
      <w:spacing w:after="120"/>
      <w:ind w:left="284"/>
      <w:jc w:val="both"/>
    </w:pPr>
  </w:style>
  <w:style w:type="paragraph" w:customStyle="1" w:styleId="Zkladntext">
    <w:name w:val="Základní text"/>
    <w:rsid w:val="00924772"/>
    <w:pPr>
      <w:widowControl w:val="0"/>
      <w:autoSpaceDE w:val="0"/>
      <w:autoSpaceDN w:val="0"/>
      <w:bidi w:val="0"/>
      <w:adjustRightInd w:val="0"/>
      <w:ind w:left="0" w:right="0"/>
      <w:jc w:val="left"/>
      <w:textAlignment w:val="auto"/>
    </w:pPr>
    <w:rPr>
      <w:color w:val="000000"/>
      <w:sz w:val="24"/>
      <w:szCs w:val="20"/>
      <w:rtl w:val="0"/>
      <w:lang w:val="sk-SK" w:bidi="ar-SA"/>
    </w:rPr>
  </w:style>
  <w:style w:type="paragraph" w:customStyle="1" w:styleId="NumPar1">
    <w:name w:val="NumPar 1"/>
    <w:basedOn w:val="Normal"/>
    <w:next w:val="Normal"/>
    <w:rsid w:val="000832AA"/>
    <w:pPr>
      <w:numPr>
        <w:ilvl w:val="0"/>
        <w:numId w:val="57"/>
      </w:numPr>
      <w:tabs>
        <w:tab w:val="left" w:pos="360"/>
      </w:tabs>
      <w:spacing w:before="120" w:after="120"/>
      <w:ind w:firstLine="0"/>
      <w:jc w:val="both"/>
    </w:pPr>
    <w:rPr>
      <w:szCs w:val="24"/>
      <w:lang w:val="en-GB" w:eastAsia="ko-KR"/>
    </w:rPr>
  </w:style>
  <w:style w:type="paragraph" w:customStyle="1" w:styleId="Text1CharCharChar">
    <w:name w:val="Text 1 Char Char Char"/>
    <w:basedOn w:val="Normal"/>
    <w:link w:val="Text1CharCharCharChar"/>
    <w:rsid w:val="00F05455"/>
    <w:pPr>
      <w:spacing w:before="120" w:after="120"/>
      <w:ind w:left="850"/>
      <w:jc w:val="both"/>
    </w:pPr>
    <w:rPr>
      <w:szCs w:val="24"/>
      <w:lang w:val="en-GB"/>
    </w:rPr>
  </w:style>
  <w:style w:type="character" w:customStyle="1" w:styleId="Text1CharCharCharChar">
    <w:name w:val="Text 1 Char Char Char Char"/>
    <w:basedOn w:val="DefaultParagraphFont"/>
    <w:link w:val="Text1CharCharChar"/>
    <w:rsid w:val="00F05455"/>
    <w:rPr>
      <w:sz w:val="24"/>
      <w:szCs w:val="24"/>
      <w:rtl w:val="0"/>
      <w:lang w:val="en-GB" w:bidi="ar-SA"/>
    </w:rPr>
  </w:style>
  <w:style w:type="paragraph" w:customStyle="1" w:styleId="Point0">
    <w:name w:val="Point 0"/>
    <w:basedOn w:val="Normal"/>
    <w:rsid w:val="00352292"/>
    <w:pPr>
      <w:spacing w:before="120" w:after="120"/>
      <w:ind w:left="850" w:hanging="850"/>
      <w:jc w:val="both"/>
    </w:pPr>
  </w:style>
  <w:style w:type="paragraph" w:customStyle="1" w:styleId="ManualNumPar1">
    <w:name w:val="Manual NumPar 1"/>
    <w:basedOn w:val="Normal"/>
    <w:next w:val="Text1CharCharChar"/>
    <w:rsid w:val="00A63B90"/>
    <w:pPr>
      <w:spacing w:before="120" w:after="120"/>
      <w:ind w:left="850" w:hanging="850"/>
      <w:jc w:val="both"/>
    </w:pPr>
  </w:style>
  <w:style w:type="paragraph" w:customStyle="1" w:styleId="Titrearticle">
    <w:name w:val="Titre article"/>
    <w:basedOn w:val="Normal"/>
    <w:next w:val="Normal"/>
    <w:rsid w:val="00B75BF5"/>
    <w:pPr>
      <w:keepNext/>
      <w:spacing w:before="360" w:after="120"/>
      <w:jc w:val="center"/>
    </w:pPr>
    <w:rPr>
      <w:i/>
    </w:rPr>
  </w:style>
  <w:style w:type="paragraph" w:customStyle="1" w:styleId="Normlny">
    <w:name w:val="_Normálny"/>
    <w:basedOn w:val="Normal"/>
    <w:rsid w:val="005B0AA3"/>
    <w:pPr>
      <w:autoSpaceDE/>
      <w:autoSpaceDN/>
      <w:jc w:val="left"/>
    </w:pPr>
    <w:rPr>
      <w:sz w:val="20"/>
    </w:rPr>
  </w:style>
  <w:style w:type="paragraph" w:customStyle="1" w:styleId="abc">
    <w:name w:val="abc"/>
    <w:basedOn w:val="Normal"/>
    <w:rsid w:val="005B0AA3"/>
    <w:pPr>
      <w:tabs>
        <w:tab w:val="left" w:pos="360"/>
        <w:tab w:val="left" w:pos="680"/>
      </w:tabs>
      <w:autoSpaceDE/>
      <w:autoSpaceDN/>
      <w:jc w:val="both"/>
    </w:pPr>
    <w:rPr>
      <w:sz w:val="20"/>
    </w:rPr>
  </w:style>
  <w:style w:type="paragraph" w:customStyle="1" w:styleId="Point2">
    <w:name w:val="Point 2"/>
    <w:basedOn w:val="Normal"/>
    <w:rsid w:val="00DB5BE4"/>
    <w:pPr>
      <w:spacing w:before="120" w:after="120"/>
      <w:ind w:left="1984" w:hanging="567"/>
      <w:jc w:val="both"/>
    </w:pPr>
  </w:style>
  <w:style w:type="paragraph" w:customStyle="1" w:styleId="ManualNumPar1CharChar">
    <w:name w:val="Manual NumPar 1 Char Char"/>
    <w:basedOn w:val="Normal"/>
    <w:next w:val="Normal"/>
    <w:link w:val="ManualNumPar1CharCharChar"/>
    <w:rsid w:val="00266A9E"/>
    <w:pPr>
      <w:spacing w:before="120" w:after="120"/>
      <w:ind w:left="850" w:hanging="850"/>
      <w:jc w:val="both"/>
    </w:pPr>
    <w:rPr>
      <w:szCs w:val="24"/>
      <w:lang w:val="en-GB"/>
    </w:rPr>
  </w:style>
  <w:style w:type="character" w:customStyle="1" w:styleId="ManualNumPar1CharCharChar">
    <w:name w:val="Manual NumPar 1 Char Char Char"/>
    <w:basedOn w:val="DefaultParagraphFont"/>
    <w:link w:val="ManualNumPar1CharChar"/>
    <w:rsid w:val="00266A9E"/>
    <w:rPr>
      <w:sz w:val="24"/>
      <w:szCs w:val="24"/>
      <w:rtl w:val="0"/>
      <w:lang w:val="en-GB" w:bidi="ar-SA"/>
    </w:rPr>
  </w:style>
  <w:style w:type="paragraph" w:customStyle="1" w:styleId="ManualNumPar1Char">
    <w:name w:val="Manual NumPar 1 Char"/>
    <w:basedOn w:val="Normal"/>
    <w:next w:val="Normal"/>
    <w:rsid w:val="00266A9E"/>
    <w:pPr>
      <w:spacing w:before="120" w:after="120"/>
      <w:ind w:left="850" w:hanging="850"/>
      <w:jc w:val="both"/>
    </w:pPr>
    <w:rPr>
      <w:szCs w:val="24"/>
      <w:lang w:val="en-GB"/>
    </w:rPr>
  </w:style>
  <w:style w:type="paragraph" w:customStyle="1" w:styleId="Normlnywebov8">
    <w:name w:val="Normálny (webový)8"/>
    <w:basedOn w:val="Normal"/>
    <w:rsid w:val="000755FF"/>
    <w:pPr>
      <w:spacing w:before="84" w:after="84"/>
      <w:ind w:left="251" w:right="251"/>
      <w:jc w:val="left"/>
    </w:pPr>
    <w:rPr>
      <w:sz w:val="22"/>
      <w:szCs w:val="22"/>
    </w:rPr>
  </w:style>
  <w:style w:type="paragraph" w:customStyle="1" w:styleId="a2">
    <w:name w:val="a)2"/>
    <w:basedOn w:val="Normal"/>
    <w:rsid w:val="000C6FFE"/>
    <w:pPr>
      <w:spacing w:line="360" w:lineRule="auto"/>
      <w:jc w:val="both"/>
    </w:pPr>
    <w:rPr>
      <w:lang w:val="cs-CZ"/>
    </w:rPr>
  </w:style>
  <w:style w:type="paragraph" w:customStyle="1" w:styleId="TABUKA-textsmernice">
    <w:name w:val="TABUĽKA-text smernice"/>
    <w:rsid w:val="00D1527F"/>
    <w:pPr>
      <w:widowControl w:val="0"/>
      <w:autoSpaceDE w:val="0"/>
      <w:autoSpaceDN w:val="0"/>
      <w:bidi w:val="0"/>
      <w:adjustRightInd w:val="0"/>
      <w:ind w:left="0" w:right="0"/>
      <w:jc w:val="both"/>
      <w:textAlignment w:val="auto"/>
    </w:pPr>
    <w:rPr>
      <w:sz w:val="20"/>
      <w:szCs w:val="24"/>
      <w:rtl w:val="0"/>
      <w:lang w:val="sk-SK" w:bidi="ar-SA"/>
    </w:rPr>
  </w:style>
  <w:style w:type="character" w:styleId="Emphasis">
    <w:name w:val="Emphasis"/>
    <w:basedOn w:val="DefaultParagraphFont"/>
    <w:uiPriority w:val="20"/>
    <w:qFormat/>
    <w:rsid w:val="00B325B3"/>
    <w:rPr>
      <w:i/>
      <w:iCs/>
      <w:rtl w:val="0"/>
    </w:rPr>
  </w:style>
  <w:style w:type="paragraph" w:customStyle="1" w:styleId="CharChar1">
    <w:name w:val="Char Char1"/>
    <w:basedOn w:val="Normal"/>
    <w:link w:val="DefaultParagraphFont"/>
    <w:rsid w:val="0084325C"/>
    <w:pPr>
      <w:spacing w:after="160" w:line="240" w:lineRule="exact"/>
      <w:jc w:val="left"/>
    </w:pPr>
    <w:rPr>
      <w:rFonts w:ascii="Tahoma" w:hAnsi="Tahoma"/>
      <w:sz w:val="20"/>
    </w:rPr>
  </w:style>
  <w:style w:type="paragraph" w:customStyle="1" w:styleId="CharChar10">
    <w:name w:val="Char Char1_0"/>
    <w:basedOn w:val="Normal"/>
    <w:rsid w:val="00B55918"/>
    <w:pPr>
      <w:spacing w:after="160" w:line="240" w:lineRule="exact"/>
      <w:jc w:val="left"/>
    </w:pPr>
    <w:rPr>
      <w:rFonts w:ascii="Tahoma" w:hAnsi="Tahoma" w:cs="Tahoma"/>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21905</Words>
  <Characters>124860</Characters>
  <Application>Microsoft Office Word</Application>
  <DocSecurity>0</DocSecurity>
  <Lines>0</Lines>
  <Paragraphs>0</Paragraphs>
  <ScaleCrop>false</ScaleCrop>
  <Company>Ministry of Finance</Company>
  <LinksUpToDate>false</LinksUpToDate>
  <CharactersWithSpaces>146473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JUDr.Zamecnikova Petra</dc:creator>
  <cp:lastModifiedBy>;</cp:lastModifiedBy>
  <cp:revision>2</cp:revision>
  <cp:lastPrinted>2004-03-08T11:46:00Z</cp:lastPrinted>
  <dcterms:created xsi:type="dcterms:W3CDTF">2007-09-14T11:44:00Z</dcterms:created>
  <dcterms:modified xsi:type="dcterms:W3CDTF">2007-09-14T11:44:00Z</dcterms:modified>
</cp:coreProperties>
</file>