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5543" w:rsidRPr="00AA1711">
      <w:pPr>
        <w:pStyle w:val="Title"/>
        <w:rPr>
          <w:rFonts w:ascii="Times New Roman" w:hAnsi="Times New Roman" w:cs="Times New Roman"/>
          <w:sz w:val="24"/>
        </w:rPr>
      </w:pPr>
      <w:r w:rsidRPr="00AA1711">
        <w:rPr>
          <w:rFonts w:ascii="Times New Roman" w:hAnsi="Times New Roman" w:cs="Times New Roman"/>
          <w:sz w:val="24"/>
        </w:rPr>
        <w:t>Dôvodová správa</w:t>
      </w:r>
    </w:p>
    <w:p w:rsidR="00D35543" w:rsidRPr="00AA1711">
      <w:pPr>
        <w:jc w:val="center"/>
        <w:rPr>
          <w:rFonts w:ascii="Times New Roman" w:hAnsi="Times New Roman" w:cs="Times New Roman"/>
          <w:b/>
          <w:bCs/>
        </w:rPr>
      </w:pPr>
    </w:p>
    <w:p w:rsidR="00D35543" w:rsidRPr="00AA1711">
      <w:pPr>
        <w:pStyle w:val="Subtitle"/>
        <w:rPr>
          <w:rFonts w:ascii="Times New Roman" w:hAnsi="Times New Roman" w:cs="Times New Roman"/>
          <w:sz w:val="24"/>
        </w:rPr>
      </w:pPr>
      <w:r w:rsidRPr="00AA1711">
        <w:rPr>
          <w:rFonts w:ascii="Times New Roman" w:hAnsi="Times New Roman" w:cs="Times New Roman"/>
          <w:sz w:val="24"/>
        </w:rPr>
        <w:t>Všeobecná časť</w:t>
      </w:r>
    </w:p>
    <w:p w:rsidR="00D35543" w:rsidRPr="00AA1711">
      <w:pPr>
        <w:jc w:val="center"/>
        <w:rPr>
          <w:rFonts w:ascii="Times New Roman" w:hAnsi="Times New Roman" w:cs="Times New Roman"/>
          <w:b/>
          <w:bCs/>
        </w:rPr>
      </w:pPr>
    </w:p>
    <w:p w:rsidR="00D35543" w:rsidRPr="00AA1711">
      <w:pPr>
        <w:jc w:val="center"/>
        <w:rPr>
          <w:rFonts w:ascii="Times New Roman" w:hAnsi="Times New Roman" w:cs="Times New Roman"/>
          <w:b/>
          <w:bCs/>
        </w:rPr>
      </w:pPr>
    </w:p>
    <w:p w:rsidR="00A3725A" w:rsidRPr="003059F3" w:rsidP="003059F3">
      <w:pPr>
        <w:pStyle w:val="Heading2"/>
        <w:ind w:firstLine="708"/>
        <w:jc w:val="both"/>
        <w:rPr>
          <w:rFonts w:ascii="Times New Roman" w:hAnsi="Times New Roman" w:cs="Times New Roman"/>
          <w:b w:val="0"/>
        </w:rPr>
      </w:pPr>
      <w:r w:rsidRPr="003059F3" w:rsidR="00D35543">
        <w:rPr>
          <w:rFonts w:ascii="Times New Roman" w:hAnsi="Times New Roman" w:cs="Times New Roman"/>
          <w:b w:val="0"/>
        </w:rPr>
        <w:t>Návrh nového zákona o</w:t>
      </w:r>
      <w:r w:rsidRPr="003059F3" w:rsidR="00A80466">
        <w:rPr>
          <w:rFonts w:ascii="Times New Roman" w:hAnsi="Times New Roman" w:cs="Times New Roman"/>
          <w:b w:val="0"/>
        </w:rPr>
        <w:t xml:space="preserve"> poisťovníctve </w:t>
      </w:r>
      <w:r w:rsidRPr="003059F3" w:rsidR="001C375E">
        <w:rPr>
          <w:rFonts w:ascii="Times New Roman" w:hAnsi="Times New Roman" w:cs="Times New Roman"/>
          <w:b w:val="0"/>
        </w:rPr>
        <w:t>a o zmene a doplnení niektorých zákonov</w:t>
      </w:r>
      <w:r w:rsidRPr="003059F3" w:rsidR="003059F3">
        <w:rPr>
          <w:rFonts w:ascii="Times New Roman" w:hAnsi="Times New Roman" w:cs="Times New Roman"/>
          <w:b w:val="0"/>
        </w:rPr>
        <w:t xml:space="preserve"> </w:t>
      </w:r>
      <w:r w:rsidRPr="003059F3">
        <w:rPr>
          <w:rFonts w:ascii="Times New Roman" w:hAnsi="Times New Roman" w:cs="Times New Roman"/>
          <w:b w:val="0"/>
        </w:rPr>
        <w:t>(ďalej len „zákon“)</w:t>
      </w:r>
      <w:r w:rsidRPr="003059F3" w:rsidR="009355F7">
        <w:rPr>
          <w:rFonts w:ascii="Times New Roman" w:hAnsi="Times New Roman" w:cs="Times New Roman"/>
          <w:b w:val="0"/>
        </w:rPr>
        <w:t xml:space="preserve"> vypracovalo Ministerstvo financií Slovenskej republiky v súlade s Plánom legislatívnych úloh vlády Slovenskej republiky na rok</w:t>
      </w:r>
      <w:r w:rsidRPr="003059F3" w:rsidR="009355F7">
        <w:rPr>
          <w:rFonts w:ascii="Times New Roman" w:hAnsi="Times New Roman" w:cs="Times New Roman"/>
          <w:b w:val="0"/>
        </w:rPr>
        <w:t xml:space="preserve"> 200</w:t>
      </w:r>
      <w:r w:rsidRPr="003059F3" w:rsidR="00A80466">
        <w:rPr>
          <w:rFonts w:ascii="Times New Roman" w:hAnsi="Times New Roman" w:cs="Times New Roman"/>
          <w:b w:val="0"/>
        </w:rPr>
        <w:t>7</w:t>
      </w:r>
      <w:r w:rsidRPr="003059F3" w:rsidR="009355F7">
        <w:rPr>
          <w:rFonts w:ascii="Times New Roman" w:hAnsi="Times New Roman" w:cs="Times New Roman"/>
          <w:b w:val="0"/>
        </w:rPr>
        <w:t>.</w:t>
      </w:r>
    </w:p>
    <w:p w:rsidR="00A3725A" w:rsidRPr="00AA1711">
      <w:pPr>
        <w:pStyle w:val="BodyText2"/>
        <w:tabs>
          <w:tab w:val="left" w:pos="0"/>
          <w:tab w:val="clear" w:pos="426"/>
        </w:tabs>
        <w:rPr>
          <w:rFonts w:ascii="Times New Roman" w:hAnsi="Times New Roman" w:cs="Times New Roman"/>
        </w:rPr>
      </w:pPr>
    </w:p>
    <w:p w:rsidR="004C0FA2" w:rsidRPr="00AA1711" w:rsidP="004C0FA2">
      <w:pPr>
        <w:pStyle w:val="Zkladntext"/>
        <w:jc w:val="both"/>
        <w:rPr>
          <w:rFonts w:ascii="Times New Roman" w:hAnsi="Times New Roman" w:cs="Times New Roman"/>
          <w:color w:val="auto"/>
          <w:szCs w:val="24"/>
        </w:rPr>
      </w:pPr>
      <w:r w:rsidRPr="00AA1711" w:rsidR="00D35543">
        <w:rPr>
          <w:rFonts w:ascii="Times New Roman" w:hAnsi="Times New Roman" w:cs="Times New Roman"/>
          <w:szCs w:val="24"/>
        </w:rPr>
        <w:tab/>
      </w:r>
      <w:r w:rsidRPr="00AA1711">
        <w:rPr>
          <w:rFonts w:ascii="Times New Roman" w:hAnsi="Times New Roman" w:cs="Times New Roman"/>
          <w:color w:val="auto"/>
          <w:szCs w:val="24"/>
        </w:rPr>
        <w:t>Základným právnym predpisom pre vykonávanie poisťovacej činnosti a zaisťovacej činnosti v poisťovníctve na území Slovenskej republiky je v súčasnej dobe zákon č. 95/2002 Z. z. o poisťovníctve a o zmene a doplnení niektorých zákonov v znení neskorších predpisov. Vývoj poistného trhu ako celku si však už vyžiadal vykonať niektoré čia</w:t>
      </w:r>
      <w:r w:rsidRPr="00AA1711" w:rsidR="00C2610E">
        <w:rPr>
          <w:rFonts w:ascii="Times New Roman" w:hAnsi="Times New Roman" w:cs="Times New Roman"/>
          <w:color w:val="auto"/>
          <w:szCs w:val="24"/>
        </w:rPr>
        <w:t xml:space="preserve">stkové úpravy tohto zákona </w:t>
      </w:r>
      <w:r w:rsidRPr="00AA1711">
        <w:rPr>
          <w:rFonts w:ascii="Times New Roman" w:hAnsi="Times New Roman" w:cs="Times New Roman"/>
          <w:color w:val="auto"/>
          <w:szCs w:val="24"/>
        </w:rPr>
        <w:t>formou nasledujúcich noviel: zákonom č. 430/2003 Z. z., zákonom č. 186/2004 Z. z., zákonom č. 580/2004 Z. z., zákonom č. 645/2004 Z. z., zákonom č. 747/2004 Z. z., zákonom č. 7/2005 Z. z., zákonom č. 340/2005 Z. z., zákonom č. 10/2006 Z. z., zákonom č. 262/2006 Z. z., zákonom č. 644/2006 Z. z., zákonom č. 110/2007 Z. z.</w:t>
      </w:r>
    </w:p>
    <w:p w:rsidR="00DE1C3B" w:rsidRPr="00AA1711" w:rsidP="004C0FA2">
      <w:pPr>
        <w:pStyle w:val="BodyText"/>
        <w:rPr>
          <w:rFonts w:ascii="Times New Roman" w:hAnsi="Times New Roman" w:cs="Times New Roman"/>
        </w:rPr>
      </w:pPr>
      <w:r w:rsidRPr="00AA1711">
        <w:rPr>
          <w:rFonts w:ascii="Times New Roman" w:hAnsi="Times New Roman" w:cs="Times New Roman"/>
        </w:rPr>
        <w:tab/>
      </w:r>
    </w:p>
    <w:p w:rsidR="004C0FA2" w:rsidRPr="00AA1711" w:rsidP="004C0FA2">
      <w:pPr>
        <w:autoSpaceDE/>
        <w:autoSpaceDN/>
        <w:jc w:val="both"/>
        <w:rPr>
          <w:rFonts w:ascii="Times New Roman" w:hAnsi="Times New Roman" w:cs="Times New Roman"/>
        </w:rPr>
      </w:pPr>
      <w:r w:rsidRPr="00AA1711">
        <w:rPr>
          <w:rFonts w:ascii="Times New Roman" w:hAnsi="Times New Roman" w:cs="Times New Roman"/>
        </w:rPr>
        <w:tab/>
        <w:t>Navrhovaný zákon má za cieľ najmä dosiahnutie plnej harmonizácie so smernicou Európskeho parlamentu a Rady 2005/68/ES zo 16. novembra 2005 o zaistení, ktorou sa menia a dopĺňajú smernice Rady 73/239/EHS, 92/49/EHS, ako aj smernice 98/78/ES a 2002/83/ES. Do návrhu zákona boli zapracované aj skúseností získané od vecne príslušných inštitúcií v súvislosti s uplatňovaním platného zákona o poisťovníctve v praxi.</w:t>
      </w:r>
      <w:r w:rsidRPr="00AA1711">
        <w:rPr>
          <w:rFonts w:ascii="Times New Roman" w:hAnsi="Times New Roman" w:cs="Times New Roman"/>
          <w:bCs/>
        </w:rPr>
        <w:tab/>
      </w:r>
    </w:p>
    <w:p w:rsidR="00DE1C3B" w:rsidRPr="00AA1711" w:rsidP="004C0FA2">
      <w:pPr>
        <w:pStyle w:val="BodyText"/>
        <w:rPr>
          <w:rFonts w:ascii="Times New Roman" w:hAnsi="Times New Roman" w:cs="Times New Roman"/>
        </w:rPr>
      </w:pPr>
    </w:p>
    <w:p w:rsidR="00DE1C3B" w:rsidRPr="00AA1711" w:rsidP="004C0FA2">
      <w:pPr>
        <w:pStyle w:val="BodyText"/>
        <w:rPr>
          <w:rFonts w:ascii="Times New Roman" w:hAnsi="Times New Roman" w:cs="Times New Roman"/>
        </w:rPr>
      </w:pPr>
      <w:r w:rsidRPr="00AA1711">
        <w:rPr>
          <w:rFonts w:ascii="Times New Roman" w:hAnsi="Times New Roman" w:cs="Times New Roman"/>
        </w:rPr>
        <w:tab/>
        <w:t>Zaistenie zohráva v komerčnom poisťovníctve mimoriadne dôležitú úlohu, nakoľko uľahčuje rozloženie poistných rizík a zaistných rizík na celosvetovej úrovni, čím sa zabezpečuje finančná stabilita poisťovní a zaisťovní, ako aj celého finančného trhu. Transpozíciou smernice 2005/68/ES o</w:t>
      </w:r>
      <w:r w:rsidRPr="00AA1711" w:rsidR="007917AA">
        <w:rPr>
          <w:rFonts w:ascii="Times New Roman" w:hAnsi="Times New Roman" w:cs="Times New Roman"/>
        </w:rPr>
        <w:t> </w:t>
      </w:r>
      <w:r w:rsidRPr="00AA1711">
        <w:rPr>
          <w:rFonts w:ascii="Times New Roman" w:hAnsi="Times New Roman" w:cs="Times New Roman"/>
        </w:rPr>
        <w:t>zaistení</w:t>
      </w:r>
      <w:r w:rsidRPr="00AA1711" w:rsidR="007917AA">
        <w:rPr>
          <w:rFonts w:ascii="Times New Roman" w:hAnsi="Times New Roman" w:cs="Times New Roman"/>
        </w:rPr>
        <w:t xml:space="preserve"> </w:t>
      </w:r>
      <w:r w:rsidRPr="00AA1711">
        <w:rPr>
          <w:rFonts w:ascii="Times New Roman" w:hAnsi="Times New Roman" w:cs="Times New Roman"/>
        </w:rPr>
        <w:t xml:space="preserve">sa odstraňujú obmedzenia slobodného poskytovania služieb v rámci členských štátov vzájomným uznávaním povolení, ktorým sa umožňuje vykonávať zaisťovaciu činnosť zaisťovňami </w:t>
      </w:r>
      <w:r w:rsidRPr="00AA1711" w:rsidR="007917AA">
        <w:rPr>
          <w:rFonts w:ascii="Times New Roman" w:hAnsi="Times New Roman" w:cs="Times New Roman"/>
        </w:rPr>
        <w:t xml:space="preserve">v rámci všetkých členských štátov </w:t>
      </w:r>
      <w:r w:rsidRPr="00AA1711">
        <w:rPr>
          <w:rFonts w:ascii="Times New Roman" w:hAnsi="Times New Roman" w:cs="Times New Roman"/>
        </w:rPr>
        <w:t>na základe jedného povolenia</w:t>
      </w:r>
      <w:r w:rsidRPr="00AA1711" w:rsidR="007917AA">
        <w:rPr>
          <w:rFonts w:ascii="Times New Roman" w:hAnsi="Times New Roman" w:cs="Times New Roman"/>
        </w:rPr>
        <w:t xml:space="preserve"> udeleného</w:t>
      </w:r>
      <w:r w:rsidRPr="00AA1711">
        <w:rPr>
          <w:rFonts w:ascii="Times New Roman" w:hAnsi="Times New Roman" w:cs="Times New Roman"/>
        </w:rPr>
        <w:t xml:space="preserve"> príslušný</w:t>
      </w:r>
      <w:r w:rsidRPr="00AA1711" w:rsidR="007917AA">
        <w:rPr>
          <w:rFonts w:ascii="Times New Roman" w:hAnsi="Times New Roman" w:cs="Times New Roman"/>
        </w:rPr>
        <w:t>m</w:t>
      </w:r>
      <w:r w:rsidRPr="00AA1711">
        <w:rPr>
          <w:rFonts w:ascii="Times New Roman" w:hAnsi="Times New Roman" w:cs="Times New Roman"/>
        </w:rPr>
        <w:t xml:space="preserve"> orgán</w:t>
      </w:r>
      <w:r w:rsidRPr="00AA1711" w:rsidR="007917AA">
        <w:rPr>
          <w:rFonts w:ascii="Times New Roman" w:hAnsi="Times New Roman" w:cs="Times New Roman"/>
        </w:rPr>
        <w:t>om</w:t>
      </w:r>
      <w:r w:rsidRPr="00AA1711">
        <w:rPr>
          <w:rFonts w:ascii="Times New Roman" w:hAnsi="Times New Roman" w:cs="Times New Roman"/>
        </w:rPr>
        <w:t xml:space="preserve"> dohľadu domovského členského štátu.</w:t>
      </w:r>
    </w:p>
    <w:p w:rsidR="00A772F6" w:rsidRPr="00AA1711" w:rsidP="004C0FA2">
      <w:pPr>
        <w:pStyle w:val="BodyText"/>
        <w:rPr>
          <w:rFonts w:ascii="Times New Roman" w:hAnsi="Times New Roman" w:cs="Times New Roman"/>
        </w:rPr>
      </w:pPr>
      <w:r w:rsidRPr="00AA1711" w:rsidR="004C0FA2">
        <w:rPr>
          <w:rFonts w:ascii="Times New Roman" w:hAnsi="Times New Roman" w:cs="Times New Roman"/>
        </w:rPr>
        <w:tab/>
      </w:r>
    </w:p>
    <w:p w:rsidR="004C0FA2" w:rsidRPr="00AA1711" w:rsidP="004C0FA2">
      <w:pPr>
        <w:pStyle w:val="BodyText"/>
        <w:rPr>
          <w:rFonts w:ascii="Times New Roman" w:hAnsi="Times New Roman" w:cs="Times New Roman"/>
        </w:rPr>
      </w:pPr>
      <w:r w:rsidRPr="00AA1711" w:rsidR="00A772F6">
        <w:rPr>
          <w:rFonts w:ascii="Times New Roman" w:hAnsi="Times New Roman" w:cs="Times New Roman"/>
        </w:rPr>
        <w:tab/>
      </w:r>
      <w:r w:rsidRPr="00AA1711">
        <w:rPr>
          <w:rFonts w:ascii="Times New Roman" w:hAnsi="Times New Roman" w:cs="Times New Roman"/>
        </w:rPr>
        <w:t xml:space="preserve">Vzhľadom na značný rozsah zmien, ktoré si transpozícia uvedenej smernice vyžiadala bolo potrebné, aby Ministerstvo financií Slovenskej republiky vypracovalo a predložilo do legislatívneho procesu nový zákon o poisťovníctve. Na základe uvedeného sú v návrhu zákona transponované aj nasledujúce smernice:  </w:t>
      </w:r>
    </w:p>
    <w:p w:rsidR="004C0FA2" w:rsidRPr="00AA1711" w:rsidP="004C0FA2">
      <w:pPr>
        <w:pStyle w:val="BodyText"/>
        <w:rPr>
          <w:rFonts w:ascii="Times New Roman" w:hAnsi="Times New Roman" w:cs="Times New Roman"/>
        </w:rPr>
      </w:pPr>
    </w:p>
    <w:p w:rsidR="004C0FA2" w:rsidRPr="00AA1711" w:rsidP="004C0FA2">
      <w:pPr>
        <w:pStyle w:val="Zkladntext"/>
        <w:jc w:val="both"/>
        <w:rPr>
          <w:rFonts w:ascii="Times New Roman" w:hAnsi="Times New Roman" w:cs="Times New Roman"/>
          <w:szCs w:val="24"/>
        </w:rPr>
      </w:pPr>
      <w:r w:rsidRPr="00AA1711" w:rsidR="00A772F6">
        <w:rPr>
          <w:rFonts w:ascii="Times New Roman" w:hAnsi="Times New Roman" w:cs="Times New Roman"/>
          <w:szCs w:val="24"/>
        </w:rPr>
        <w:t>1. smernica</w:t>
      </w:r>
      <w:r w:rsidRPr="00AA1711">
        <w:rPr>
          <w:rFonts w:ascii="Times New Roman" w:hAnsi="Times New Roman" w:cs="Times New Roman"/>
          <w:szCs w:val="24"/>
        </w:rPr>
        <w:t xml:space="preserve"> Rady 64/225/EHS z 25. februára 1964 o zrušení obmedzenia voľného pohybu osôb a voľného pohybu služieb v oblasti zaisťovania a retrocesií,</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2. smernic</w:t>
      </w:r>
      <w:r w:rsidRPr="00AA1711" w:rsidR="00A772F6">
        <w:rPr>
          <w:rFonts w:ascii="Times New Roman" w:hAnsi="Times New Roman" w:cs="Times New Roman"/>
          <w:szCs w:val="24"/>
        </w:rPr>
        <w:t>a</w:t>
      </w:r>
      <w:r w:rsidRPr="00AA1711">
        <w:rPr>
          <w:rFonts w:ascii="Times New Roman" w:hAnsi="Times New Roman" w:cs="Times New Roman"/>
          <w:szCs w:val="24"/>
        </w:rPr>
        <w:t xml:space="preserve"> Rady 73/239/EHS z 24. júla 1973 o koordinácii zákonov, nariadení a administratívnych ustanovení týkajúcich sa zakladania a činnosti v oblasti priameho poistenia s výnimkou životného poistenia,</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 xml:space="preserve">3. </w:t>
      </w:r>
      <w:hyperlink r:id="rId4" w:history="1">
        <w:r w:rsidRPr="00AA1711">
          <w:rPr>
            <w:rStyle w:val="Strong"/>
            <w:rFonts w:ascii="Times New Roman" w:hAnsi="Times New Roman" w:cs="Times New Roman"/>
            <w:b w:val="0"/>
            <w:color w:val="auto"/>
            <w:szCs w:val="24"/>
          </w:rPr>
          <w:t>s</w:t>
        </w:r>
      </w:hyperlink>
      <w:r w:rsidRPr="00AA1711">
        <w:rPr>
          <w:rFonts w:ascii="Times New Roman" w:hAnsi="Times New Roman" w:cs="Times New Roman"/>
          <w:color w:val="auto"/>
          <w:szCs w:val="24"/>
        </w:rPr>
        <w:t>mernic</w:t>
      </w:r>
      <w:r w:rsidRPr="00AA1711" w:rsidR="00A772F6">
        <w:rPr>
          <w:rFonts w:ascii="Times New Roman" w:hAnsi="Times New Roman" w:cs="Times New Roman"/>
          <w:color w:val="auto"/>
          <w:szCs w:val="24"/>
        </w:rPr>
        <w:t>a</w:t>
      </w:r>
      <w:r w:rsidRPr="00AA1711">
        <w:rPr>
          <w:rFonts w:ascii="Times New Roman" w:hAnsi="Times New Roman" w:cs="Times New Roman"/>
          <w:color w:val="auto"/>
          <w:szCs w:val="24"/>
        </w:rPr>
        <w:t xml:space="preserve"> Rady 73/240/EHS </w:t>
      </w:r>
      <w:r w:rsidRPr="00AA1711">
        <w:rPr>
          <w:rFonts w:ascii="Times New Roman" w:hAnsi="Times New Roman" w:cs="Times New Roman"/>
          <w:szCs w:val="24"/>
        </w:rPr>
        <w:t xml:space="preserve">24. júla 1973, ktorou sa rušia obmedzenia práva usadiť sa v oblasti priameho poistenia iného než životné poistenie, </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 xml:space="preserve">4. </w:t>
      </w:r>
      <w:hyperlink r:id="rId4" w:history="1">
        <w:r w:rsidRPr="00AA1711">
          <w:rPr>
            <w:rStyle w:val="Strong"/>
            <w:rFonts w:ascii="Times New Roman" w:hAnsi="Times New Roman" w:cs="Times New Roman"/>
            <w:b w:val="0"/>
            <w:color w:val="auto"/>
            <w:szCs w:val="24"/>
          </w:rPr>
          <w:t>smernic</w:t>
        </w:r>
      </w:hyperlink>
      <w:r w:rsidRPr="00AA1711" w:rsidR="00A772F6">
        <w:rPr>
          <w:rFonts w:ascii="Times New Roman" w:hAnsi="Times New Roman" w:cs="Times New Roman"/>
          <w:szCs w:val="24"/>
        </w:rPr>
        <w:t>a</w:t>
      </w:r>
      <w:r w:rsidRPr="00AA1711">
        <w:rPr>
          <w:rFonts w:ascii="Times New Roman" w:hAnsi="Times New Roman" w:cs="Times New Roman"/>
          <w:szCs w:val="24"/>
        </w:rPr>
        <w:t xml:space="preserve"> Rady 76/580/EHS z 29. júna 1976, ktorá mení a dopĺňa smernicu 73/239/EHS o koordinácii zákonov, iných predpisov a administratívnych opatrení týkajúcich sa zakladania a vykonávania činností priameho poistenia iného než životné poistenie,</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 xml:space="preserve">5. </w:t>
      </w:r>
      <w:hyperlink r:id="rId4" w:history="1">
        <w:r w:rsidRPr="00AA1711">
          <w:rPr>
            <w:rFonts w:ascii="Times New Roman" w:hAnsi="Times New Roman" w:cs="Times New Roman"/>
            <w:b/>
            <w:color w:val="auto"/>
            <w:szCs w:val="24"/>
          </w:rPr>
          <w:t>s</w:t>
        </w:r>
        <w:r w:rsidRPr="00AA1711">
          <w:rPr>
            <w:rStyle w:val="Strong"/>
            <w:rFonts w:ascii="Times New Roman" w:hAnsi="Times New Roman" w:cs="Times New Roman"/>
            <w:b w:val="0"/>
            <w:color w:val="auto"/>
            <w:szCs w:val="24"/>
          </w:rPr>
          <w:t>mernic</w:t>
        </w:r>
        <w:r w:rsidRPr="00AA1711" w:rsidR="00A772F6">
          <w:rPr>
            <w:rStyle w:val="Strong"/>
            <w:rFonts w:ascii="Times New Roman" w:hAnsi="Times New Roman" w:cs="Times New Roman"/>
            <w:b w:val="0"/>
            <w:color w:val="auto"/>
            <w:szCs w:val="24"/>
          </w:rPr>
          <w:t>a</w:t>
        </w:r>
        <w:r w:rsidRPr="00AA1711">
          <w:rPr>
            <w:rStyle w:val="Strong"/>
            <w:rFonts w:ascii="Times New Roman" w:hAnsi="Times New Roman" w:cs="Times New Roman"/>
            <w:b w:val="0"/>
            <w:color w:val="auto"/>
            <w:szCs w:val="24"/>
          </w:rPr>
          <w:t xml:space="preserve"> </w:t>
        </w:r>
        <w:r w:rsidRPr="00AA1711">
          <w:rPr>
            <w:rFonts w:ascii="Times New Roman" w:hAnsi="Times New Roman" w:cs="Times New Roman"/>
            <w:szCs w:val="24"/>
          </w:rPr>
          <w:t>Rady</w:t>
        </w:r>
        <w:r w:rsidRPr="00AA1711">
          <w:rPr>
            <w:rStyle w:val="Strong"/>
            <w:rFonts w:ascii="Times New Roman" w:hAnsi="Times New Roman" w:cs="Times New Roman"/>
            <w:b w:val="0"/>
            <w:color w:val="auto"/>
            <w:szCs w:val="24"/>
          </w:rPr>
          <w:t xml:space="preserve"> 78/473/EHS</w:t>
        </w:r>
        <w:r w:rsidRPr="00AA1711">
          <w:rPr>
            <w:rStyle w:val="Hyperlink"/>
            <w:rFonts w:ascii="Times New Roman" w:hAnsi="Times New Roman" w:cs="Times New Roman"/>
            <w:b/>
            <w:color w:val="auto"/>
            <w:szCs w:val="24"/>
            <w:u w:val="none"/>
          </w:rPr>
          <w:t xml:space="preserve"> </w:t>
        </w:r>
      </w:hyperlink>
      <w:r w:rsidRPr="00AA1711">
        <w:rPr>
          <w:rFonts w:ascii="Times New Roman" w:hAnsi="Times New Roman" w:cs="Times New Roman"/>
          <w:szCs w:val="24"/>
        </w:rPr>
        <w:t xml:space="preserve"> z  30. mája 1978 o koordinácii zákonov, iných predpisov a administratívnych opatrení vzťahujúcich sa na poistnú spoluúčasť v spoločenstve,</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6. s</w:t>
      </w:r>
      <w:r w:rsidRPr="00AA1711">
        <w:rPr>
          <w:rFonts w:ascii="Times New Roman" w:hAnsi="Times New Roman" w:cs="Times New Roman"/>
          <w:bCs/>
          <w:color w:val="auto"/>
          <w:szCs w:val="24"/>
        </w:rPr>
        <w:t>mernic</w:t>
      </w:r>
      <w:r w:rsidRPr="00AA1711" w:rsidR="00A772F6">
        <w:rPr>
          <w:rFonts w:ascii="Times New Roman" w:hAnsi="Times New Roman" w:cs="Times New Roman"/>
          <w:bCs/>
          <w:color w:val="auto"/>
          <w:szCs w:val="24"/>
        </w:rPr>
        <w:t>a</w:t>
      </w:r>
      <w:r w:rsidRPr="00AA1711">
        <w:rPr>
          <w:rFonts w:ascii="Times New Roman" w:hAnsi="Times New Roman" w:cs="Times New Roman"/>
          <w:color w:val="auto"/>
          <w:szCs w:val="24"/>
        </w:rPr>
        <w:t xml:space="preserve"> Rady </w:t>
      </w:r>
      <w:hyperlink r:id="rId4" w:history="1">
        <w:r w:rsidRPr="00AA1711">
          <w:rPr>
            <w:rStyle w:val="Hyperlink"/>
            <w:rFonts w:ascii="Times New Roman" w:hAnsi="Times New Roman" w:cs="Times New Roman"/>
            <w:bCs/>
            <w:color w:val="auto"/>
            <w:szCs w:val="24"/>
            <w:u w:val="none"/>
          </w:rPr>
          <w:t>84/641/EHS</w:t>
        </w:r>
        <w:r w:rsidRPr="00AA1711">
          <w:rPr>
            <w:rStyle w:val="Hyperlink"/>
            <w:rFonts w:ascii="Times New Roman" w:hAnsi="Times New Roman" w:cs="Times New Roman"/>
            <w:color w:val="auto"/>
            <w:szCs w:val="24"/>
            <w:u w:val="none"/>
          </w:rPr>
          <w:t xml:space="preserve"> </w:t>
        </w:r>
      </w:hyperlink>
      <w:r w:rsidRPr="00AA1711">
        <w:rPr>
          <w:rFonts w:ascii="Times New Roman" w:hAnsi="Times New Roman" w:cs="Times New Roman"/>
          <w:szCs w:val="24"/>
        </w:rPr>
        <w:t xml:space="preserve">z 10. decembra 1984, ktorá predovšetkým v oblasti poskytovania pomoci turistom upravuje a dopĺňa prvú smernicu (73/239/EHS) o koordináci zákonov, nariadení a vykonávacích predpisov vzťahujúcich sa na podnikanie v oblasti priameho poistenia mimo životného poistenia, </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 xml:space="preserve">7. </w:t>
      </w:r>
      <w:hyperlink r:id="rId4" w:history="1">
        <w:r w:rsidRPr="00AA1711">
          <w:rPr>
            <w:rStyle w:val="Strong"/>
            <w:rFonts w:ascii="Times New Roman" w:hAnsi="Times New Roman" w:cs="Times New Roman"/>
            <w:b w:val="0"/>
            <w:color w:val="auto"/>
            <w:szCs w:val="24"/>
          </w:rPr>
          <w:t>smernic</w:t>
        </w:r>
        <w:r w:rsidRPr="00AA1711" w:rsidR="00A772F6">
          <w:rPr>
            <w:rStyle w:val="Strong"/>
            <w:rFonts w:ascii="Times New Roman" w:hAnsi="Times New Roman" w:cs="Times New Roman"/>
            <w:b w:val="0"/>
            <w:color w:val="auto"/>
            <w:szCs w:val="24"/>
          </w:rPr>
          <w:t>a</w:t>
        </w:r>
        <w:r w:rsidRPr="00AA1711">
          <w:rPr>
            <w:rStyle w:val="Strong"/>
            <w:rFonts w:ascii="Times New Roman" w:hAnsi="Times New Roman" w:cs="Times New Roman"/>
            <w:b w:val="0"/>
            <w:color w:val="auto"/>
            <w:szCs w:val="24"/>
          </w:rPr>
          <w:t xml:space="preserve"> 87/343/EHS</w:t>
        </w:r>
        <w:r w:rsidRPr="00AA1711">
          <w:rPr>
            <w:rStyle w:val="Hyperlink"/>
            <w:rFonts w:ascii="Times New Roman" w:hAnsi="Times New Roman" w:cs="Times New Roman"/>
            <w:b/>
            <w:color w:val="auto"/>
            <w:szCs w:val="24"/>
            <w:u w:val="none"/>
          </w:rPr>
          <w:t xml:space="preserve"> </w:t>
        </w:r>
      </w:hyperlink>
      <w:r w:rsidRPr="00AA1711">
        <w:rPr>
          <w:rFonts w:ascii="Times New Roman" w:hAnsi="Times New Roman" w:cs="Times New Roman"/>
          <w:szCs w:val="24"/>
        </w:rPr>
        <w:t xml:space="preserve">Rady z 22. júna 1987, ktorou sa mení a dopĺňa úverové poistenie a zárukové poistenie, prvá smernica 73/239/EHS o koordinácii zákonov, iných predpisov a administratívnych opatrení týkajúcich sa začatia a vykonávania činnosti priameho poistenia iného ako životné poistenie, </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 xml:space="preserve">8. </w:t>
      </w:r>
      <w:hyperlink r:id="rId4" w:history="1">
        <w:r w:rsidRPr="00AA1711">
          <w:rPr>
            <w:rStyle w:val="Strong"/>
            <w:rFonts w:ascii="Times New Roman" w:hAnsi="Times New Roman" w:cs="Times New Roman"/>
            <w:b w:val="0"/>
            <w:color w:val="auto"/>
            <w:szCs w:val="24"/>
          </w:rPr>
          <w:t>smernica 87/344/EHS</w:t>
        </w:r>
        <w:r w:rsidRPr="00AA1711">
          <w:rPr>
            <w:rStyle w:val="Hyperlink"/>
            <w:rFonts w:ascii="Times New Roman" w:hAnsi="Times New Roman" w:cs="Times New Roman"/>
            <w:b/>
            <w:color w:val="auto"/>
            <w:szCs w:val="24"/>
            <w:u w:val="none"/>
          </w:rPr>
          <w:t xml:space="preserve"> </w:t>
        </w:r>
      </w:hyperlink>
      <w:r w:rsidRPr="00AA1711">
        <w:rPr>
          <w:rFonts w:ascii="Times New Roman" w:hAnsi="Times New Roman" w:cs="Times New Roman"/>
          <w:szCs w:val="24"/>
        </w:rPr>
        <w:t>Rady z 22. júna 1987 o koordinácii zákonov, nariadení a administratívnych ustanovení týkajú</w:t>
      </w:r>
      <w:r w:rsidRPr="00AA1711">
        <w:rPr>
          <w:rFonts w:ascii="Times New Roman" w:hAnsi="Times New Roman" w:cs="Times New Roman"/>
          <w:szCs w:val="24"/>
        </w:rPr>
        <w:t>cich sa poistenia právnej ochrany,</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9. smernic</w:t>
      </w:r>
      <w:r w:rsidRPr="00AA1711" w:rsidR="00A772F6">
        <w:rPr>
          <w:rFonts w:ascii="Times New Roman" w:hAnsi="Times New Roman" w:cs="Times New Roman"/>
          <w:szCs w:val="24"/>
        </w:rPr>
        <w:t>a</w:t>
      </w:r>
      <w:r w:rsidRPr="00AA1711">
        <w:rPr>
          <w:rFonts w:ascii="Times New Roman" w:hAnsi="Times New Roman" w:cs="Times New Roman"/>
          <w:szCs w:val="24"/>
        </w:rPr>
        <w:t xml:space="preserve"> Rady 88/357/EHS z 22. júna 1988 o koordinácii zákonov, nariadení a administratívnych ustanovení týkajúcich sa priameho neživotného poistenia, určujúcu opatrenia k umožneniu slobodného poskytovania služieb a doplňujúca smernicu 73/239/EHS,</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szCs w:val="24"/>
        </w:rPr>
        <w:t>10. smernic</w:t>
      </w:r>
      <w:r w:rsidRPr="00AA1711" w:rsidR="00A772F6">
        <w:rPr>
          <w:rFonts w:ascii="Times New Roman" w:hAnsi="Times New Roman" w:cs="Times New Roman"/>
          <w:szCs w:val="24"/>
        </w:rPr>
        <w:t>a</w:t>
      </w:r>
      <w:r w:rsidRPr="00AA1711">
        <w:rPr>
          <w:rFonts w:ascii="Times New Roman" w:hAnsi="Times New Roman" w:cs="Times New Roman"/>
          <w:szCs w:val="24"/>
        </w:rPr>
        <w:t xml:space="preserve"> Rady 90/618/EHS z 8. novembra 1990, ktorou sa mení a dopĺňa smernica 73/239/EHS a smernica 88/357/EHS o koordinácii zákonov, iných právnych predpisov a správnych opatrení týkajúcich sa priameho poistenia s výnimkou životného poistenia, najmä pokiaľ ide o poistenie zodpovednosti za škodu spôsobenú prevádzkou motorových vozidiel,</w:t>
      </w:r>
    </w:p>
    <w:p w:rsidR="004C0FA2" w:rsidRPr="00AA1711" w:rsidP="004C0FA2">
      <w:pPr>
        <w:jc w:val="both"/>
        <w:rPr>
          <w:rFonts w:ascii="Times New Roman" w:hAnsi="Times New Roman" w:cs="Times New Roman"/>
        </w:rPr>
      </w:pPr>
      <w:r w:rsidRPr="00AA1711">
        <w:rPr>
          <w:rFonts w:ascii="Times New Roman" w:hAnsi="Times New Roman" w:cs="Times New Roman"/>
        </w:rPr>
        <w:t>11. s</w:t>
      </w:r>
      <w:hyperlink r:id="rId4" w:history="1">
        <w:r w:rsidRPr="00AA1711">
          <w:rPr>
            <w:rStyle w:val="Strong"/>
            <w:rFonts w:ascii="Times New Roman" w:hAnsi="Times New Roman" w:cs="Times New Roman"/>
            <w:b w:val="0"/>
          </w:rPr>
          <w:t>mernic</w:t>
        </w:r>
        <w:r w:rsidRPr="00AA1711" w:rsidR="00A772F6">
          <w:rPr>
            <w:rStyle w:val="Strong"/>
            <w:rFonts w:ascii="Times New Roman" w:hAnsi="Times New Roman" w:cs="Times New Roman"/>
            <w:b w:val="0"/>
          </w:rPr>
          <w:t>a</w:t>
        </w:r>
        <w:r w:rsidRPr="00AA1711">
          <w:rPr>
            <w:rStyle w:val="Strong"/>
            <w:rFonts w:ascii="Times New Roman" w:hAnsi="Times New Roman" w:cs="Times New Roman"/>
            <w:b w:val="0"/>
          </w:rPr>
          <w:t xml:space="preserve"> 91/371/EHS</w:t>
        </w:r>
        <w:r w:rsidRPr="00AA1711">
          <w:rPr>
            <w:rStyle w:val="Hyperlink"/>
            <w:rFonts w:ascii="Times New Roman" w:hAnsi="Times New Roman" w:cs="Times New Roman"/>
            <w:b/>
            <w:u w:val="none"/>
          </w:rPr>
          <w:t xml:space="preserve"> </w:t>
        </w:r>
      </w:hyperlink>
      <w:r w:rsidRPr="00AA1711">
        <w:rPr>
          <w:rFonts w:ascii="Times New Roman" w:hAnsi="Times New Roman" w:cs="Times New Roman"/>
        </w:rPr>
        <w:t>Rady z 20. júna 1991 o implementácii dohody medzi Európskym hospodárskym spoločenstvom a Švajčiarskou konfederáciou týkajúcej sa priameho poistenia iného než životné poistenie,</w:t>
      </w:r>
    </w:p>
    <w:p w:rsidR="004C0FA2" w:rsidRPr="00AA1711" w:rsidP="004C0FA2">
      <w:pPr>
        <w:jc w:val="both"/>
        <w:rPr>
          <w:rFonts w:ascii="Times New Roman" w:hAnsi="Times New Roman" w:cs="Times New Roman"/>
        </w:rPr>
      </w:pPr>
      <w:r w:rsidRPr="00AA1711">
        <w:rPr>
          <w:rFonts w:ascii="Times New Roman" w:hAnsi="Times New Roman" w:cs="Times New Roman"/>
        </w:rPr>
        <w:t xml:space="preserve">12. </w:t>
      </w:r>
      <w:hyperlink r:id="rId4" w:history="1">
        <w:r w:rsidRPr="00AA1711">
          <w:rPr>
            <w:rStyle w:val="Strong"/>
            <w:rFonts w:ascii="Times New Roman" w:hAnsi="Times New Roman" w:cs="Times New Roman"/>
            <w:b w:val="0"/>
          </w:rPr>
          <w:t>s</w:t>
        </w:r>
      </w:hyperlink>
      <w:r w:rsidRPr="00AA1711">
        <w:rPr>
          <w:rFonts w:ascii="Times New Roman" w:hAnsi="Times New Roman" w:cs="Times New Roman"/>
        </w:rPr>
        <w:t>mernic</w:t>
      </w:r>
      <w:r w:rsidRPr="00AA1711" w:rsidR="00A772F6">
        <w:rPr>
          <w:rFonts w:ascii="Times New Roman" w:hAnsi="Times New Roman" w:cs="Times New Roman"/>
        </w:rPr>
        <w:t>a</w:t>
      </w:r>
      <w:r w:rsidRPr="00AA1711">
        <w:rPr>
          <w:rFonts w:ascii="Times New Roman" w:hAnsi="Times New Roman" w:cs="Times New Roman"/>
        </w:rPr>
        <w:t xml:space="preserve"> Rady</w:t>
      </w:r>
      <w:r w:rsidRPr="00AA1711" w:rsidR="00C2610E">
        <w:rPr>
          <w:rFonts w:ascii="Times New Roman" w:hAnsi="Times New Roman" w:cs="Times New Roman"/>
        </w:rPr>
        <w:t xml:space="preserve"> 91/675/EHS</w:t>
      </w:r>
      <w:r w:rsidRPr="00AA1711">
        <w:rPr>
          <w:rFonts w:ascii="Times New Roman" w:hAnsi="Times New Roman" w:cs="Times New Roman"/>
        </w:rPr>
        <w:t xml:space="preserve"> z 19. decembra 1991 zriaďujúca Poistný výbor,</w:t>
      </w:r>
    </w:p>
    <w:p w:rsidR="004C0FA2" w:rsidRPr="00AA1711" w:rsidP="004C0FA2">
      <w:pPr>
        <w:pStyle w:val="Zkladntext"/>
        <w:ind w:hanging="180"/>
        <w:jc w:val="both"/>
        <w:rPr>
          <w:rFonts w:ascii="Times New Roman" w:hAnsi="Times New Roman" w:cs="Times New Roman"/>
          <w:color w:val="auto"/>
          <w:szCs w:val="24"/>
        </w:rPr>
      </w:pPr>
      <w:r w:rsidRPr="00AA1711">
        <w:rPr>
          <w:rFonts w:ascii="Times New Roman" w:hAnsi="Times New Roman" w:cs="Times New Roman"/>
          <w:color w:val="auto"/>
          <w:szCs w:val="24"/>
        </w:rPr>
        <w:t xml:space="preserve">   13</w:t>
      </w:r>
      <w:r w:rsidRPr="00AA1711">
        <w:rPr>
          <w:rFonts w:ascii="Times New Roman" w:hAnsi="Times New Roman" w:cs="Times New Roman"/>
          <w:color w:val="auto"/>
          <w:szCs w:val="24"/>
        </w:rPr>
        <w:t>. smernic</w:t>
      </w:r>
      <w:r w:rsidRPr="00AA1711" w:rsidR="00A772F6">
        <w:rPr>
          <w:rFonts w:ascii="Times New Roman" w:hAnsi="Times New Roman" w:cs="Times New Roman"/>
          <w:color w:val="auto"/>
          <w:szCs w:val="24"/>
        </w:rPr>
        <w:t>a</w:t>
      </w:r>
      <w:r w:rsidRPr="00AA1711">
        <w:rPr>
          <w:rFonts w:ascii="Times New Roman" w:hAnsi="Times New Roman" w:cs="Times New Roman"/>
          <w:color w:val="auto"/>
          <w:szCs w:val="24"/>
        </w:rPr>
        <w:t xml:space="preserve"> Rady 92/49/EHS z 18. júna 1992 o koordinácii zákonov, nariadení a administratívnych ustanovení týkajúcich sa podnikania v oblasti priameho poistenia s výnimkou životného poistenia,</w:t>
      </w:r>
    </w:p>
    <w:p w:rsidR="004C0FA2" w:rsidRPr="00AA1711" w:rsidP="004C0FA2">
      <w:pPr>
        <w:jc w:val="both"/>
        <w:rPr>
          <w:rFonts w:ascii="Times New Roman" w:hAnsi="Times New Roman" w:cs="Times New Roman"/>
        </w:rPr>
      </w:pPr>
      <w:r w:rsidRPr="00AA1711">
        <w:rPr>
          <w:rFonts w:ascii="Times New Roman" w:hAnsi="Times New Roman" w:cs="Times New Roman"/>
        </w:rPr>
        <w:t>14. s</w:t>
      </w:r>
      <w:r w:rsidRPr="00AA1711">
        <w:rPr>
          <w:rFonts w:ascii="Times New Roman" w:hAnsi="Times New Roman" w:cs="Times New Roman"/>
          <w:bCs/>
        </w:rPr>
        <w:t>mernic</w:t>
      </w:r>
      <w:r w:rsidRPr="00AA1711" w:rsidR="00A772F6">
        <w:rPr>
          <w:rFonts w:ascii="Times New Roman" w:hAnsi="Times New Roman" w:cs="Times New Roman"/>
          <w:bCs/>
        </w:rPr>
        <w:t>a</w:t>
      </w:r>
      <w:r w:rsidRPr="00AA1711">
        <w:rPr>
          <w:rFonts w:ascii="Times New Roman" w:hAnsi="Times New Roman" w:cs="Times New Roman"/>
        </w:rPr>
        <w:t xml:space="preserve"> Európskeho </w:t>
      </w:r>
      <w:r w:rsidRPr="00AA1711">
        <w:rPr>
          <w:rFonts w:ascii="Times New Roman" w:hAnsi="Times New Roman" w:cs="Times New Roman"/>
        </w:rPr>
        <w:t xml:space="preserve">parlamentu a Rady </w:t>
      </w:r>
      <w:hyperlink r:id="rId4" w:history="1">
        <w:r w:rsidRPr="00AA1711">
          <w:rPr>
            <w:rStyle w:val="Hyperlink"/>
            <w:rFonts w:ascii="Times New Roman" w:hAnsi="Times New Roman" w:cs="Times New Roman"/>
            <w:bCs/>
            <w:color w:val="auto"/>
            <w:u w:val="none"/>
          </w:rPr>
          <w:t>95/26/ES</w:t>
        </w:r>
        <w:r w:rsidRPr="00AA1711">
          <w:rPr>
            <w:rStyle w:val="Hyperlink"/>
            <w:rFonts w:ascii="Times New Roman" w:hAnsi="Times New Roman" w:cs="Times New Roman"/>
            <w:color w:val="auto"/>
            <w:u w:val="none"/>
          </w:rPr>
          <w:t xml:space="preserve"> </w:t>
        </w:r>
      </w:hyperlink>
      <w:r w:rsidRPr="00AA1711">
        <w:rPr>
          <w:rFonts w:ascii="Times New Roman" w:hAnsi="Times New Roman" w:cs="Times New Roman"/>
        </w:rPr>
        <w:t xml:space="preserve">z 29. júna 1995, ktorá mení a dopĺňa smernice 77/780/EHS a 89/646/EHS v oblasti úverových inštitúcií, smernice 73/239/EHS a 92/49/EHS v oblasti neživotného poistenia, smernice 79/267/EHS a 92/96/EHS v oblasti životného poistenia, smernicu 93/22/EHS v oblasti investičných spoločností a smernicu 85/611/EHS v oblasti podnikov (spoločností) pre spoločné investovanie do prevoditeľných cenných papierov (ďalej ako UCITS), s ohľadom na upevnenie primeraného dozoru, </w:t>
      </w:r>
    </w:p>
    <w:p w:rsidR="004C0FA2" w:rsidRPr="00AA1711" w:rsidP="004C0FA2">
      <w:pPr>
        <w:pStyle w:val="Zkladntext"/>
        <w:jc w:val="both"/>
        <w:rPr>
          <w:rFonts w:ascii="Times New Roman" w:hAnsi="Times New Roman" w:cs="Times New Roman"/>
          <w:color w:val="auto"/>
          <w:szCs w:val="24"/>
        </w:rPr>
      </w:pPr>
      <w:r w:rsidRPr="00AA1711">
        <w:rPr>
          <w:rFonts w:ascii="Times New Roman" w:hAnsi="Times New Roman" w:cs="Times New Roman"/>
          <w:color w:val="auto"/>
          <w:szCs w:val="24"/>
        </w:rPr>
        <w:t>15. smernic</w:t>
      </w:r>
      <w:r w:rsidRPr="00AA1711" w:rsidR="00A772F6">
        <w:rPr>
          <w:rFonts w:ascii="Times New Roman" w:hAnsi="Times New Roman" w:cs="Times New Roman"/>
          <w:color w:val="auto"/>
          <w:szCs w:val="24"/>
        </w:rPr>
        <w:t>a</w:t>
      </w:r>
      <w:r w:rsidRPr="00AA1711">
        <w:rPr>
          <w:rFonts w:ascii="Times New Roman" w:hAnsi="Times New Roman" w:cs="Times New Roman"/>
          <w:color w:val="auto"/>
          <w:szCs w:val="24"/>
        </w:rPr>
        <w:t xml:space="preserve"> Európskeho parlamentu a Rady 98/78/ES z 27. októbra 1998 o doplnkovom dozore poisťovacích spoločností v skupine poisťovní,</w:t>
      </w:r>
    </w:p>
    <w:p w:rsidR="004C0FA2" w:rsidRPr="00AA1711" w:rsidP="004C0FA2">
      <w:pPr>
        <w:pStyle w:val="Zkladntext"/>
        <w:jc w:val="both"/>
        <w:rPr>
          <w:rFonts w:ascii="Times New Roman" w:hAnsi="Times New Roman" w:cs="Times New Roman"/>
          <w:color w:val="auto"/>
          <w:szCs w:val="24"/>
        </w:rPr>
      </w:pPr>
      <w:r w:rsidRPr="00AA1711">
        <w:rPr>
          <w:rFonts w:ascii="Times New Roman" w:hAnsi="Times New Roman" w:cs="Times New Roman"/>
          <w:color w:val="auto"/>
          <w:szCs w:val="24"/>
        </w:rPr>
        <w:t>16. smernic</w:t>
      </w:r>
      <w:r w:rsidRPr="00AA1711" w:rsidR="00A772F6">
        <w:rPr>
          <w:rFonts w:ascii="Times New Roman" w:hAnsi="Times New Roman" w:cs="Times New Roman"/>
          <w:color w:val="auto"/>
          <w:szCs w:val="24"/>
        </w:rPr>
        <w:t>a</w:t>
      </w:r>
      <w:r w:rsidRPr="00AA1711">
        <w:rPr>
          <w:rFonts w:ascii="Times New Roman" w:hAnsi="Times New Roman" w:cs="Times New Roman"/>
          <w:color w:val="auto"/>
          <w:szCs w:val="24"/>
        </w:rPr>
        <w:t xml:space="preserve"> 2000/64/ES Európskeho parlamentu a Rady zo 7. novembra 2000, ktorou sa menia a dopĺňajú smernice Rady 85/611/EHS, 92/49/EHS, 92/96/EHS a 93/22/EHS, pokiaľ ide o výmenu informácií s tretími krajinami,</w:t>
      </w:r>
    </w:p>
    <w:p w:rsidR="004C0FA2" w:rsidRPr="00AA1711" w:rsidP="004C0FA2">
      <w:pPr>
        <w:pStyle w:val="Zkladntext"/>
        <w:jc w:val="both"/>
        <w:rPr>
          <w:rFonts w:ascii="Times New Roman" w:hAnsi="Times New Roman" w:cs="Times New Roman"/>
          <w:color w:val="auto"/>
          <w:szCs w:val="24"/>
        </w:rPr>
      </w:pPr>
      <w:r w:rsidRPr="00AA1711">
        <w:rPr>
          <w:rFonts w:ascii="Times New Roman" w:hAnsi="Times New Roman" w:cs="Times New Roman"/>
          <w:color w:val="auto"/>
          <w:szCs w:val="24"/>
        </w:rPr>
        <w:t>17. smernic</w:t>
      </w:r>
      <w:r w:rsidRPr="00AA1711" w:rsidR="00A772F6">
        <w:rPr>
          <w:rFonts w:ascii="Times New Roman" w:hAnsi="Times New Roman" w:cs="Times New Roman"/>
          <w:color w:val="auto"/>
          <w:szCs w:val="24"/>
        </w:rPr>
        <w:t>a</w:t>
      </w:r>
      <w:r w:rsidRPr="00AA1711">
        <w:rPr>
          <w:rFonts w:ascii="Times New Roman" w:hAnsi="Times New Roman" w:cs="Times New Roman"/>
          <w:color w:val="auto"/>
          <w:szCs w:val="24"/>
        </w:rPr>
        <w:t xml:space="preserve"> Európskeho parlamentu a Rady 2001/17/ES z 19. marca 2001 o reorganizácii a likvidácii poisťovacích spoločností,</w:t>
      </w:r>
    </w:p>
    <w:p w:rsidR="004C0FA2" w:rsidRPr="00AA1711" w:rsidP="004C0FA2">
      <w:pPr>
        <w:autoSpaceDE/>
        <w:autoSpaceDN/>
        <w:jc w:val="both"/>
        <w:rPr>
          <w:rFonts w:ascii="Times New Roman" w:hAnsi="Times New Roman" w:cs="Times New Roman"/>
          <w:bCs/>
        </w:rPr>
      </w:pPr>
      <w:r w:rsidRPr="00AA1711">
        <w:rPr>
          <w:rFonts w:ascii="Times New Roman" w:hAnsi="Times New Roman" w:cs="Times New Roman"/>
        </w:rPr>
        <w:t xml:space="preserve">18. </w:t>
      </w:r>
      <w:r w:rsidRPr="00AA1711">
        <w:rPr>
          <w:rFonts w:ascii="Times New Roman" w:hAnsi="Times New Roman" w:cs="Times New Roman"/>
          <w:bCs/>
        </w:rPr>
        <w:t>smernic</w:t>
      </w:r>
      <w:r w:rsidRPr="00AA1711" w:rsidR="00A772F6">
        <w:rPr>
          <w:rFonts w:ascii="Times New Roman" w:hAnsi="Times New Roman" w:cs="Times New Roman"/>
          <w:bCs/>
        </w:rPr>
        <w:t>a</w:t>
      </w:r>
      <w:r w:rsidRPr="00AA1711">
        <w:rPr>
          <w:rFonts w:ascii="Times New Roman" w:hAnsi="Times New Roman" w:cs="Times New Roman"/>
          <w:bCs/>
        </w:rPr>
        <w:t xml:space="preserve"> 2002/13/ES </w:t>
      </w:r>
      <w:r w:rsidRPr="00AA1711">
        <w:rPr>
          <w:rFonts w:ascii="Times New Roman" w:hAnsi="Times New Roman" w:cs="Times New Roman"/>
        </w:rPr>
        <w:t>Európskeho parlamentu a Rady</w:t>
      </w:r>
      <w:r w:rsidRPr="00AA1711">
        <w:rPr>
          <w:rFonts w:ascii="Times New Roman" w:hAnsi="Times New Roman" w:cs="Times New Roman"/>
          <w:bCs/>
        </w:rPr>
        <w:t xml:space="preserve"> z 5. marca 2002, ktorou sa mení a dopĺňa smernica Rady 73/239/EHS, pokiaľ ide o požiadavky na mieru solventnosti pre poisťovne v oblasti neživotného poistenia,</w:t>
      </w:r>
    </w:p>
    <w:p w:rsidR="004C0FA2" w:rsidRPr="00AA1711" w:rsidP="004C0FA2">
      <w:pPr>
        <w:pStyle w:val="Zkladntext"/>
        <w:jc w:val="both"/>
        <w:rPr>
          <w:rFonts w:ascii="Times New Roman" w:hAnsi="Times New Roman" w:cs="Times New Roman"/>
          <w:color w:val="auto"/>
          <w:szCs w:val="24"/>
        </w:rPr>
      </w:pPr>
      <w:r w:rsidRPr="00AA1711">
        <w:rPr>
          <w:rFonts w:ascii="Times New Roman" w:hAnsi="Times New Roman" w:cs="Times New Roman"/>
          <w:color w:val="auto"/>
          <w:szCs w:val="24"/>
        </w:rPr>
        <w:t>19. smernic</w:t>
      </w:r>
      <w:r w:rsidRPr="00AA1711" w:rsidR="00A772F6">
        <w:rPr>
          <w:rFonts w:ascii="Times New Roman" w:hAnsi="Times New Roman" w:cs="Times New Roman"/>
          <w:color w:val="auto"/>
          <w:szCs w:val="24"/>
        </w:rPr>
        <w:t>a</w:t>
      </w:r>
      <w:r w:rsidRPr="00AA1711">
        <w:rPr>
          <w:rFonts w:ascii="Times New Roman" w:hAnsi="Times New Roman" w:cs="Times New Roman"/>
          <w:color w:val="auto"/>
          <w:szCs w:val="24"/>
        </w:rPr>
        <w:t xml:space="preserve"> Európskeho parlamentu a Rady 2002/83/ES z 5. novembra 2002 týkajúca sa životného poistenia,</w:t>
      </w:r>
    </w:p>
    <w:p w:rsidR="004C0FA2" w:rsidRPr="00AA1711" w:rsidP="004C0FA2">
      <w:pPr>
        <w:pStyle w:val="Zkladntext"/>
        <w:jc w:val="both"/>
        <w:rPr>
          <w:rFonts w:ascii="Times New Roman" w:hAnsi="Times New Roman" w:cs="Times New Roman"/>
          <w:szCs w:val="24"/>
        </w:rPr>
      </w:pPr>
      <w:r w:rsidRPr="00AA1711">
        <w:rPr>
          <w:rFonts w:ascii="Times New Roman" w:hAnsi="Times New Roman" w:cs="Times New Roman"/>
          <w:color w:val="auto"/>
          <w:szCs w:val="24"/>
        </w:rPr>
        <w:t xml:space="preserve">20. </w:t>
      </w:r>
      <w:hyperlink r:id="rId5" w:history="1">
        <w:r w:rsidRPr="00AA1711">
          <w:rPr>
            <w:rStyle w:val="Strong"/>
            <w:rFonts w:ascii="Times New Roman" w:hAnsi="Times New Roman" w:cs="Times New Roman"/>
            <w:b w:val="0"/>
            <w:color w:val="auto"/>
            <w:szCs w:val="24"/>
          </w:rPr>
          <w:t>smernic</w:t>
        </w:r>
      </w:hyperlink>
      <w:r w:rsidRPr="00AA1711" w:rsidR="00A772F6">
        <w:rPr>
          <w:rFonts w:ascii="Times New Roman" w:hAnsi="Times New Roman" w:cs="Times New Roman"/>
          <w:color w:val="auto"/>
          <w:szCs w:val="24"/>
        </w:rPr>
        <w:t>a</w:t>
      </w:r>
      <w:r w:rsidRPr="00AA1711">
        <w:rPr>
          <w:rFonts w:ascii="Times New Roman" w:hAnsi="Times New Roman" w:cs="Times New Roman"/>
          <w:b/>
          <w:color w:val="auto"/>
          <w:szCs w:val="24"/>
        </w:rPr>
        <w:t xml:space="preserve"> </w:t>
      </w:r>
      <w:r w:rsidRPr="00AA1711">
        <w:rPr>
          <w:rFonts w:ascii="Times New Roman" w:hAnsi="Times New Roman" w:cs="Times New Roman"/>
          <w:color w:val="auto"/>
          <w:szCs w:val="24"/>
        </w:rPr>
        <w:t>Európskeho Parlamentu a</w:t>
      </w:r>
      <w:r w:rsidRPr="00AA1711" w:rsidR="00C2610E">
        <w:rPr>
          <w:rFonts w:ascii="Times New Roman" w:hAnsi="Times New Roman" w:cs="Times New Roman"/>
          <w:color w:val="auto"/>
          <w:szCs w:val="24"/>
        </w:rPr>
        <w:t> </w:t>
      </w:r>
      <w:r w:rsidRPr="00AA1711">
        <w:rPr>
          <w:rFonts w:ascii="Times New Roman" w:hAnsi="Times New Roman" w:cs="Times New Roman"/>
          <w:color w:val="auto"/>
          <w:szCs w:val="24"/>
        </w:rPr>
        <w:t>Rady</w:t>
      </w:r>
      <w:r w:rsidRPr="00AA1711" w:rsidR="00C2610E">
        <w:rPr>
          <w:rFonts w:ascii="Times New Roman" w:hAnsi="Times New Roman" w:cs="Times New Roman"/>
          <w:color w:val="auto"/>
          <w:szCs w:val="24"/>
        </w:rPr>
        <w:t xml:space="preserve"> 2002/87/ES</w:t>
      </w:r>
      <w:r w:rsidRPr="00AA1711">
        <w:rPr>
          <w:rFonts w:ascii="Times New Roman" w:hAnsi="Times New Roman" w:cs="Times New Roman"/>
          <w:color w:val="auto"/>
          <w:szCs w:val="24"/>
        </w:rPr>
        <w:t xml:space="preserve"> zo 16. decembra 2002 o doplnkovom dohľade</w:t>
      </w:r>
      <w:r w:rsidRPr="00AA1711">
        <w:rPr>
          <w:rFonts w:ascii="Times New Roman" w:hAnsi="Times New Roman" w:cs="Times New Roman"/>
          <w:szCs w:val="24"/>
        </w:rPr>
        <w:t xml:space="preserve"> nad úverovými inštitúciami, poisťovňami a investičnými spoločnosťami vo finančnom konglomeráte, ktorou sa menia a dopĺňajú smernice Rady 73/239/EHS, 79/267/EHS, 92/49/EHS, 92/96/EHS, 93/6/EHS a 93/22/EHS a smernice Európskeho parlamentu a Rady 98/78/ES a 2000/12/ES a </w:t>
      </w:r>
    </w:p>
    <w:p w:rsidR="00C17F8C" w:rsidP="00C17F8C">
      <w:pPr>
        <w:pStyle w:val="Zkladntext"/>
        <w:jc w:val="both"/>
        <w:rPr>
          <w:rFonts w:ascii="Times New Roman" w:hAnsi="Times New Roman" w:cs="Times New Roman"/>
          <w:szCs w:val="24"/>
        </w:rPr>
      </w:pPr>
      <w:r>
        <w:rPr>
          <w:rFonts w:ascii="Times New Roman" w:hAnsi="Times New Roman" w:cs="Times New Roman"/>
          <w:szCs w:val="24"/>
        </w:rPr>
        <w:t xml:space="preserve">21. smernica </w:t>
      </w:r>
      <w:r w:rsidRPr="00C574C5">
        <w:rPr>
          <w:rFonts w:ascii="Times New Roman" w:hAnsi="Times New Roman" w:cs="Times New Roman"/>
          <w:szCs w:val="24"/>
        </w:rPr>
        <w:t>Rady 2004/113/ES z  13. decembra 2004 o vykonávaní zásady rovnakého zaobchádzania medzi mužmi a ženami v prístupe k tovaru a služieb a k ich poskytovaniu</w:t>
      </w:r>
      <w:r>
        <w:rPr>
          <w:rFonts w:ascii="Times New Roman" w:hAnsi="Times New Roman" w:cs="Times New Roman"/>
          <w:szCs w:val="24"/>
        </w:rPr>
        <w:t xml:space="preserve"> a</w:t>
      </w:r>
    </w:p>
    <w:p w:rsidR="00C17F8C" w:rsidP="004C0FA2">
      <w:pPr>
        <w:pStyle w:val="Zkladntext"/>
        <w:jc w:val="both"/>
        <w:rPr>
          <w:rFonts w:ascii="Times New Roman" w:hAnsi="Times New Roman" w:cs="Times New Roman"/>
          <w:szCs w:val="24"/>
        </w:rPr>
      </w:pPr>
    </w:p>
    <w:p w:rsidR="004C0FA2" w:rsidP="004C0FA2">
      <w:pPr>
        <w:pStyle w:val="Zkladntext"/>
        <w:jc w:val="both"/>
        <w:rPr>
          <w:rFonts w:ascii="Times New Roman" w:hAnsi="Times New Roman" w:cs="Times New Roman"/>
          <w:szCs w:val="24"/>
        </w:rPr>
      </w:pPr>
      <w:r w:rsidRPr="00AA1711">
        <w:rPr>
          <w:rFonts w:ascii="Times New Roman" w:hAnsi="Times New Roman" w:cs="Times New Roman"/>
          <w:szCs w:val="24"/>
        </w:rPr>
        <w:t>2</w:t>
      </w:r>
      <w:r w:rsidR="00C17F8C">
        <w:rPr>
          <w:rFonts w:ascii="Times New Roman" w:hAnsi="Times New Roman" w:cs="Times New Roman"/>
          <w:szCs w:val="24"/>
        </w:rPr>
        <w:t>2</w:t>
      </w:r>
      <w:r w:rsidRPr="00AA1711">
        <w:rPr>
          <w:rFonts w:ascii="Times New Roman" w:hAnsi="Times New Roman" w:cs="Times New Roman"/>
          <w:szCs w:val="24"/>
        </w:rPr>
        <w:t>. smernic</w:t>
      </w:r>
      <w:r w:rsidRPr="00AA1711" w:rsidR="00A772F6">
        <w:rPr>
          <w:rFonts w:ascii="Times New Roman" w:hAnsi="Times New Roman" w:cs="Times New Roman"/>
          <w:szCs w:val="24"/>
        </w:rPr>
        <w:t>a</w:t>
      </w:r>
      <w:r w:rsidRPr="00AA1711">
        <w:rPr>
          <w:rFonts w:ascii="Times New Roman" w:hAnsi="Times New Roman" w:cs="Times New Roman"/>
          <w:szCs w:val="24"/>
        </w:rPr>
        <w:t xml:space="preserve"> Európskeho parlamentu a Rady 2005/1/ES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w:t>
      </w:r>
      <w:r w:rsidRPr="00890DE2" w:rsidR="00890DE2">
        <w:rPr>
          <w:rFonts w:ascii="Times New Roman" w:hAnsi="Times New Roman" w:cs="Times New Roman"/>
          <w:color w:val="FF00FF"/>
          <w:szCs w:val="24"/>
        </w:rPr>
        <w:t>,</w:t>
      </w:r>
    </w:p>
    <w:p w:rsidR="005E7FA3" w:rsidRPr="00AA1711" w:rsidP="00A80466">
      <w:pPr>
        <w:pStyle w:val="Zkladntext"/>
        <w:jc w:val="both"/>
        <w:rPr>
          <w:rFonts w:ascii="Times New Roman" w:hAnsi="Times New Roman" w:cs="Times New Roman"/>
          <w:color w:val="auto"/>
          <w:szCs w:val="24"/>
        </w:rPr>
      </w:pPr>
    </w:p>
    <w:p w:rsidR="005E7FA3" w:rsidRPr="00AA1711" w:rsidP="00A80466">
      <w:pPr>
        <w:pStyle w:val="Zkladntext"/>
        <w:jc w:val="both"/>
        <w:rPr>
          <w:rFonts w:ascii="Times New Roman" w:hAnsi="Times New Roman" w:cs="Times New Roman"/>
          <w:color w:val="auto"/>
          <w:szCs w:val="24"/>
        </w:rPr>
      </w:pPr>
      <w:r w:rsidRPr="00AA1711" w:rsidR="00DE1C3B">
        <w:rPr>
          <w:rFonts w:ascii="Times New Roman" w:hAnsi="Times New Roman" w:cs="Times New Roman"/>
          <w:szCs w:val="24"/>
        </w:rPr>
        <w:tab/>
      </w:r>
      <w:r w:rsidRPr="00AA1711">
        <w:rPr>
          <w:rFonts w:ascii="Times New Roman" w:hAnsi="Times New Roman" w:cs="Times New Roman"/>
          <w:color w:val="auto"/>
          <w:szCs w:val="24"/>
        </w:rPr>
        <w:t>Cieľom predloženého návrhu zákona je predovšetkým</w:t>
      </w:r>
    </w:p>
    <w:p w:rsidR="005E7FA3" w:rsidRPr="00AA1711" w:rsidP="00A80466">
      <w:pPr>
        <w:pStyle w:val="Zkladntext"/>
        <w:jc w:val="both"/>
        <w:rPr>
          <w:rFonts w:ascii="Times New Roman" w:hAnsi="Times New Roman" w:cs="Times New Roman"/>
          <w:color w:val="auto"/>
          <w:szCs w:val="24"/>
        </w:rPr>
      </w:pPr>
    </w:p>
    <w:p w:rsidR="005E7FA3" w:rsidRPr="00AA1711" w:rsidP="005E7FA3">
      <w:pPr>
        <w:pStyle w:val="Zkladntext"/>
        <w:numPr>
          <w:ilvl w:val="0"/>
          <w:numId w:val="1"/>
        </w:numPr>
        <w:tabs>
          <w:tab w:val="left" w:pos="720"/>
        </w:tabs>
        <w:jc w:val="both"/>
        <w:rPr>
          <w:rFonts w:ascii="Times New Roman" w:hAnsi="Times New Roman" w:cs="Times New Roman"/>
          <w:color w:val="auto"/>
          <w:szCs w:val="24"/>
        </w:rPr>
      </w:pPr>
      <w:r w:rsidRPr="00AA1711">
        <w:rPr>
          <w:rFonts w:ascii="Times New Roman" w:hAnsi="Times New Roman" w:cs="Times New Roman"/>
          <w:color w:val="auto"/>
          <w:szCs w:val="24"/>
        </w:rPr>
        <w:t>upraviť podmienky povolenia na vykonávanie poisťovacej činnosti pre poisťovne,</w:t>
      </w:r>
      <w:r w:rsidRPr="00AA1711" w:rsidR="009008FA">
        <w:rPr>
          <w:rFonts w:ascii="Times New Roman" w:hAnsi="Times New Roman" w:cs="Times New Roman"/>
          <w:color w:val="auto"/>
          <w:szCs w:val="24"/>
        </w:rPr>
        <w:t xml:space="preserve"> zaisťovacej činnosti pre</w:t>
      </w:r>
      <w:r w:rsidRPr="00AA1711">
        <w:rPr>
          <w:rFonts w:ascii="Times New Roman" w:hAnsi="Times New Roman" w:cs="Times New Roman"/>
          <w:color w:val="auto"/>
          <w:szCs w:val="24"/>
        </w:rPr>
        <w:t xml:space="preserve"> zaisťovne, niektoré vzťahy súvisiace s pôsobením poisťovní z iných členských štátov a ich pobočiek a zaisťovní z iných členských štátov a ich pobočiek na území Slovenskej republiky a niektoré vzťahy súvisiace s pôsobením pobočiek zahraničných poisťovní a zahraničných zaisťovní na území Slovenskej republiky,</w:t>
      </w:r>
    </w:p>
    <w:p w:rsidR="00827485" w:rsidRPr="00AA1711" w:rsidP="005E7FA3">
      <w:pPr>
        <w:pStyle w:val="Zkladntext"/>
        <w:jc w:val="both"/>
        <w:rPr>
          <w:rFonts w:ascii="Times New Roman" w:hAnsi="Times New Roman" w:cs="Times New Roman"/>
          <w:color w:val="auto"/>
          <w:szCs w:val="24"/>
        </w:rPr>
      </w:pPr>
    </w:p>
    <w:p w:rsidR="005E7FA3" w:rsidP="0045631D">
      <w:pPr>
        <w:pStyle w:val="Zkladntext"/>
        <w:numPr>
          <w:ilvl w:val="0"/>
          <w:numId w:val="1"/>
        </w:numPr>
        <w:tabs>
          <w:tab w:val="left" w:pos="720"/>
        </w:tabs>
        <w:jc w:val="both"/>
        <w:rPr>
          <w:rFonts w:ascii="Times New Roman" w:hAnsi="Times New Roman" w:cs="Times New Roman"/>
          <w:color w:val="auto"/>
          <w:szCs w:val="24"/>
        </w:rPr>
      </w:pPr>
      <w:r w:rsidRPr="00AA1711">
        <w:rPr>
          <w:rFonts w:ascii="Times New Roman" w:hAnsi="Times New Roman" w:cs="Times New Roman"/>
          <w:color w:val="auto"/>
          <w:szCs w:val="24"/>
        </w:rPr>
        <w:t xml:space="preserve">umožniť </w:t>
      </w:r>
      <w:r w:rsidRPr="00AA1711" w:rsidR="0045631D">
        <w:rPr>
          <w:rFonts w:ascii="Times New Roman" w:hAnsi="Times New Roman" w:cs="Times New Roman"/>
          <w:color w:val="auto"/>
          <w:szCs w:val="24"/>
        </w:rPr>
        <w:t>poisťovni, pobočke zahraničnej poisťovne, zaisťovni alebo pobočke zahraničnej zaisťovne, pri splnení stanovených podmienok, zveriť jednu alebo viac činností poisťovacej činnosti alebo zaisťovacej činnosti na základe zmluvy osobe, ktorá je oprávnená na výkon zverených činností a má sídlo alebo miesto podnikania v členskom štáte Európskych spoločenstiev alebo v štáte, ktorý je súčasťou Európskeho hospodárskeho priestoru,</w:t>
      </w:r>
    </w:p>
    <w:p w:rsidR="0099622D" w:rsidP="0099622D">
      <w:pPr>
        <w:pStyle w:val="Zkladntext"/>
        <w:jc w:val="both"/>
        <w:rPr>
          <w:rFonts w:ascii="Times New Roman" w:hAnsi="Times New Roman" w:cs="Times New Roman"/>
          <w:color w:val="auto"/>
          <w:szCs w:val="24"/>
        </w:rPr>
      </w:pPr>
    </w:p>
    <w:p w:rsidR="0099622D" w:rsidP="0099622D">
      <w:pPr>
        <w:pStyle w:val="Zkladntext"/>
        <w:numPr>
          <w:ilvl w:val="0"/>
          <w:numId w:val="1"/>
        </w:numPr>
        <w:tabs>
          <w:tab w:val="left" w:pos="720"/>
        </w:tabs>
        <w:jc w:val="both"/>
        <w:rPr>
          <w:rFonts w:ascii="Times New Roman" w:hAnsi="Times New Roman" w:cs="Times New Roman"/>
          <w:szCs w:val="24"/>
        </w:rPr>
      </w:pPr>
      <w:r w:rsidRPr="00AA1711">
        <w:rPr>
          <w:rFonts w:ascii="Times New Roman" w:hAnsi="Times New Roman" w:cs="Times New Roman"/>
          <w:color w:val="auto"/>
          <w:szCs w:val="24"/>
        </w:rPr>
        <w:t xml:space="preserve">úprava požiadaviek </w:t>
      </w:r>
      <w:r>
        <w:rPr>
          <w:rFonts w:ascii="Times New Roman" w:hAnsi="Times New Roman" w:cs="Times New Roman"/>
          <w:color w:val="auto"/>
          <w:szCs w:val="24"/>
        </w:rPr>
        <w:t xml:space="preserve">na podnikanie </w:t>
      </w:r>
      <w:r w:rsidRPr="00AA1711">
        <w:rPr>
          <w:rFonts w:ascii="Times New Roman" w:hAnsi="Times New Roman" w:cs="Times New Roman"/>
          <w:color w:val="auto"/>
          <w:szCs w:val="24"/>
        </w:rPr>
        <w:t xml:space="preserve">v poisťovníctve, najmä povinnosť tvorby technických rezerv, </w:t>
      </w:r>
      <w:r w:rsidRPr="00AA1711">
        <w:rPr>
          <w:rFonts w:ascii="Times New Roman" w:hAnsi="Times New Roman" w:cs="Times New Roman"/>
          <w:szCs w:val="24"/>
        </w:rPr>
        <w:t xml:space="preserve">vytvorených v dostatočnej výške za účelom splnenia záväzkov vyplývajúcich z vykonávanej poisťovacej činnosti alebo zaisťovacej činnosti, dodržiavanie požadovanej miery solventnosti a tvorba garančného fondu, </w:t>
      </w:r>
    </w:p>
    <w:p w:rsidR="008137D4" w:rsidP="008137D4">
      <w:pPr>
        <w:pStyle w:val="Zkladntext"/>
        <w:jc w:val="both"/>
        <w:rPr>
          <w:rFonts w:ascii="Times New Roman" w:hAnsi="Times New Roman" w:cs="Times New Roman"/>
          <w:szCs w:val="24"/>
        </w:rPr>
      </w:pPr>
    </w:p>
    <w:p w:rsidR="008137D4" w:rsidRPr="0099622D" w:rsidP="0099622D">
      <w:pPr>
        <w:pStyle w:val="Zkladntext"/>
        <w:numPr>
          <w:ilvl w:val="0"/>
          <w:numId w:val="1"/>
        </w:numPr>
        <w:tabs>
          <w:tab w:val="left" w:pos="720"/>
        </w:tabs>
        <w:jc w:val="both"/>
        <w:rPr>
          <w:rFonts w:ascii="Times New Roman" w:hAnsi="Times New Roman" w:cs="Times New Roman"/>
          <w:szCs w:val="24"/>
        </w:rPr>
      </w:pPr>
      <w:r>
        <w:rPr>
          <w:rFonts w:ascii="Times New Roman" w:hAnsi="Times New Roman" w:cs="Times New Roman"/>
          <w:color w:val="auto"/>
          <w:szCs w:val="24"/>
        </w:rPr>
        <w:t>uplatňovať a udržiavať primeraný systém riadenia rizík</w:t>
      </w:r>
      <w:r w:rsidR="000F3C41">
        <w:rPr>
          <w:rFonts w:ascii="Times New Roman" w:hAnsi="Times New Roman" w:cs="Times New Roman"/>
          <w:color w:val="auto"/>
          <w:szCs w:val="24"/>
        </w:rPr>
        <w:t>,</w:t>
      </w:r>
      <w:r>
        <w:rPr>
          <w:rFonts w:ascii="Times New Roman" w:hAnsi="Times New Roman" w:cs="Times New Roman"/>
          <w:color w:val="auto"/>
          <w:szCs w:val="24"/>
        </w:rPr>
        <w:t> systém vnútornej kontroly</w:t>
      </w:r>
      <w:r w:rsidR="000F3C41">
        <w:rPr>
          <w:rFonts w:ascii="Times New Roman" w:hAnsi="Times New Roman" w:cs="Times New Roman"/>
          <w:color w:val="auto"/>
          <w:szCs w:val="24"/>
        </w:rPr>
        <w:t xml:space="preserve"> a vnútorného auditu z dôvodu</w:t>
      </w:r>
      <w:r>
        <w:rPr>
          <w:rFonts w:ascii="Times New Roman" w:hAnsi="Times New Roman" w:cs="Times New Roman"/>
          <w:color w:val="auto"/>
          <w:szCs w:val="24"/>
        </w:rPr>
        <w:t xml:space="preserve"> zabezpečovani</w:t>
      </w:r>
      <w:r w:rsidR="000F3C41">
        <w:rPr>
          <w:rFonts w:ascii="Times New Roman" w:hAnsi="Times New Roman" w:cs="Times New Roman"/>
          <w:color w:val="auto"/>
          <w:szCs w:val="24"/>
        </w:rPr>
        <w:t>a</w:t>
      </w:r>
      <w:r>
        <w:rPr>
          <w:rFonts w:ascii="Times New Roman" w:hAnsi="Times New Roman" w:cs="Times New Roman"/>
          <w:color w:val="auto"/>
          <w:szCs w:val="24"/>
        </w:rPr>
        <w:t xml:space="preserve"> súladu s rozhodnutiami a postupmi na všetkých organizačných úrovniach </w:t>
      </w:r>
      <w:r w:rsidRPr="00AA1711">
        <w:rPr>
          <w:rFonts w:ascii="Times New Roman" w:hAnsi="Times New Roman" w:cs="Times New Roman"/>
          <w:color w:val="auto"/>
          <w:szCs w:val="24"/>
        </w:rPr>
        <w:t>poisťovn</w:t>
      </w:r>
      <w:r>
        <w:rPr>
          <w:rFonts w:ascii="Times New Roman" w:hAnsi="Times New Roman" w:cs="Times New Roman"/>
          <w:color w:val="auto"/>
          <w:szCs w:val="24"/>
        </w:rPr>
        <w:t>e, pobočky</w:t>
      </w:r>
      <w:r w:rsidRPr="00AA1711">
        <w:rPr>
          <w:rFonts w:ascii="Times New Roman" w:hAnsi="Times New Roman" w:cs="Times New Roman"/>
          <w:color w:val="auto"/>
          <w:szCs w:val="24"/>
        </w:rPr>
        <w:t xml:space="preserve"> zahraničnej poisťovne, zaisťovn</w:t>
      </w:r>
      <w:r>
        <w:rPr>
          <w:rFonts w:ascii="Times New Roman" w:hAnsi="Times New Roman" w:cs="Times New Roman"/>
          <w:color w:val="auto"/>
          <w:szCs w:val="24"/>
        </w:rPr>
        <w:t>e</w:t>
      </w:r>
      <w:r w:rsidRPr="00AA1711">
        <w:rPr>
          <w:rFonts w:ascii="Times New Roman" w:hAnsi="Times New Roman" w:cs="Times New Roman"/>
          <w:color w:val="auto"/>
          <w:szCs w:val="24"/>
        </w:rPr>
        <w:t xml:space="preserve"> a</w:t>
      </w:r>
      <w:r>
        <w:rPr>
          <w:rFonts w:ascii="Times New Roman" w:hAnsi="Times New Roman" w:cs="Times New Roman"/>
          <w:color w:val="auto"/>
          <w:szCs w:val="24"/>
        </w:rPr>
        <w:t xml:space="preserve"> </w:t>
      </w:r>
      <w:r w:rsidRPr="00AA1711">
        <w:rPr>
          <w:rFonts w:ascii="Times New Roman" w:hAnsi="Times New Roman" w:cs="Times New Roman"/>
          <w:color w:val="auto"/>
          <w:szCs w:val="24"/>
        </w:rPr>
        <w:t>pobočk</w:t>
      </w:r>
      <w:r>
        <w:rPr>
          <w:rFonts w:ascii="Times New Roman" w:hAnsi="Times New Roman" w:cs="Times New Roman"/>
          <w:color w:val="auto"/>
          <w:szCs w:val="24"/>
        </w:rPr>
        <w:t>y</w:t>
      </w:r>
      <w:r w:rsidRPr="00AA1711">
        <w:rPr>
          <w:rFonts w:ascii="Times New Roman" w:hAnsi="Times New Roman" w:cs="Times New Roman"/>
          <w:color w:val="auto"/>
          <w:szCs w:val="24"/>
        </w:rPr>
        <w:t xml:space="preserve"> zahraničnej zaisťovne</w:t>
      </w:r>
      <w:r w:rsidR="000F3C41">
        <w:rPr>
          <w:rFonts w:ascii="Times New Roman" w:hAnsi="Times New Roman" w:cs="Times New Roman"/>
          <w:color w:val="auto"/>
          <w:szCs w:val="24"/>
        </w:rPr>
        <w:t>,</w:t>
      </w:r>
    </w:p>
    <w:p w:rsidR="00827485" w:rsidRPr="00AA1711" w:rsidP="00827485">
      <w:pPr>
        <w:pStyle w:val="Zkladntext"/>
        <w:jc w:val="both"/>
        <w:rPr>
          <w:rFonts w:ascii="Times New Roman" w:hAnsi="Times New Roman" w:cs="Times New Roman"/>
          <w:szCs w:val="24"/>
        </w:rPr>
      </w:pPr>
    </w:p>
    <w:p w:rsidR="00827485" w:rsidRPr="00AA1711" w:rsidP="00DE1C3B">
      <w:pPr>
        <w:pStyle w:val="Zkladntext"/>
        <w:numPr>
          <w:ilvl w:val="0"/>
          <w:numId w:val="1"/>
        </w:numPr>
        <w:tabs>
          <w:tab w:val="left" w:pos="720"/>
        </w:tabs>
        <w:jc w:val="both"/>
        <w:rPr>
          <w:rFonts w:ascii="Times New Roman" w:hAnsi="Times New Roman" w:cs="Times New Roman"/>
          <w:szCs w:val="24"/>
        </w:rPr>
      </w:pPr>
      <w:r w:rsidRPr="00AA1711">
        <w:rPr>
          <w:rFonts w:ascii="Times New Roman" w:hAnsi="Times New Roman" w:cs="Times New Roman"/>
          <w:szCs w:val="24"/>
        </w:rPr>
        <w:t>úprava výmeny informácií medzi príslušnými orgánmi dohľadu, špecifikácia podmienok výmeny týchto informácií s cieľom zachovania dôvernej povahy týchto informácií,</w:t>
      </w:r>
    </w:p>
    <w:p w:rsidR="00E22C62" w:rsidRPr="00AA1711" w:rsidP="00E22C62">
      <w:pPr>
        <w:pStyle w:val="Zkladntext"/>
        <w:jc w:val="both"/>
        <w:rPr>
          <w:rFonts w:ascii="Times New Roman" w:hAnsi="Times New Roman" w:cs="Times New Roman"/>
          <w:szCs w:val="24"/>
        </w:rPr>
      </w:pPr>
    </w:p>
    <w:p w:rsidR="00E22C62" w:rsidRPr="00AA1711" w:rsidP="00E22C62">
      <w:pPr>
        <w:pStyle w:val="Zkladntext"/>
        <w:numPr>
          <w:ilvl w:val="0"/>
          <w:numId w:val="1"/>
        </w:numPr>
        <w:tabs>
          <w:tab w:val="left" w:pos="720"/>
        </w:tabs>
        <w:jc w:val="both"/>
        <w:rPr>
          <w:rFonts w:ascii="Times New Roman" w:hAnsi="Times New Roman" w:cs="Times New Roman"/>
          <w:szCs w:val="24"/>
        </w:rPr>
      </w:pPr>
      <w:r w:rsidRPr="00AA1711">
        <w:rPr>
          <w:rFonts w:ascii="Times New Roman" w:hAnsi="Times New Roman" w:cs="Times New Roman"/>
          <w:szCs w:val="24"/>
        </w:rPr>
        <w:t>vytvoriť právny rámec pre uplatňovanie</w:t>
      </w:r>
      <w:r w:rsidRPr="00AA1711" w:rsidR="009008FA">
        <w:rPr>
          <w:rFonts w:ascii="Times New Roman" w:hAnsi="Times New Roman" w:cs="Times New Roman"/>
          <w:szCs w:val="24"/>
        </w:rPr>
        <w:t xml:space="preserve"> efektívneho</w:t>
      </w:r>
      <w:r w:rsidRPr="00AA1711">
        <w:rPr>
          <w:rFonts w:ascii="Times New Roman" w:hAnsi="Times New Roman" w:cs="Times New Roman"/>
          <w:szCs w:val="24"/>
        </w:rPr>
        <w:t xml:space="preserve"> dohľadu nad poisťovňami v skupine a zaisťovňami v</w:t>
      </w:r>
      <w:r w:rsidRPr="00AA1711" w:rsidR="00DE1C3B">
        <w:rPr>
          <w:rFonts w:ascii="Times New Roman" w:hAnsi="Times New Roman" w:cs="Times New Roman"/>
          <w:szCs w:val="24"/>
        </w:rPr>
        <w:t> </w:t>
      </w:r>
      <w:r w:rsidRPr="00AA1711">
        <w:rPr>
          <w:rFonts w:ascii="Times New Roman" w:hAnsi="Times New Roman" w:cs="Times New Roman"/>
          <w:szCs w:val="24"/>
        </w:rPr>
        <w:t>skupin</w:t>
      </w:r>
      <w:r w:rsidRPr="00AA1711" w:rsidR="00DE1C3B">
        <w:rPr>
          <w:rFonts w:ascii="Times New Roman" w:hAnsi="Times New Roman" w:cs="Times New Roman"/>
          <w:szCs w:val="24"/>
        </w:rPr>
        <w:t>e a doplňujúceho dohľadu za účelom sledovania a regulácie rizík finančných konglomerátov,</w:t>
      </w:r>
    </w:p>
    <w:p w:rsidR="00DE1C3B" w:rsidRPr="00AA1711" w:rsidP="00DE1C3B">
      <w:pPr>
        <w:pStyle w:val="Zkladntext"/>
        <w:jc w:val="both"/>
        <w:rPr>
          <w:rFonts w:ascii="Times New Roman" w:hAnsi="Times New Roman" w:cs="Times New Roman"/>
          <w:szCs w:val="24"/>
        </w:rPr>
      </w:pPr>
    </w:p>
    <w:p w:rsidR="00E22C62" w:rsidP="00E22C62">
      <w:pPr>
        <w:pStyle w:val="Zkladntext"/>
        <w:numPr>
          <w:ilvl w:val="0"/>
          <w:numId w:val="1"/>
        </w:numPr>
        <w:tabs>
          <w:tab w:val="left" w:pos="720"/>
        </w:tabs>
        <w:jc w:val="both"/>
        <w:rPr>
          <w:rFonts w:ascii="Times New Roman" w:hAnsi="Times New Roman" w:cs="Times New Roman"/>
          <w:szCs w:val="24"/>
        </w:rPr>
      </w:pPr>
      <w:r w:rsidRPr="00AA1711">
        <w:rPr>
          <w:rFonts w:ascii="Times New Roman" w:hAnsi="Times New Roman" w:cs="Times New Roman"/>
          <w:szCs w:val="24"/>
        </w:rPr>
        <w:t>zlepšiť úroveň ochrany oprávnených záujmov poistených</w:t>
      </w:r>
      <w:r w:rsidRPr="00AA1711" w:rsidR="00D55C5E">
        <w:rPr>
          <w:rFonts w:ascii="Times New Roman" w:hAnsi="Times New Roman" w:cs="Times New Roman"/>
          <w:szCs w:val="24"/>
        </w:rPr>
        <w:t>.</w:t>
      </w:r>
    </w:p>
    <w:p w:rsidR="008516DB" w:rsidP="008516DB">
      <w:pPr>
        <w:pStyle w:val="Zkladntext"/>
        <w:jc w:val="both"/>
        <w:rPr>
          <w:rFonts w:ascii="Times New Roman" w:hAnsi="Times New Roman" w:cs="Times New Roman"/>
          <w:szCs w:val="24"/>
        </w:rPr>
      </w:pPr>
    </w:p>
    <w:p w:rsidR="00AF416E" w:rsidRPr="00CF4638" w:rsidP="00AF416E">
      <w:pPr>
        <w:pStyle w:val="Zkladntext"/>
        <w:jc w:val="both"/>
        <w:rPr>
          <w:rFonts w:ascii="Times New Roman" w:hAnsi="Times New Roman" w:cs="Times New Roman"/>
          <w:color w:val="auto"/>
          <w:szCs w:val="24"/>
        </w:rPr>
      </w:pPr>
      <w:r w:rsidRPr="003059F3" w:rsidR="008516DB">
        <w:rPr>
          <w:rFonts w:ascii="Times New Roman" w:hAnsi="Times New Roman" w:cs="Times New Roman"/>
          <w:color w:val="auto"/>
          <w:szCs w:val="24"/>
        </w:rPr>
        <w:t xml:space="preserve">Návrh zákona v čl. II, III a IV obsahuje novelizáciu iných právnych predpisov v oblasti finančného trhu. V prípade zákona o cenných papieroch a zákona o burze cenných papierov ide predovšetkým o novelizáciu vyvolanú opravou chybne uvedených vnútorných odkazov, chýb gramatického charakteru, ale aj o novelizáciu ustanovení vyvolanú nesprávnym znením právneho aktu EÚ v slovenskom znení. </w:t>
      </w:r>
      <w:r w:rsidRPr="00CF4638">
        <w:rPr>
          <w:rFonts w:ascii="Times New Roman" w:hAnsi="Times New Roman" w:cs="Times New Roman"/>
          <w:color w:val="auto"/>
          <w:szCs w:val="24"/>
        </w:rPr>
        <w:t xml:space="preserve">Článok IV návrhu zákona predstavuje transpozíciu  čl. 15 bod 2 smernice Európskeho parlamentu a Rady 2005/29/ES o nekalých obchodných praktikách podnikateľov voči spotrebiteľom na vnútornom trhu, a ktorou sa mení a dopĺňa smernica Rady 84/450/EHS, smernice Európskeho parlamentu a Rady </w:t>
      </w:r>
      <w:r>
        <w:rPr>
          <w:rFonts w:ascii="Times New Roman" w:hAnsi="Times New Roman" w:cs="Times New Roman"/>
          <w:color w:val="auto"/>
          <w:szCs w:val="24"/>
        </w:rPr>
        <w:t xml:space="preserve">97/7/ES, 98/27/ES a 2002/65/ES a nariadenie Európskeho parlamentu a Rady </w:t>
      </w:r>
      <w:r w:rsidRPr="00CF4638">
        <w:rPr>
          <w:rFonts w:ascii="Times New Roman" w:hAnsi="Times New Roman" w:cs="Times New Roman"/>
          <w:color w:val="auto"/>
          <w:szCs w:val="24"/>
        </w:rPr>
        <w:t>(ES) č. 2006/2004 („smernica o nekalých obchodných praktikách“). Transpozícia tohto článku nebola premietnutá do zákona č. 250/2007 Z. z. o ochrane spotrebiteľa a o zmene zákona Slovenskej národnej rady č. 372/1990 Zb. o priestupkoch  v znení neskorších predpisov.</w:t>
      </w:r>
    </w:p>
    <w:p w:rsidR="00596D2C" w:rsidRPr="00AA1711" w:rsidP="00596D2C">
      <w:pPr>
        <w:jc w:val="both"/>
        <w:rPr>
          <w:rFonts w:ascii="Times New Roman" w:hAnsi="Times New Roman" w:cs="Times New Roman"/>
        </w:rPr>
      </w:pPr>
    </w:p>
    <w:p w:rsidR="00A51495" w:rsidRPr="00AA1711" w:rsidP="00A51495">
      <w:pPr>
        <w:jc w:val="both"/>
        <w:rPr>
          <w:rFonts w:ascii="Times New Roman" w:hAnsi="Times New Roman" w:cs="Times New Roman"/>
        </w:rPr>
      </w:pPr>
      <w:r w:rsidRPr="00AA1711" w:rsidR="008E14A6">
        <w:rPr>
          <w:rFonts w:ascii="Times New Roman" w:hAnsi="Times New Roman" w:cs="Times New Roman"/>
        </w:rPr>
        <w:tab/>
      </w:r>
      <w:r w:rsidRPr="00AA1711">
        <w:rPr>
          <w:rFonts w:ascii="Times New Roman" w:hAnsi="Times New Roman" w:cs="Times New Roman"/>
        </w:rPr>
        <w:t>Návrh zákona nepredpokladá dopad na štátny rozpočet, rozpočty obcí a vyšších územných celkov, životné prostredie a na zamestnanosť.</w:t>
      </w:r>
    </w:p>
    <w:p w:rsidR="00A51495" w:rsidRPr="00AA1711" w:rsidP="00A51495">
      <w:pPr>
        <w:jc w:val="both"/>
        <w:rPr>
          <w:rFonts w:ascii="Times New Roman" w:hAnsi="Times New Roman" w:cs="Times New Roman"/>
        </w:rPr>
      </w:pPr>
    </w:p>
    <w:p w:rsidR="00A51495" w:rsidRPr="00AA1711" w:rsidP="00A51495">
      <w:pPr>
        <w:jc w:val="both"/>
        <w:rPr>
          <w:rFonts w:ascii="Times New Roman" w:hAnsi="Times New Roman" w:cs="Times New Roman"/>
          <w:bCs/>
        </w:rPr>
      </w:pPr>
      <w:r w:rsidRPr="00AA1711">
        <w:rPr>
          <w:rFonts w:ascii="Times New Roman" w:hAnsi="Times New Roman" w:cs="Times New Roman"/>
        </w:rPr>
        <w:tab/>
        <w:t xml:space="preserve">Predložený návrh zákona je v súlade s Ústavou Slovenskej republiky, zákonmi Slovenskej republiky, ako aj medzinárodnými dokumentmi, ktorými je Slovenská republika viazaná. </w:t>
      </w:r>
      <w:r w:rsidRPr="00AA1711">
        <w:rPr>
          <w:rFonts w:ascii="Times New Roman" w:hAnsi="Times New Roman" w:cs="Times New Roman"/>
          <w:bCs/>
        </w:rPr>
        <w:t xml:space="preserve">Predložený návrh zákona je v súlade s právom Európskych spoločenstiev a právom Európskej únie. </w:t>
      </w:r>
    </w:p>
    <w:p w:rsidR="00A51495" w:rsidRPr="00AA1711" w:rsidP="00A51495">
      <w:pPr>
        <w:jc w:val="both"/>
        <w:rPr>
          <w:rFonts w:ascii="Times New Roman" w:hAnsi="Times New Roman" w:cs="Times New Roman"/>
          <w:b/>
          <w:bCs/>
        </w:rPr>
      </w:pPr>
    </w:p>
    <w:p w:rsidR="00A51495" w:rsidP="00A51495">
      <w:pPr>
        <w:jc w:val="both"/>
        <w:rPr>
          <w:rFonts w:ascii="Times New Roman" w:hAnsi="Times New Roman" w:cs="Times New Roman"/>
        </w:rPr>
      </w:pPr>
      <w:r w:rsidRPr="00AA1711">
        <w:rPr>
          <w:rFonts w:ascii="Times New Roman" w:hAnsi="Times New Roman" w:cs="Times New Roman"/>
        </w:rPr>
        <w:tab/>
        <w:t xml:space="preserve">Návrh zákona je súčasťou postupov Slovenskej republiky v rámci zapájania sa do Lisabonského procesu prostredníctvom pridružovania k jednotlivým stratégiám a politikám EÚ. </w:t>
      </w:r>
    </w:p>
    <w:p w:rsidR="007515BC" w:rsidP="00A51495">
      <w:pPr>
        <w:jc w:val="both"/>
        <w:rPr>
          <w:rFonts w:ascii="Times New Roman" w:hAnsi="Times New Roman" w:cs="Times New Roman"/>
        </w:rPr>
      </w:pPr>
    </w:p>
    <w:p w:rsidR="007515BC" w:rsidRPr="006F1B04" w:rsidP="007515BC">
      <w:pPr>
        <w:ind w:firstLine="708"/>
        <w:jc w:val="both"/>
        <w:rPr>
          <w:rFonts w:ascii="Times New Roman" w:hAnsi="Times New Roman" w:cs="Times New Roman"/>
        </w:rPr>
      </w:pPr>
      <w:r>
        <w:rPr>
          <w:rFonts w:ascii="Times New Roman" w:hAnsi="Times New Roman" w:cs="Times New Roman"/>
        </w:rPr>
        <w:t xml:space="preserve">Návrh zákona bol dňa 12. septembra 2007 schválený vládou Slovenskej republiky. </w:t>
      </w:r>
    </w:p>
    <w:p w:rsidR="007515BC" w:rsidRPr="005206DC" w:rsidP="007515BC">
      <w:pPr>
        <w:ind w:firstLine="708"/>
        <w:jc w:val="both"/>
        <w:rPr>
          <w:rFonts w:ascii="Times New Roman" w:hAnsi="Times New Roman" w:cs="Times New Roman"/>
        </w:rPr>
      </w:pPr>
    </w:p>
    <w:p w:rsidR="007515BC" w:rsidRPr="00AA1711" w:rsidP="00A51495">
      <w:pPr>
        <w:jc w:val="both"/>
        <w:rPr>
          <w:rFonts w:ascii="Times New Roman" w:hAnsi="Times New Roman" w:cs="Times New Roman"/>
        </w:rPr>
      </w:pPr>
    </w:p>
    <w:sectPr>
      <w:footerReference w:type="even" r:id="rId6"/>
      <w:footerReference w:type="default" r:id="rId7"/>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8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95785">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78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515BC">
      <w:rPr>
        <w:rStyle w:val="PageNumber"/>
        <w:rFonts w:ascii="Times New Roman" w:hAnsi="Times New Roman" w:cs="Times New Roman"/>
        <w:noProof/>
      </w:rPr>
      <w:t>4</w:t>
    </w:r>
    <w:r>
      <w:rPr>
        <w:rStyle w:val="PageNumber"/>
        <w:rFonts w:ascii="Times New Roman" w:hAnsi="Times New Roman" w:cs="Times New Roman"/>
      </w:rPr>
      <w:fldChar w:fldCharType="end"/>
    </w:r>
  </w:p>
  <w:p w:rsidR="00F95785">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659A0"/>
    <w:multiLevelType w:val="hybridMultilevel"/>
    <w:tmpl w:val="E90E5CB4"/>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6ACB39EC"/>
    <w:multiLevelType w:val="hybridMultilevel"/>
    <w:tmpl w:val="91F27F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F3C41"/>
    <w:rsid w:val="001C375E"/>
    <w:rsid w:val="003059F3"/>
    <w:rsid w:val="0045631D"/>
    <w:rsid w:val="004C0FA2"/>
    <w:rsid w:val="005206DC"/>
    <w:rsid w:val="00596D2C"/>
    <w:rsid w:val="005E7FA3"/>
    <w:rsid w:val="006F1B04"/>
    <w:rsid w:val="007515BC"/>
    <w:rsid w:val="007917AA"/>
    <w:rsid w:val="008137D4"/>
    <w:rsid w:val="00827485"/>
    <w:rsid w:val="008516DB"/>
    <w:rsid w:val="00890DE2"/>
    <w:rsid w:val="008E14A6"/>
    <w:rsid w:val="009008FA"/>
    <w:rsid w:val="009355F7"/>
    <w:rsid w:val="0099622D"/>
    <w:rsid w:val="00A3725A"/>
    <w:rsid w:val="00A51495"/>
    <w:rsid w:val="00A772F6"/>
    <w:rsid w:val="00A80466"/>
    <w:rsid w:val="00AA1711"/>
    <w:rsid w:val="00AF416E"/>
    <w:rsid w:val="00C17F8C"/>
    <w:rsid w:val="00C2610E"/>
    <w:rsid w:val="00C574C5"/>
    <w:rsid w:val="00CF4638"/>
    <w:rsid w:val="00D35543"/>
    <w:rsid w:val="00D55C5E"/>
    <w:rsid w:val="00DE1C3B"/>
    <w:rsid w:val="00E22C62"/>
    <w:rsid w:val="00F9578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rsid w:val="001C375E"/>
    <w:pPr>
      <w:keepNext/>
      <w:jc w:val="center"/>
      <w:outlineLvl w:val="1"/>
    </w:pPr>
    <w:rPr>
      <w:b/>
      <w:bCs/>
    </w:rPr>
  </w:style>
  <w:style w:type="character" w:default="1" w:styleId="DefaultParagraphFont">
    <w:name w:val="Default Paragraph Font"/>
    <w:semiHidden/>
  </w:style>
  <w:style w:type="paragraph" w:styleId="Title">
    <w:name w:val="Title"/>
    <w:basedOn w:val="Normal"/>
    <w:uiPriority w:val="10"/>
    <w:qFormat/>
    <w:pPr>
      <w:jc w:val="center"/>
    </w:pPr>
    <w:rPr>
      <w:b/>
      <w:bCs/>
      <w:sz w:val="32"/>
    </w:rPr>
  </w:style>
  <w:style w:type="paragraph" w:styleId="Subtitle">
    <w:name w:val="Subtitle"/>
    <w:basedOn w:val="Normal"/>
    <w:uiPriority w:val="11"/>
    <w:qFormat/>
    <w:pPr>
      <w:jc w:val="center"/>
    </w:pPr>
    <w:rPr>
      <w:b/>
      <w:bCs/>
      <w:sz w:val="28"/>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customStyle="1" w:styleId="a2">
    <w:name w:val="a)2"/>
    <w:basedOn w:val="Normal"/>
    <w:pPr>
      <w:spacing w:line="360" w:lineRule="auto"/>
      <w:jc w:val="both"/>
    </w:pPr>
    <w:rPr>
      <w:szCs w:val="20"/>
      <w:lang w:val="cs-CZ"/>
    </w:rPr>
  </w:style>
  <w:style w:type="paragraph" w:styleId="BodyText2">
    <w:name w:val="Body Text 2"/>
    <w:basedOn w:val="Normal"/>
    <w:pPr>
      <w:tabs>
        <w:tab w:val="left" w:pos="426"/>
      </w:tabs>
      <w:jc w:val="both"/>
    </w:pPr>
  </w:style>
  <w:style w:type="paragraph" w:customStyle="1" w:styleId="Zkladntext">
    <w:name w:val="Základní text"/>
    <w:rsid w:val="00A80466"/>
    <w:pPr>
      <w:widowControl w:val="0"/>
      <w:autoSpaceDE w:val="0"/>
      <w:autoSpaceDN w:val="0"/>
      <w:bidi w:val="0"/>
      <w:adjustRightInd w:val="0"/>
      <w:ind w:left="0" w:right="0"/>
      <w:jc w:val="left"/>
      <w:textAlignment w:val="auto"/>
    </w:pPr>
    <w:rPr>
      <w:color w:val="000000"/>
      <w:sz w:val="24"/>
      <w:szCs w:val="20"/>
      <w:rtl w:val="0"/>
      <w:lang w:val="sk-SK" w:bidi="ar-SA"/>
    </w:rPr>
  </w:style>
  <w:style w:type="character" w:styleId="Hyperlink">
    <w:name w:val="Hyperlink"/>
    <w:basedOn w:val="DefaultParagraphFont"/>
    <w:rsid w:val="00355CA0"/>
    <w:rPr>
      <w:color w:val="0000FF"/>
      <w:u w:val="single"/>
    </w:rPr>
  </w:style>
  <w:style w:type="character" w:styleId="Strong">
    <w:name w:val="Strong"/>
    <w:basedOn w:val="DefaultParagraphFont"/>
    <w:uiPriority w:val="22"/>
    <w:qFormat/>
    <w:rsid w:val="00355CA0"/>
    <w:rPr>
      <w:b/>
      <w:b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uropa.eu.int/eur-lex/lex/RECH_menu.do?ihmlang=sk" TargetMode="External" /><Relationship Id="rId5" Type="http://schemas.openxmlformats.org/officeDocument/2006/relationships/hyperlink" Target="http://europa.eu.int/eur-lex/lex/LexUriServ/LexUriServ.do?uri=CELEX:32002L0087:SK:HTML"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1724</Words>
  <Characters>9827</Characters>
  <Application>Microsoft Office Word</Application>
  <DocSecurity>0</DocSecurity>
  <Lines>0</Lines>
  <Paragraphs>0</Paragraphs>
  <ScaleCrop>false</ScaleCrop>
  <Company/>
  <LinksUpToDate>false</LinksUpToDate>
  <CharactersWithSpaces>11528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Daša Kučerová</dc:creator>
  <cp:lastModifiedBy>dkollarova</cp:lastModifiedBy>
  <cp:revision>3</cp:revision>
  <cp:lastPrinted>2007-08-02T08:59:00Z</cp:lastPrinted>
  <dcterms:created xsi:type="dcterms:W3CDTF">2007-09-10T09:40:00Z</dcterms:created>
  <dcterms:modified xsi:type="dcterms:W3CDTF">2007-09-12T06:20:00Z</dcterms:modified>
</cp:coreProperties>
</file>