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86750" w:rsidP="00163328">
      <w:pPr>
        <w:pStyle w:val="Title"/>
        <w:rPr>
          <w:rFonts w:ascii="Times New Roman" w:hAnsi="Times New Roman" w:cs="Times New Roman"/>
        </w:rPr>
      </w:pPr>
    </w:p>
    <w:p w:rsidR="00163328" w:rsidRPr="00A251B6" w:rsidP="00163328">
      <w:pPr>
        <w:pStyle w:val="Title"/>
        <w:rPr>
          <w:rFonts w:ascii="Times New Roman" w:hAnsi="Times New Roman" w:cs="Times New Roman"/>
        </w:rPr>
      </w:pPr>
      <w:r w:rsidRPr="00A251B6">
        <w:rPr>
          <w:rFonts w:ascii="Times New Roman" w:hAnsi="Times New Roman" w:cs="Times New Roman"/>
        </w:rPr>
        <w:t>Dôvodová správa</w:t>
      </w:r>
    </w:p>
    <w:p w:rsidR="00163328" w:rsidRPr="00A251B6" w:rsidP="00163328">
      <w:pPr>
        <w:pStyle w:val="Subtitle"/>
        <w:rPr>
          <w:rFonts w:ascii="Times New Roman" w:hAnsi="Times New Roman"/>
          <w:lang w:val="sk-SK"/>
        </w:rPr>
      </w:pPr>
    </w:p>
    <w:p w:rsidR="00003C2B" w:rsidRPr="00A251B6" w:rsidP="00163328">
      <w:pPr>
        <w:pStyle w:val="Subtitle"/>
        <w:rPr>
          <w:rFonts w:ascii="Times New Roman" w:hAnsi="Times New Roman"/>
          <w:lang w:val="sk-SK"/>
        </w:rPr>
      </w:pPr>
    </w:p>
    <w:p w:rsidR="00163328" w:rsidRPr="00A251B6" w:rsidP="00163328">
      <w:pPr>
        <w:pStyle w:val="Subtitle"/>
        <w:rPr>
          <w:rFonts w:ascii="Times New Roman" w:hAnsi="Times New Roman"/>
          <w:lang w:val="sk-SK"/>
        </w:rPr>
      </w:pPr>
      <w:r w:rsidRPr="00A251B6">
        <w:rPr>
          <w:rFonts w:ascii="Times New Roman" w:hAnsi="Times New Roman"/>
          <w:lang w:val="sk-SK"/>
        </w:rPr>
        <w:t>Všeobecná časť</w:t>
      </w:r>
    </w:p>
    <w:p w:rsidR="00DB2E01" w:rsidP="00163328">
      <w:pPr>
        <w:pStyle w:val="Subtitle"/>
        <w:rPr>
          <w:rFonts w:ascii="Times New Roman" w:hAnsi="Times New Roman"/>
          <w:lang w:val="sk-SK"/>
        </w:rPr>
      </w:pPr>
    </w:p>
    <w:p w:rsidR="00886750" w:rsidRPr="00A251B6" w:rsidP="00163328">
      <w:pPr>
        <w:pStyle w:val="Subtitle"/>
        <w:rPr>
          <w:rFonts w:ascii="Times New Roman" w:hAnsi="Times New Roman"/>
          <w:lang w:val="sk-SK"/>
        </w:rPr>
      </w:pPr>
    </w:p>
    <w:p w:rsidR="00223B53" w:rsidRPr="00A251B6" w:rsidP="00003C2B">
      <w:pPr>
        <w:pStyle w:val="BodyText"/>
        <w:autoSpaceDE w:val="0"/>
        <w:autoSpaceDN w:val="0"/>
        <w:adjustRightInd w:val="0"/>
        <w:spacing w:line="240" w:lineRule="auto"/>
        <w:ind w:firstLine="540"/>
        <w:rPr>
          <w:rFonts w:ascii="Times New Roman" w:hAnsi="Times New Roman"/>
          <w:bCs/>
          <w:iCs/>
        </w:rPr>
      </w:pPr>
      <w:r w:rsidRPr="00A251B6">
        <w:rPr>
          <w:rFonts w:ascii="Times New Roman" w:hAnsi="Times New Roman"/>
          <w:bCs/>
          <w:iCs/>
        </w:rPr>
        <w:t xml:space="preserve">Ministerstvo zdravotníctva Slovenskej republiky predkladá </w:t>
      </w:r>
      <w:r w:rsidRPr="00A251B6" w:rsidR="00FE67BA">
        <w:rPr>
          <w:rFonts w:ascii="Times New Roman" w:hAnsi="Times New Roman"/>
          <w:bCs/>
          <w:iCs/>
        </w:rPr>
        <w:t xml:space="preserve">návrh </w:t>
      </w:r>
      <w:r w:rsidRPr="00A251B6" w:rsidR="00FE67BA">
        <w:rPr>
          <w:rFonts w:ascii="Times New Roman" w:hAnsi="Times New Roman"/>
          <w:bCs/>
        </w:rPr>
        <w:t xml:space="preserve">zákona, ktorým sa mení a dopĺňa  zákon č. 577/2004 Z. z. o rozsahu zdravotnej starostlivosti uhrádzanej na základe verejného zdravotného poistenia a o úhradách za služby súvisiace s poskytovaním zdravotnej starostlivosti v znení neskorších predpisov a  o zmene a  doplnení niektorých zákonov </w:t>
      </w:r>
      <w:r w:rsidRPr="00A251B6">
        <w:rPr>
          <w:rFonts w:ascii="Times New Roman" w:hAnsi="Times New Roman"/>
          <w:bCs/>
          <w:iCs/>
          <w:color w:val="000000"/>
        </w:rPr>
        <w:t xml:space="preserve">v termíne zodpovedajúcom </w:t>
      </w:r>
      <w:r w:rsidRPr="00A251B6">
        <w:rPr>
          <w:rFonts w:ascii="Times New Roman" w:hAnsi="Times New Roman"/>
          <w:bCs/>
          <w:iCs/>
        </w:rPr>
        <w:t>Plánu legislatívnych úloh vlády Slovenskej republiky na rok 2007.</w:t>
      </w:r>
    </w:p>
    <w:p w:rsidR="00003C2B" w:rsidRPr="00A251B6" w:rsidP="00003C2B">
      <w:pPr>
        <w:pStyle w:val="BodyText"/>
        <w:autoSpaceDE w:val="0"/>
        <w:autoSpaceDN w:val="0"/>
        <w:adjustRightInd w:val="0"/>
        <w:spacing w:line="240" w:lineRule="auto"/>
        <w:ind w:firstLine="540"/>
        <w:rPr>
          <w:rFonts w:ascii="Times New Roman" w:hAnsi="Times New Roman"/>
          <w:bCs/>
          <w:iCs/>
        </w:rPr>
      </w:pPr>
    </w:p>
    <w:p w:rsidR="002573B7" w:rsidRPr="00A251B6" w:rsidP="00003C2B">
      <w:pPr>
        <w:pStyle w:val="Subtitle"/>
        <w:spacing w:line="240" w:lineRule="auto"/>
        <w:ind w:firstLine="540"/>
        <w:jc w:val="both"/>
        <w:rPr>
          <w:rFonts w:ascii="Times New Roman" w:hAnsi="Times New Roman"/>
          <w:b w:val="0"/>
          <w:lang w:val="sk-SK"/>
        </w:rPr>
      </w:pPr>
      <w:r w:rsidRPr="00A251B6" w:rsidR="00223B53">
        <w:rPr>
          <w:rFonts w:ascii="Times New Roman" w:hAnsi="Times New Roman"/>
          <w:b w:val="0"/>
          <w:lang w:val="sk-SK"/>
        </w:rPr>
        <w:t xml:space="preserve">Predloženým návrhom zákona  sa zosúladia  niektoré ustanovenia </w:t>
      </w:r>
      <w:r w:rsidRPr="00A251B6">
        <w:rPr>
          <w:rFonts w:ascii="Times New Roman" w:hAnsi="Times New Roman"/>
          <w:b w:val="0"/>
          <w:lang w:val="sk-SK"/>
        </w:rPr>
        <w:t xml:space="preserve">zákona č. 577/2004 Z. z. o rozsahu zdravotnej starostlivosti uhrádzanej na základe verejného zdravotného poistenia a o úhradách za služby súvisiace s poskytovaním zdravotnej starostlivosti v znení neskorších predpisov </w:t>
      </w:r>
      <w:r w:rsidRPr="00A251B6" w:rsidR="00223B53">
        <w:rPr>
          <w:rFonts w:ascii="Times New Roman" w:hAnsi="Times New Roman"/>
          <w:b w:val="0"/>
          <w:lang w:val="sk-SK"/>
        </w:rPr>
        <w:t xml:space="preserve">s </w:t>
      </w:r>
      <w:r w:rsidRPr="00A251B6">
        <w:rPr>
          <w:rFonts w:ascii="Times New Roman" w:hAnsi="Times New Roman"/>
          <w:b w:val="0"/>
          <w:lang w:val="sk-SK"/>
        </w:rPr>
        <w:t>P</w:t>
      </w:r>
      <w:r w:rsidRPr="00A251B6" w:rsidR="00223B53">
        <w:rPr>
          <w:rFonts w:ascii="Times New Roman" w:hAnsi="Times New Roman"/>
          <w:b w:val="0"/>
          <w:lang w:val="sk-SK"/>
        </w:rPr>
        <w:t>rogramovým vyhlásením vlády S</w:t>
      </w:r>
      <w:r w:rsidRPr="00A251B6">
        <w:rPr>
          <w:rFonts w:ascii="Times New Roman" w:hAnsi="Times New Roman"/>
          <w:b w:val="0"/>
          <w:lang w:val="sk-SK"/>
        </w:rPr>
        <w:t>lovenskej republiky</w:t>
      </w:r>
      <w:r w:rsidRPr="00A251B6" w:rsidR="00223B53">
        <w:rPr>
          <w:rFonts w:ascii="Times New Roman" w:hAnsi="Times New Roman"/>
          <w:b w:val="0"/>
          <w:lang w:val="sk-SK"/>
        </w:rPr>
        <w:t xml:space="preserve">. </w:t>
      </w:r>
    </w:p>
    <w:p w:rsidR="002573B7" w:rsidRPr="00A251B6" w:rsidP="00003C2B">
      <w:pPr>
        <w:pStyle w:val="Subtitle"/>
        <w:spacing w:line="240" w:lineRule="auto"/>
        <w:ind w:firstLine="540"/>
        <w:jc w:val="both"/>
        <w:rPr>
          <w:rFonts w:ascii="Times New Roman" w:hAnsi="Times New Roman"/>
          <w:b w:val="0"/>
          <w:lang w:val="sk-SK"/>
        </w:rPr>
      </w:pPr>
    </w:p>
    <w:p w:rsidR="002573B7" w:rsidP="00003C2B">
      <w:pPr>
        <w:pStyle w:val="Subtitle"/>
        <w:spacing w:line="240" w:lineRule="auto"/>
        <w:ind w:firstLine="540"/>
        <w:jc w:val="both"/>
        <w:rPr>
          <w:rFonts w:ascii="Times New Roman" w:hAnsi="Times New Roman"/>
          <w:b w:val="0"/>
          <w:lang w:val="sk-SK"/>
        </w:rPr>
      </w:pPr>
      <w:r w:rsidRPr="00A251B6" w:rsidR="00223B53">
        <w:rPr>
          <w:rFonts w:ascii="Times New Roman" w:hAnsi="Times New Roman"/>
          <w:b w:val="0"/>
          <w:lang w:val="sk-SK"/>
        </w:rPr>
        <w:t>Vzhľadom na to, že vláda S</w:t>
      </w:r>
      <w:r w:rsidRPr="00A251B6">
        <w:rPr>
          <w:rFonts w:ascii="Times New Roman" w:hAnsi="Times New Roman"/>
          <w:b w:val="0"/>
          <w:lang w:val="sk-SK"/>
        </w:rPr>
        <w:t>lovenskej republiky</w:t>
      </w:r>
      <w:r w:rsidRPr="00A251B6" w:rsidR="00223B53">
        <w:rPr>
          <w:rFonts w:ascii="Times New Roman" w:hAnsi="Times New Roman"/>
          <w:b w:val="0"/>
          <w:lang w:val="sk-SK"/>
        </w:rPr>
        <w:t xml:space="preserve"> v programovom vyhlásení presadzuje orientáciu zdravotníctva na prevenciu </w:t>
      </w:r>
      <w:r w:rsidR="003E3FAA">
        <w:rPr>
          <w:rFonts w:ascii="Times New Roman" w:hAnsi="Times New Roman"/>
          <w:b w:val="0"/>
          <w:lang w:val="sk-SK"/>
        </w:rPr>
        <w:t xml:space="preserve">a </w:t>
      </w:r>
      <w:r w:rsidRPr="00A251B6" w:rsidR="00223B53">
        <w:rPr>
          <w:rFonts w:ascii="Times New Roman" w:hAnsi="Times New Roman"/>
          <w:b w:val="0"/>
          <w:lang w:val="sk-SK"/>
        </w:rPr>
        <w:t>na včasnú diagnostiku ochorení, podporu realizácie celospoločensky</w:t>
      </w:r>
      <w:r w:rsidRPr="00A251B6">
        <w:rPr>
          <w:rFonts w:ascii="Times New Roman" w:hAnsi="Times New Roman"/>
          <w:b w:val="0"/>
          <w:lang w:val="sk-SK"/>
        </w:rPr>
        <w:t xml:space="preserve"> </w:t>
      </w:r>
      <w:r w:rsidRPr="00A251B6" w:rsidR="00223B53">
        <w:rPr>
          <w:rFonts w:ascii="Times New Roman" w:hAnsi="Times New Roman"/>
          <w:b w:val="0"/>
          <w:lang w:val="sk-SK"/>
        </w:rPr>
        <w:t>najdôležitejších preventívnych programov, </w:t>
      </w:r>
      <w:r w:rsidRPr="00A251B6">
        <w:rPr>
          <w:rFonts w:ascii="Times New Roman" w:hAnsi="Times New Roman"/>
          <w:b w:val="0"/>
          <w:lang w:val="sk-SK"/>
        </w:rPr>
        <w:t xml:space="preserve"> </w:t>
      </w:r>
      <w:r w:rsidRPr="00A251B6" w:rsidR="00223B53">
        <w:rPr>
          <w:rFonts w:ascii="Times New Roman" w:hAnsi="Times New Roman"/>
          <w:b w:val="0"/>
          <w:lang w:val="sk-SK"/>
        </w:rPr>
        <w:t xml:space="preserve">je potrebné </w:t>
      </w:r>
      <w:r w:rsidRPr="00A251B6">
        <w:rPr>
          <w:rFonts w:ascii="Times New Roman" w:hAnsi="Times New Roman"/>
          <w:b w:val="0"/>
          <w:lang w:val="sk-SK"/>
        </w:rPr>
        <w:t>urobiť</w:t>
      </w:r>
      <w:r w:rsidRPr="00A251B6" w:rsidR="00223B53">
        <w:rPr>
          <w:rFonts w:ascii="Times New Roman" w:hAnsi="Times New Roman"/>
          <w:b w:val="0"/>
          <w:lang w:val="sk-SK"/>
        </w:rPr>
        <w:t xml:space="preserve"> zmeny v uvedenom zákone. </w:t>
      </w:r>
      <w:r w:rsidRPr="00A251B6">
        <w:rPr>
          <w:rFonts w:ascii="Times New Roman" w:hAnsi="Times New Roman"/>
          <w:b w:val="0"/>
          <w:lang w:val="sk-SK"/>
        </w:rPr>
        <w:t>Takt</w:t>
      </w:r>
      <w:r w:rsidRPr="00A251B6" w:rsidR="00223B53">
        <w:rPr>
          <w:rFonts w:ascii="Times New Roman" w:hAnsi="Times New Roman"/>
          <w:b w:val="0"/>
          <w:lang w:val="sk-SK"/>
        </w:rPr>
        <w:t>iež je potrebné upraviť a doplniť niektoré ustanovenia zákona, aby sa vytvorili podmienky na  absolvovani</w:t>
      </w:r>
      <w:r w:rsidRPr="00A251B6" w:rsidR="005F62B4">
        <w:rPr>
          <w:rFonts w:ascii="Times New Roman" w:hAnsi="Times New Roman"/>
          <w:b w:val="0"/>
          <w:lang w:val="sk-SK"/>
        </w:rPr>
        <w:t>e</w:t>
      </w:r>
      <w:r w:rsidRPr="00A251B6" w:rsidR="00223B53">
        <w:rPr>
          <w:rFonts w:ascii="Times New Roman" w:hAnsi="Times New Roman"/>
          <w:b w:val="0"/>
          <w:lang w:val="sk-SK"/>
        </w:rPr>
        <w:t xml:space="preserve"> kúpeľnej </w:t>
      </w:r>
      <w:r w:rsidRPr="00A251B6">
        <w:rPr>
          <w:rFonts w:ascii="Times New Roman" w:hAnsi="Times New Roman"/>
          <w:b w:val="0"/>
          <w:lang w:val="sk-SK"/>
        </w:rPr>
        <w:t>starostlivosti</w:t>
      </w:r>
      <w:r w:rsidRPr="00A251B6" w:rsidR="00223B53">
        <w:rPr>
          <w:rFonts w:ascii="Times New Roman" w:hAnsi="Times New Roman"/>
          <w:b w:val="0"/>
          <w:lang w:val="sk-SK"/>
        </w:rPr>
        <w:t xml:space="preserve"> </w:t>
      </w:r>
      <w:r w:rsidRPr="00A251B6" w:rsidR="005F62B4">
        <w:rPr>
          <w:rFonts w:ascii="Times New Roman" w:hAnsi="Times New Roman"/>
          <w:b w:val="0"/>
          <w:lang w:val="sk-SK"/>
        </w:rPr>
        <w:t>poistencom</w:t>
      </w:r>
      <w:r w:rsidRPr="00A251B6" w:rsidR="00223B53">
        <w:rPr>
          <w:rFonts w:ascii="Times New Roman" w:hAnsi="Times New Roman"/>
          <w:b w:val="0"/>
          <w:lang w:val="sk-SK"/>
        </w:rPr>
        <w:t>, ktorí ju najviac potrebujú</w:t>
      </w:r>
      <w:r w:rsidR="00496C0A">
        <w:rPr>
          <w:rFonts w:ascii="Times New Roman" w:hAnsi="Times New Roman"/>
          <w:b w:val="0"/>
          <w:lang w:val="sk-SK"/>
        </w:rPr>
        <w:t>.</w:t>
      </w:r>
      <w:r w:rsidRPr="00A251B6" w:rsidR="00223B53">
        <w:rPr>
          <w:rFonts w:ascii="Times New Roman" w:hAnsi="Times New Roman"/>
          <w:b w:val="0"/>
          <w:lang w:val="sk-SK"/>
        </w:rPr>
        <w:t xml:space="preserve"> </w:t>
      </w:r>
    </w:p>
    <w:p w:rsidR="00886750" w:rsidRPr="00A251B6" w:rsidP="00003C2B">
      <w:pPr>
        <w:pStyle w:val="Subtitle"/>
        <w:spacing w:line="240" w:lineRule="auto"/>
        <w:ind w:firstLine="540"/>
        <w:jc w:val="both"/>
        <w:rPr>
          <w:rFonts w:ascii="Times New Roman" w:hAnsi="Times New Roman"/>
          <w:b w:val="0"/>
          <w:lang w:val="sk-SK"/>
        </w:rPr>
      </w:pPr>
    </w:p>
    <w:p w:rsidR="00163328" w:rsidRPr="00A251B6" w:rsidP="00003C2B">
      <w:pPr>
        <w:pStyle w:val="BodyTextIndent1"/>
        <w:ind w:left="0" w:firstLine="540"/>
        <w:jc w:val="both"/>
        <w:rPr>
          <w:rFonts w:ascii="Times New Roman" w:hAnsi="Times New Roman"/>
        </w:rPr>
      </w:pPr>
      <w:r w:rsidRPr="00A251B6" w:rsidR="00223B53">
        <w:rPr>
          <w:rFonts w:ascii="Times New Roman" w:hAnsi="Times New Roman"/>
        </w:rPr>
        <w:t>Ďalším c</w:t>
      </w:r>
      <w:r w:rsidRPr="00A251B6">
        <w:rPr>
          <w:rFonts w:ascii="Times New Roman" w:hAnsi="Times New Roman"/>
        </w:rPr>
        <w:t xml:space="preserve">ieľom navrhovanej právnej úpravy </w:t>
      </w:r>
      <w:r w:rsidRPr="00A251B6" w:rsidR="00BD149B">
        <w:rPr>
          <w:rFonts w:ascii="Times New Roman" w:hAnsi="Times New Roman"/>
          <w:bCs/>
        </w:rPr>
        <w:t>je</w:t>
      </w:r>
      <w:r w:rsidRPr="00A251B6">
        <w:rPr>
          <w:rFonts w:ascii="Times New Roman" w:hAnsi="Times New Roman"/>
        </w:rPr>
        <w:t> navrhnutie nových legislatívnych opatrení na zabránenie nežiaducim javom v oblasti praktickej realizácie liekovej politiky</w:t>
      </w:r>
      <w:r w:rsidRPr="00A251B6" w:rsidR="00BD149B">
        <w:rPr>
          <w:rFonts w:ascii="Times New Roman" w:hAnsi="Times New Roman"/>
        </w:rPr>
        <w:t xml:space="preserve"> v oblasti kategorizácie liečiv a liekov, zdravotníckych pomôcok a dietetických potravín</w:t>
      </w:r>
      <w:r w:rsidRPr="00A251B6">
        <w:rPr>
          <w:rFonts w:ascii="Times New Roman" w:hAnsi="Times New Roman"/>
        </w:rPr>
        <w:t xml:space="preserve">. </w:t>
      </w:r>
    </w:p>
    <w:p w:rsidR="00003C2B" w:rsidRPr="00A251B6" w:rsidP="00003C2B">
      <w:pPr>
        <w:pStyle w:val="BodyTextIndent1"/>
        <w:ind w:left="0" w:firstLine="540"/>
        <w:jc w:val="both"/>
        <w:rPr>
          <w:rFonts w:ascii="Times New Roman" w:hAnsi="Times New Roman"/>
        </w:rPr>
      </w:pPr>
    </w:p>
    <w:p w:rsidR="00163328" w:rsidRPr="00A251B6" w:rsidP="00003C2B">
      <w:pPr>
        <w:autoSpaceDE w:val="0"/>
        <w:autoSpaceDN w:val="0"/>
        <w:adjustRightInd w:val="0"/>
        <w:ind w:firstLine="540"/>
        <w:jc w:val="both"/>
        <w:rPr>
          <w:rFonts w:ascii="Times New Roman" w:hAnsi="Times New Roman"/>
        </w:rPr>
      </w:pPr>
      <w:r w:rsidRPr="00A251B6" w:rsidR="00BD149B">
        <w:rPr>
          <w:rFonts w:ascii="Times New Roman" w:hAnsi="Times New Roman"/>
        </w:rPr>
        <w:t xml:space="preserve">Spresňuje sa prebranie </w:t>
      </w:r>
      <w:r w:rsidRPr="00A251B6">
        <w:rPr>
          <w:rFonts w:ascii="Times New Roman" w:hAnsi="Times New Roman"/>
        </w:rPr>
        <w:t>smernice</w:t>
      </w:r>
      <w:r w:rsidRPr="00A251B6" w:rsidR="00BD149B">
        <w:rPr>
          <w:rFonts w:ascii="Times New Roman" w:hAnsi="Times New Roman"/>
        </w:rPr>
        <w:t xml:space="preserve"> Rady </w:t>
      </w:r>
      <w:r w:rsidRPr="00A251B6" w:rsidR="00BD149B">
        <w:rPr>
          <w:rFonts w:ascii="Times New Roman" w:hAnsi="Times New Roman"/>
          <w:bCs/>
        </w:rPr>
        <w:t xml:space="preserve">89/105/EHS z 21. 12. 1988 </w:t>
      </w:r>
      <w:r w:rsidRPr="00A251B6" w:rsidR="00BD149B">
        <w:rPr>
          <w:rFonts w:ascii="Times New Roman" w:hAnsi="Times New Roman"/>
        </w:rPr>
        <w:t>týkajúc</w:t>
      </w:r>
      <w:r w:rsidRPr="00A251B6" w:rsidR="00EC3BDF">
        <w:rPr>
          <w:rFonts w:ascii="Times New Roman" w:hAnsi="Times New Roman"/>
        </w:rPr>
        <w:t>ej</w:t>
      </w:r>
      <w:r w:rsidRPr="00A251B6" w:rsidR="00BD149B">
        <w:rPr>
          <w:rFonts w:ascii="Times New Roman" w:hAnsi="Times New Roman"/>
        </w:rPr>
        <w:t xml:space="preserve"> sa transparentnosti opatrení vzťahujúcich sa na  určenie cien humánnych liekov a ich zaradenie do  pôsobnosti národných zdravotných poisťovní.</w:t>
      </w:r>
    </w:p>
    <w:p w:rsidR="006E1E5C" w:rsidRPr="00A251B6" w:rsidP="00003C2B">
      <w:pPr>
        <w:autoSpaceDE w:val="0"/>
        <w:autoSpaceDN w:val="0"/>
        <w:adjustRightInd w:val="0"/>
        <w:ind w:firstLine="540"/>
        <w:jc w:val="both"/>
        <w:rPr>
          <w:rFonts w:ascii="Times New Roman" w:hAnsi="Times New Roman"/>
        </w:rPr>
      </w:pPr>
    </w:p>
    <w:p w:rsidR="00886E85" w:rsidRPr="00A251B6" w:rsidP="00003C2B">
      <w:pPr>
        <w:autoSpaceDE w:val="0"/>
        <w:autoSpaceDN w:val="0"/>
        <w:adjustRightInd w:val="0"/>
        <w:ind w:firstLine="540"/>
        <w:jc w:val="both"/>
        <w:rPr>
          <w:rFonts w:ascii="Times New Roman" w:hAnsi="Times New Roman"/>
        </w:rPr>
      </w:pPr>
      <w:r w:rsidRPr="00A251B6" w:rsidR="009C0C8B">
        <w:rPr>
          <w:rFonts w:ascii="Times New Roman" w:hAnsi="Times New Roman"/>
        </w:rPr>
        <w:t>N</w:t>
      </w:r>
      <w:r w:rsidRPr="00A251B6">
        <w:rPr>
          <w:rFonts w:ascii="Times New Roman" w:hAnsi="Times New Roman"/>
        </w:rPr>
        <w:t xml:space="preserve">avrhuje </w:t>
      </w:r>
      <w:r w:rsidRPr="00A251B6" w:rsidR="009C0C8B">
        <w:rPr>
          <w:rFonts w:ascii="Times New Roman" w:hAnsi="Times New Roman"/>
        </w:rPr>
        <w:t xml:space="preserve">sa </w:t>
      </w:r>
      <w:r w:rsidRPr="00A251B6">
        <w:rPr>
          <w:rFonts w:ascii="Times New Roman" w:hAnsi="Times New Roman"/>
        </w:rPr>
        <w:t xml:space="preserve">ustanovenie kategorizačnej rady pre liečivá a lieky, kategorizačnej rady  pre zdravotnícke pomôcky a kategorizačnej rady pre dietetické potraviny, ako poradných orgánov ministra zdravotníctva posudzujúcich rozklady k vydaným rozhodnutiam o kategorizácii. </w:t>
      </w:r>
    </w:p>
    <w:p w:rsidR="006E1E5C" w:rsidRPr="00A251B6" w:rsidP="00003C2B">
      <w:pPr>
        <w:pStyle w:val="BodyTextIndent1"/>
        <w:ind w:left="0" w:firstLine="540"/>
        <w:jc w:val="both"/>
        <w:rPr>
          <w:rFonts w:ascii="Times New Roman" w:hAnsi="Times New Roman"/>
        </w:rPr>
      </w:pPr>
    </w:p>
    <w:p w:rsidR="00697A28" w:rsidRPr="0022006C" w:rsidP="00003C2B">
      <w:pPr>
        <w:pStyle w:val="BodyTextIndent1"/>
        <w:ind w:left="0" w:firstLine="540"/>
        <w:jc w:val="both"/>
        <w:rPr>
          <w:rFonts w:ascii="Times New Roman" w:hAnsi="Times New Roman"/>
        </w:rPr>
      </w:pPr>
    </w:p>
    <w:p w:rsidR="00CC76B5" w:rsidRPr="00A251B6" w:rsidP="00003C2B">
      <w:pPr>
        <w:pStyle w:val="BodyTextIndent1"/>
        <w:ind w:left="0" w:firstLine="540"/>
        <w:jc w:val="both"/>
        <w:rPr>
          <w:rFonts w:ascii="Times New Roman" w:hAnsi="Times New Roman"/>
        </w:rPr>
      </w:pPr>
      <w:r w:rsidRPr="00A251B6" w:rsidR="00163328">
        <w:rPr>
          <w:rFonts w:ascii="Times New Roman" w:hAnsi="Times New Roman"/>
        </w:rPr>
        <w:t xml:space="preserve">V čl. II sa </w:t>
      </w:r>
      <w:r w:rsidRPr="00A251B6">
        <w:rPr>
          <w:rFonts w:ascii="Times New Roman" w:hAnsi="Times New Roman"/>
        </w:rPr>
        <w:t>novelizuje z</w:t>
      </w:r>
      <w:r w:rsidRPr="00A251B6">
        <w:rPr>
          <w:rFonts w:ascii="Times New Roman" w:hAnsi="Times New Roman"/>
          <w:bCs/>
          <w:szCs w:val="19"/>
          <w:lang w:eastAsia="cs-CZ"/>
        </w:rPr>
        <w:t>ákon Národnej rady Slovenskej republiky č. 145/1995 Z. z. o správnych poplatkoch v znení neskorších predpisov</w:t>
      </w:r>
      <w:r w:rsidRPr="00A251B6">
        <w:rPr>
          <w:rFonts w:ascii="Times New Roman" w:hAnsi="Times New Roman"/>
        </w:rPr>
        <w:t>.</w:t>
      </w:r>
      <w:r w:rsidRPr="00A251B6" w:rsidR="00FA6B97">
        <w:rPr>
          <w:rFonts w:ascii="Times New Roman" w:hAnsi="Times New Roman"/>
        </w:rPr>
        <w:t xml:space="preserve"> </w:t>
      </w:r>
    </w:p>
    <w:p w:rsidR="00003C2B" w:rsidRPr="00A251B6" w:rsidP="00003C2B">
      <w:pPr>
        <w:pStyle w:val="BodyTextIndent1"/>
        <w:ind w:left="0" w:firstLine="540"/>
        <w:jc w:val="both"/>
        <w:rPr>
          <w:rFonts w:ascii="Times New Roman" w:hAnsi="Times New Roman"/>
        </w:rPr>
      </w:pPr>
    </w:p>
    <w:p w:rsidR="00CC76B5" w:rsidRPr="00A251B6" w:rsidP="00003C2B">
      <w:pPr>
        <w:pStyle w:val="BodyTextIndent1"/>
        <w:ind w:left="0" w:firstLine="540"/>
        <w:jc w:val="both"/>
        <w:rPr>
          <w:rFonts w:ascii="Times New Roman" w:hAnsi="Times New Roman"/>
        </w:rPr>
      </w:pPr>
      <w:r w:rsidRPr="00A251B6">
        <w:rPr>
          <w:rFonts w:ascii="Times New Roman" w:hAnsi="Times New Roman"/>
        </w:rPr>
        <w:t xml:space="preserve">Navrhuje sa diferenciácia </w:t>
      </w:r>
      <w:r w:rsidRPr="00A251B6" w:rsidR="00163328">
        <w:rPr>
          <w:rFonts w:ascii="Times New Roman" w:hAnsi="Times New Roman"/>
        </w:rPr>
        <w:t>správn</w:t>
      </w:r>
      <w:r w:rsidRPr="00A251B6">
        <w:rPr>
          <w:rFonts w:ascii="Times New Roman" w:hAnsi="Times New Roman"/>
        </w:rPr>
        <w:t>ych</w:t>
      </w:r>
      <w:r w:rsidRPr="00A251B6" w:rsidR="00163328">
        <w:rPr>
          <w:rFonts w:ascii="Times New Roman" w:hAnsi="Times New Roman"/>
        </w:rPr>
        <w:t xml:space="preserve"> poplatk</w:t>
      </w:r>
      <w:r w:rsidRPr="00A251B6">
        <w:rPr>
          <w:rFonts w:ascii="Times New Roman" w:hAnsi="Times New Roman"/>
        </w:rPr>
        <w:t>ov</w:t>
      </w:r>
      <w:r w:rsidRPr="00A251B6" w:rsidR="00163328">
        <w:rPr>
          <w:rFonts w:ascii="Times New Roman" w:hAnsi="Times New Roman"/>
        </w:rPr>
        <w:t xml:space="preserve"> za </w:t>
      </w:r>
      <w:r w:rsidRPr="00A251B6" w:rsidR="00EC3BDF">
        <w:rPr>
          <w:rFonts w:ascii="Times New Roman" w:hAnsi="Times New Roman"/>
        </w:rPr>
        <w:t>zaradenie liečiva a lieku do zoznamu liekov, zdravotníckych pomôcok</w:t>
      </w:r>
      <w:r w:rsidRPr="00A251B6">
        <w:rPr>
          <w:rFonts w:ascii="Times New Roman" w:hAnsi="Times New Roman"/>
        </w:rPr>
        <w:t xml:space="preserve"> </w:t>
      </w:r>
      <w:r w:rsidRPr="00A251B6" w:rsidR="00EC3BDF">
        <w:rPr>
          <w:rFonts w:ascii="Times New Roman" w:hAnsi="Times New Roman"/>
        </w:rPr>
        <w:t>do zoznamu zdravotníckych pomôcok a dietetických potravín do zoznamu dietetických potravín</w:t>
      </w:r>
      <w:r w:rsidRPr="00A251B6" w:rsidR="00163328">
        <w:rPr>
          <w:rFonts w:ascii="Times New Roman" w:hAnsi="Times New Roman"/>
        </w:rPr>
        <w:t xml:space="preserve"> </w:t>
      </w:r>
      <w:r w:rsidRPr="00A251B6">
        <w:rPr>
          <w:rFonts w:ascii="Times New Roman" w:hAnsi="Times New Roman"/>
        </w:rPr>
        <w:t xml:space="preserve">a za zmenu zaradenia liečiv a liekov, zdravotníckych pomôcok a dietetických potravín v príslušných zoznamoch. </w:t>
      </w:r>
    </w:p>
    <w:p w:rsidR="00DB2E01" w:rsidRPr="00A251B6" w:rsidP="00003C2B">
      <w:pPr>
        <w:pStyle w:val="BodyTextIndent1"/>
        <w:ind w:left="0" w:firstLine="540"/>
        <w:jc w:val="both"/>
        <w:rPr>
          <w:rFonts w:ascii="Times New Roman" w:hAnsi="Times New Roman"/>
        </w:rPr>
      </w:pPr>
    </w:p>
    <w:p w:rsidR="00DB2E01" w:rsidRPr="00A251B6" w:rsidP="00003C2B">
      <w:pPr>
        <w:pStyle w:val="BodyTextIndent1"/>
        <w:ind w:left="0" w:firstLine="540"/>
        <w:jc w:val="both"/>
        <w:rPr>
          <w:rFonts w:ascii="Times New Roman" w:hAnsi="Times New Roman"/>
        </w:rPr>
      </w:pPr>
    </w:p>
    <w:p w:rsidR="0079122F" w:rsidP="00003C2B">
      <w:pPr>
        <w:pStyle w:val="BodyTextIndent1"/>
        <w:ind w:left="0" w:firstLine="540"/>
        <w:jc w:val="both"/>
        <w:rPr>
          <w:rFonts w:ascii="Times New Roman" w:hAnsi="Times New Roman"/>
          <w:bCs/>
          <w:szCs w:val="19"/>
          <w:lang w:eastAsia="cs-CZ"/>
        </w:rPr>
      </w:pPr>
      <w:r w:rsidRPr="00A251B6" w:rsidR="00163328">
        <w:rPr>
          <w:rFonts w:ascii="Times New Roman" w:hAnsi="Times New Roman"/>
        </w:rPr>
        <w:t xml:space="preserve">V čl. III sa mení a dopĺňa sa zákon č. </w:t>
      </w:r>
      <w:r w:rsidRPr="00A251B6" w:rsidR="00CC76B5">
        <w:rPr>
          <w:rFonts w:ascii="Times New Roman" w:hAnsi="Times New Roman"/>
          <w:bCs/>
        </w:rPr>
        <w:t>140/1998 Z. z. o liekoch a zdravotníckych pomôckach, o zmene zákona č. 455/1991 Zb. o živnostenskom podnikaní (živnostenský zákon) v znení neskorších predpisov a o zmene a doplnení zákona Národnej rady Slovenskej republiky č. 220/1996 Z. z. o</w:t>
      </w:r>
      <w:r w:rsidRPr="00A251B6" w:rsidR="00C56226">
        <w:rPr>
          <w:rFonts w:ascii="Times New Roman" w:hAnsi="Times New Roman"/>
          <w:bCs/>
        </w:rPr>
        <w:t> </w:t>
      </w:r>
      <w:r w:rsidRPr="00A251B6" w:rsidR="00CC76B5">
        <w:rPr>
          <w:rFonts w:ascii="Times New Roman" w:hAnsi="Times New Roman"/>
          <w:bCs/>
        </w:rPr>
        <w:t>reklame</w:t>
      </w:r>
      <w:r w:rsidRPr="00A251B6" w:rsidR="00C56226">
        <w:rPr>
          <w:rFonts w:ascii="Times New Roman" w:hAnsi="Times New Roman"/>
          <w:bCs/>
        </w:rPr>
        <w:t xml:space="preserve"> </w:t>
      </w:r>
      <w:r w:rsidRPr="00A251B6" w:rsidR="00C56226">
        <w:rPr>
          <w:rFonts w:ascii="Times New Roman" w:hAnsi="Times New Roman"/>
          <w:bCs/>
          <w:szCs w:val="19"/>
          <w:lang w:eastAsia="cs-CZ"/>
        </w:rPr>
        <w:t>v znení neskorších predpisov. Navrhujú sa zmeny v ustanoveniach o</w:t>
      </w:r>
      <w:r w:rsidRPr="00A251B6" w:rsidR="00FA6B97">
        <w:rPr>
          <w:rFonts w:ascii="Times New Roman" w:hAnsi="Times New Roman"/>
          <w:bCs/>
          <w:szCs w:val="19"/>
          <w:lang w:eastAsia="cs-CZ"/>
        </w:rPr>
        <w:t> oprávnení predpisovať lieky, zdravotnícke pomôcky a dietetické potraviny a v náležitostiach lekárskeho predpisu a lekárskeho poukazu v nadväznosti na ostatné zdravotnícke zákony, nakoniec</w:t>
      </w:r>
      <w:r w:rsidRPr="00A251B6" w:rsidR="00223B53">
        <w:rPr>
          <w:rFonts w:ascii="Times New Roman" w:hAnsi="Times New Roman"/>
          <w:bCs/>
          <w:szCs w:val="19"/>
          <w:lang w:eastAsia="cs-CZ"/>
        </w:rPr>
        <w:t xml:space="preserve"> </w:t>
      </w:r>
      <w:r w:rsidRPr="00A251B6" w:rsidR="00FA6B97">
        <w:rPr>
          <w:rFonts w:ascii="Times New Roman" w:hAnsi="Times New Roman"/>
          <w:bCs/>
          <w:szCs w:val="19"/>
          <w:lang w:eastAsia="cs-CZ"/>
        </w:rPr>
        <w:t>s</w:t>
      </w:r>
      <w:r w:rsidRPr="00A251B6" w:rsidR="00223B53">
        <w:rPr>
          <w:rFonts w:ascii="Times New Roman" w:hAnsi="Times New Roman"/>
          <w:bCs/>
          <w:szCs w:val="19"/>
          <w:lang w:eastAsia="cs-CZ"/>
        </w:rPr>
        <w:t>a </w:t>
      </w:r>
      <w:r w:rsidRPr="00A251B6" w:rsidR="00FA6B97">
        <w:rPr>
          <w:rFonts w:ascii="Times New Roman" w:hAnsi="Times New Roman"/>
          <w:bCs/>
          <w:szCs w:val="19"/>
          <w:lang w:eastAsia="cs-CZ"/>
        </w:rPr>
        <w:t xml:space="preserve">navrhuje zmena v ustanovení </w:t>
      </w:r>
      <w:r w:rsidRPr="00A251B6" w:rsidR="00223B53">
        <w:rPr>
          <w:rFonts w:ascii="Times New Roman" w:hAnsi="Times New Roman"/>
          <w:bCs/>
          <w:szCs w:val="19"/>
          <w:lang w:eastAsia="cs-CZ"/>
        </w:rPr>
        <w:t xml:space="preserve">o </w:t>
      </w:r>
      <w:r w:rsidRPr="00A251B6" w:rsidR="00C56226">
        <w:rPr>
          <w:rFonts w:ascii="Times New Roman" w:hAnsi="Times New Roman"/>
          <w:bCs/>
          <w:szCs w:val="19"/>
          <w:lang w:eastAsia="cs-CZ"/>
        </w:rPr>
        <w:t>výdaji náhradného generického lieku, ktor</w:t>
      </w:r>
      <w:r w:rsidRPr="00A251B6" w:rsidR="00FA6B97">
        <w:rPr>
          <w:rFonts w:ascii="Times New Roman" w:hAnsi="Times New Roman"/>
          <w:bCs/>
          <w:szCs w:val="19"/>
          <w:lang w:eastAsia="cs-CZ"/>
        </w:rPr>
        <w:t>á</w:t>
      </w:r>
      <w:r w:rsidRPr="00A251B6" w:rsidR="00C56226">
        <w:rPr>
          <w:rFonts w:ascii="Times New Roman" w:hAnsi="Times New Roman"/>
          <w:bCs/>
          <w:szCs w:val="19"/>
          <w:lang w:eastAsia="cs-CZ"/>
        </w:rPr>
        <w:t xml:space="preserve"> úzko súvisia s kategorizáciou liečiv a liekov. </w:t>
      </w:r>
    </w:p>
    <w:p w:rsidR="00815F86" w:rsidRPr="00A251B6" w:rsidP="00003C2B">
      <w:pPr>
        <w:pStyle w:val="BodyTextIndent1"/>
        <w:ind w:left="0" w:firstLine="540"/>
        <w:jc w:val="both"/>
        <w:rPr>
          <w:rFonts w:ascii="Times New Roman" w:hAnsi="Times New Roman"/>
        </w:rPr>
      </w:pPr>
    </w:p>
    <w:p w:rsidR="00577460" w:rsidRPr="00A251B6" w:rsidP="00577460">
      <w:pPr>
        <w:pStyle w:val="BodyText"/>
        <w:spacing w:line="240" w:lineRule="auto"/>
        <w:rPr>
          <w:rFonts w:ascii="Times New Roman" w:hAnsi="Times New Roman"/>
        </w:rPr>
      </w:pPr>
      <w:r w:rsidRPr="00A251B6" w:rsidR="0079122F">
        <w:rPr>
          <w:rFonts w:ascii="Times New Roman" w:hAnsi="Times New Roman"/>
        </w:rPr>
        <w:t xml:space="preserve">      </w:t>
      </w:r>
      <w:r w:rsidRPr="00A251B6">
        <w:rPr>
          <w:rFonts w:ascii="Times New Roman" w:hAnsi="Times New Roman"/>
        </w:rPr>
        <w:t>Návrhom zákona sa zvýšia príjmy štátneho rozpočtu o 4,2 mil. Sk (zvýšenie doterajších správnych poplatkov).  Návrh zákona nezvyšuje finančné nároky na štátny rozpočet, ani na rozpočty obcí, nemá environmentálny vplyv ani vplyv na zamestnanosť. Podnikateľské prostredie (farmaceutický priemysel) ovplyvní zvýšenými výdavkami o 4,2 mil. Sk za navrhované správne poplatky.</w:t>
      </w:r>
    </w:p>
    <w:p w:rsidR="00577460" w:rsidRPr="00A251B6" w:rsidP="00577460">
      <w:pPr>
        <w:pStyle w:val="BodyText"/>
        <w:spacing w:line="240" w:lineRule="auto"/>
        <w:rPr>
          <w:rFonts w:ascii="Times New Roman" w:hAnsi="Times New Roman"/>
        </w:rPr>
      </w:pPr>
    </w:p>
    <w:tbl>
      <w:tblPr>
        <w:tblStyle w:val="TableNormal"/>
        <w:tblW w:w="9900" w:type="dxa"/>
        <w:tblInd w:w="57" w:type="dxa"/>
        <w:tblCellMar>
          <w:left w:w="70" w:type="dxa"/>
          <w:right w:w="70" w:type="dxa"/>
        </w:tblCellMar>
      </w:tblPr>
      <w:tblGrid>
        <w:gridCol w:w="1080"/>
        <w:gridCol w:w="1080"/>
        <w:gridCol w:w="2503"/>
        <w:gridCol w:w="701"/>
        <w:gridCol w:w="1493"/>
        <w:gridCol w:w="1493"/>
        <w:gridCol w:w="1493"/>
        <w:gridCol w:w="160"/>
      </w:tblGrid>
      <w:tr>
        <w:tblPrEx>
          <w:tblW w:w="9900" w:type="dxa"/>
          <w:tblInd w:w="57" w:type="dxa"/>
          <w:tblCellMar>
            <w:left w:w="70" w:type="dxa"/>
            <w:right w:w="70" w:type="dxa"/>
          </w:tblCellMar>
        </w:tblPrEx>
        <w:trPr>
          <w:trHeight w:val="255"/>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7740" w:type="dxa"/>
            <w:gridSpan w:val="6"/>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r w:rsidRPr="00A251B6">
              <w:rPr>
                <w:rFonts w:ascii="Arial" w:hAnsi="Arial" w:cs="Arial"/>
                <w:b/>
                <w:bCs/>
                <w:sz w:val="20"/>
                <w:szCs w:val="20"/>
                <w:u w:val="single"/>
              </w:rPr>
              <w:t>Kategorizácia liekov prehľad žiadostí za rok 2006</w:t>
            </w:r>
          </w:p>
        </w:tc>
      </w:tr>
      <w:tr>
        <w:tblPrEx>
          <w:tblW w:w="9900" w:type="dxa"/>
          <w:tblInd w:w="57" w:type="dxa"/>
          <w:tblCellMar>
            <w:left w:w="70" w:type="dxa"/>
            <w:right w:w="70" w:type="dxa"/>
          </w:tblCellMar>
        </w:tblPrEx>
        <w:trPr>
          <w:trHeight w:val="270"/>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2503"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701"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1493"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1493"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1493"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57"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r>
      <w:tr>
        <w:tblPrEx>
          <w:tblW w:w="9900" w:type="dxa"/>
          <w:tblInd w:w="57" w:type="dxa"/>
          <w:tblCellMar>
            <w:left w:w="70" w:type="dxa"/>
            <w:right w:w="70" w:type="dxa"/>
          </w:tblCellMar>
        </w:tblPrEx>
        <w:trPr>
          <w:trHeight w:val="270"/>
        </w:trPr>
        <w:tc>
          <w:tcPr>
            <w:tcW w:w="2160" w:type="dxa"/>
            <w:gridSpan w:val="2"/>
            <w:tcBorders>
              <w:top w:val="single" w:sz="8" w:space="0" w:color="auto"/>
              <w:left w:val="single" w:sz="8" w:space="0" w:color="auto"/>
              <w:bottom w:val="single" w:sz="8" w:space="0" w:color="auto"/>
              <w:right w:val="single" w:sz="8" w:space="0" w:color="000000"/>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Hodnota</w:t>
            </w:r>
          </w:p>
        </w:tc>
        <w:tc>
          <w:tcPr>
            <w:tcW w:w="2503" w:type="dxa"/>
            <w:tcBorders>
              <w:top w:val="nil"/>
              <w:left w:val="nil"/>
              <w:bottom w:val="nil"/>
              <w:right w:val="nil"/>
            </w:tcBorders>
            <w:noWrap/>
            <w:textDirection w:val="lrTb"/>
            <w:vAlign w:val="bottom"/>
          </w:tcPr>
          <w:p w:rsidR="00577460" w:rsidRPr="00A251B6" w:rsidP="000B12F8">
            <w:pPr>
              <w:jc w:val="center"/>
              <w:rPr>
                <w:rFonts w:ascii="Arial" w:hAnsi="Arial" w:cs="Arial"/>
                <w:sz w:val="20"/>
                <w:szCs w:val="20"/>
              </w:rPr>
            </w:pPr>
          </w:p>
        </w:tc>
        <w:tc>
          <w:tcPr>
            <w:tcW w:w="701" w:type="dxa"/>
            <w:tcBorders>
              <w:top w:val="nil"/>
              <w:left w:val="nil"/>
              <w:bottom w:val="nil"/>
              <w:right w:val="nil"/>
            </w:tcBorders>
            <w:noWrap/>
            <w:textDirection w:val="lrTb"/>
            <w:vAlign w:val="bottom"/>
          </w:tcPr>
          <w:p w:rsidR="00577460" w:rsidRPr="00A251B6" w:rsidP="000B12F8">
            <w:pPr>
              <w:jc w:val="center"/>
              <w:rPr>
                <w:rFonts w:ascii="Arial" w:hAnsi="Arial" w:cs="Arial"/>
                <w:sz w:val="20"/>
                <w:szCs w:val="20"/>
              </w:rPr>
            </w:pPr>
          </w:p>
        </w:tc>
        <w:tc>
          <w:tcPr>
            <w:tcW w:w="4479" w:type="dxa"/>
            <w:gridSpan w:val="3"/>
            <w:tcBorders>
              <w:top w:val="single" w:sz="8" w:space="0" w:color="auto"/>
              <w:left w:val="single" w:sz="8" w:space="0" w:color="auto"/>
              <w:bottom w:val="nil"/>
              <w:right w:val="single" w:sz="8" w:space="0" w:color="000000"/>
            </w:tcBorders>
            <w:shd w:val="clear" w:color="auto" w:fill="FFFF99"/>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 xml:space="preserve">Vybrané správne poplatky </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single" w:sz="8" w:space="0" w:color="auto"/>
              <w:bottom w:val="single" w:sz="4" w:space="0" w:color="auto"/>
              <w:right w:val="single" w:sz="4"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2006</w:t>
            </w:r>
          </w:p>
        </w:tc>
        <w:tc>
          <w:tcPr>
            <w:tcW w:w="1080" w:type="dxa"/>
            <w:tcBorders>
              <w:top w:val="nil"/>
              <w:left w:val="nil"/>
              <w:bottom w:val="single" w:sz="4" w:space="0" w:color="auto"/>
              <w:right w:val="single" w:sz="4"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2008</w:t>
            </w:r>
          </w:p>
        </w:tc>
        <w:tc>
          <w:tcPr>
            <w:tcW w:w="2503" w:type="dxa"/>
            <w:tcBorders>
              <w:top w:val="single" w:sz="8" w:space="0" w:color="auto"/>
              <w:left w:val="nil"/>
              <w:bottom w:val="single" w:sz="4" w:space="0" w:color="auto"/>
              <w:right w:val="single" w:sz="4" w:space="0" w:color="auto"/>
            </w:tcBorders>
            <w:noWrap/>
            <w:textDirection w:val="lrTb"/>
            <w:vAlign w:val="bottom"/>
          </w:tcPr>
          <w:p w:rsidR="00577460" w:rsidRPr="00A251B6" w:rsidP="000B12F8">
            <w:pPr>
              <w:rPr>
                <w:rFonts w:ascii="Arial" w:hAnsi="Arial" w:cs="Arial"/>
                <w:b/>
                <w:bCs/>
                <w:sz w:val="20"/>
                <w:szCs w:val="20"/>
              </w:rPr>
            </w:pPr>
            <w:r w:rsidRPr="00A251B6">
              <w:rPr>
                <w:rFonts w:ascii="Arial" w:hAnsi="Arial" w:cs="Arial"/>
                <w:b/>
                <w:bCs/>
                <w:sz w:val="20"/>
                <w:szCs w:val="20"/>
              </w:rPr>
              <w:t>Rozhodnutie</w:t>
            </w:r>
          </w:p>
        </w:tc>
        <w:tc>
          <w:tcPr>
            <w:tcW w:w="701" w:type="dxa"/>
            <w:tcBorders>
              <w:top w:val="single" w:sz="8" w:space="0" w:color="auto"/>
              <w:left w:val="nil"/>
              <w:bottom w:val="single" w:sz="4" w:space="0" w:color="auto"/>
              <w:right w:val="single" w:sz="4" w:space="0" w:color="auto"/>
            </w:tcBorders>
            <w:noWrap/>
            <w:textDirection w:val="lrTb"/>
            <w:vAlign w:val="bottom"/>
          </w:tcPr>
          <w:p w:rsidR="00577460" w:rsidRPr="00A251B6" w:rsidP="000B12F8">
            <w:pPr>
              <w:rPr>
                <w:rFonts w:ascii="Arial" w:hAnsi="Arial" w:cs="Arial"/>
                <w:b/>
                <w:bCs/>
                <w:sz w:val="20"/>
                <w:szCs w:val="20"/>
              </w:rPr>
            </w:pPr>
            <w:r w:rsidRPr="00A251B6">
              <w:rPr>
                <w:rFonts w:ascii="Arial" w:hAnsi="Arial" w:cs="Arial"/>
                <w:b/>
                <w:bCs/>
                <w:sz w:val="20"/>
                <w:szCs w:val="20"/>
              </w:rPr>
              <w:t>Počet</w:t>
            </w:r>
          </w:p>
        </w:tc>
        <w:tc>
          <w:tcPr>
            <w:tcW w:w="1493" w:type="dxa"/>
            <w:tcBorders>
              <w:top w:val="single" w:sz="8" w:space="0" w:color="auto"/>
              <w:left w:val="nil"/>
              <w:bottom w:val="single" w:sz="4" w:space="0" w:color="auto"/>
              <w:right w:val="single" w:sz="4"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Spolu 2006</w:t>
            </w:r>
          </w:p>
        </w:tc>
        <w:tc>
          <w:tcPr>
            <w:tcW w:w="1493" w:type="dxa"/>
            <w:tcBorders>
              <w:top w:val="single" w:sz="8" w:space="0" w:color="auto"/>
              <w:left w:val="nil"/>
              <w:bottom w:val="single" w:sz="4" w:space="0" w:color="auto"/>
              <w:right w:val="single" w:sz="4"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Spolu 2008</w:t>
            </w:r>
          </w:p>
        </w:tc>
        <w:tc>
          <w:tcPr>
            <w:tcW w:w="1493" w:type="dxa"/>
            <w:tcBorders>
              <w:top w:val="single" w:sz="8" w:space="0" w:color="auto"/>
              <w:left w:val="nil"/>
              <w:bottom w:val="single" w:sz="4" w:space="0" w:color="auto"/>
              <w:right w:val="single" w:sz="8"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Dopad</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single" w:sz="8" w:space="0" w:color="auto"/>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1 000 Sk</w:t>
            </w:r>
          </w:p>
        </w:tc>
        <w:tc>
          <w:tcPr>
            <w:tcW w:w="1080"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4 000 Sk</w:t>
            </w:r>
          </w:p>
        </w:tc>
        <w:tc>
          <w:tcPr>
            <w:tcW w:w="2503" w:type="dxa"/>
            <w:tcBorders>
              <w:top w:val="nil"/>
              <w:left w:val="nil"/>
              <w:bottom w:val="single" w:sz="4"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O zaradení</w:t>
            </w:r>
          </w:p>
        </w:tc>
        <w:tc>
          <w:tcPr>
            <w:tcW w:w="701"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773</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773 000 Sk</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3 092 000 Sk</w:t>
            </w:r>
          </w:p>
        </w:tc>
        <w:tc>
          <w:tcPr>
            <w:tcW w:w="1493" w:type="dxa"/>
            <w:tcBorders>
              <w:top w:val="nil"/>
              <w:left w:val="nil"/>
              <w:bottom w:val="single" w:sz="4" w:space="0" w:color="auto"/>
              <w:right w:val="single" w:sz="8"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2 319 000 Sk</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single" w:sz="8" w:space="0" w:color="auto"/>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0 Sk</w:t>
            </w:r>
          </w:p>
        </w:tc>
        <w:tc>
          <w:tcPr>
            <w:tcW w:w="1080"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2 000 Sk</w:t>
            </w:r>
          </w:p>
        </w:tc>
        <w:tc>
          <w:tcPr>
            <w:tcW w:w="2503" w:type="dxa"/>
            <w:tcBorders>
              <w:top w:val="nil"/>
              <w:left w:val="nil"/>
              <w:bottom w:val="single" w:sz="4"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O zmene</w:t>
            </w:r>
          </w:p>
        </w:tc>
        <w:tc>
          <w:tcPr>
            <w:tcW w:w="701"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154</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0 Sk</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308 000 Sk</w:t>
            </w:r>
          </w:p>
        </w:tc>
        <w:tc>
          <w:tcPr>
            <w:tcW w:w="1493" w:type="dxa"/>
            <w:tcBorders>
              <w:top w:val="nil"/>
              <w:left w:val="nil"/>
              <w:bottom w:val="single" w:sz="4" w:space="0" w:color="auto"/>
              <w:right w:val="single" w:sz="8"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308 000 Sk</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70"/>
        </w:trPr>
        <w:tc>
          <w:tcPr>
            <w:tcW w:w="1080" w:type="dxa"/>
            <w:tcBorders>
              <w:top w:val="nil"/>
              <w:left w:val="single" w:sz="8" w:space="0" w:color="auto"/>
              <w:bottom w:val="single" w:sz="8"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 </w:t>
            </w:r>
          </w:p>
        </w:tc>
        <w:tc>
          <w:tcPr>
            <w:tcW w:w="1080" w:type="dxa"/>
            <w:tcBorders>
              <w:top w:val="nil"/>
              <w:left w:val="nil"/>
              <w:bottom w:val="single" w:sz="8"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 </w:t>
            </w:r>
          </w:p>
        </w:tc>
        <w:tc>
          <w:tcPr>
            <w:tcW w:w="2503" w:type="dxa"/>
            <w:tcBorders>
              <w:top w:val="nil"/>
              <w:left w:val="nil"/>
              <w:bottom w:val="single" w:sz="8"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 </w:t>
            </w:r>
          </w:p>
        </w:tc>
        <w:tc>
          <w:tcPr>
            <w:tcW w:w="701" w:type="dxa"/>
            <w:tcBorders>
              <w:top w:val="nil"/>
              <w:left w:val="nil"/>
              <w:bottom w:val="single" w:sz="8"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927</w:t>
            </w:r>
          </w:p>
        </w:tc>
        <w:tc>
          <w:tcPr>
            <w:tcW w:w="1493" w:type="dxa"/>
            <w:tcBorders>
              <w:top w:val="nil"/>
              <w:left w:val="nil"/>
              <w:bottom w:val="single" w:sz="8"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773 000 Sk</w:t>
            </w:r>
          </w:p>
        </w:tc>
        <w:tc>
          <w:tcPr>
            <w:tcW w:w="1493" w:type="dxa"/>
            <w:tcBorders>
              <w:top w:val="nil"/>
              <w:left w:val="nil"/>
              <w:bottom w:val="single" w:sz="8"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3 400 000 Sk</w:t>
            </w:r>
          </w:p>
        </w:tc>
        <w:tc>
          <w:tcPr>
            <w:tcW w:w="1493" w:type="dxa"/>
            <w:tcBorders>
              <w:top w:val="nil"/>
              <w:left w:val="nil"/>
              <w:bottom w:val="single" w:sz="8" w:space="0" w:color="auto"/>
              <w:right w:val="single" w:sz="8"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2 627 000 Sk</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250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701"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250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701"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8763" w:type="dxa"/>
            <w:gridSpan w:val="6"/>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r w:rsidRPr="00A251B6">
              <w:rPr>
                <w:rFonts w:ascii="Arial" w:hAnsi="Arial" w:cs="Arial"/>
                <w:b/>
                <w:bCs/>
                <w:sz w:val="20"/>
                <w:szCs w:val="20"/>
                <w:u w:val="single"/>
              </w:rPr>
              <w:t>Kategorizácia zdravotníckych pomôcok prehľad žiadostí za rok 2006</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70"/>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080"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2503"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701"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1493"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1493"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1493"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70"/>
        </w:trPr>
        <w:tc>
          <w:tcPr>
            <w:tcW w:w="2160" w:type="dxa"/>
            <w:gridSpan w:val="2"/>
            <w:tcBorders>
              <w:top w:val="single" w:sz="8" w:space="0" w:color="auto"/>
              <w:left w:val="single" w:sz="8" w:space="0" w:color="auto"/>
              <w:bottom w:val="single" w:sz="8" w:space="0" w:color="auto"/>
              <w:right w:val="single" w:sz="8" w:space="0" w:color="000000"/>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Hodnota</w:t>
            </w:r>
          </w:p>
        </w:tc>
        <w:tc>
          <w:tcPr>
            <w:tcW w:w="2503" w:type="dxa"/>
            <w:tcBorders>
              <w:top w:val="nil"/>
              <w:left w:val="nil"/>
              <w:bottom w:val="nil"/>
              <w:right w:val="nil"/>
            </w:tcBorders>
            <w:noWrap/>
            <w:textDirection w:val="lrTb"/>
            <w:vAlign w:val="bottom"/>
          </w:tcPr>
          <w:p w:rsidR="00577460" w:rsidRPr="00A251B6" w:rsidP="000B12F8">
            <w:pPr>
              <w:jc w:val="center"/>
              <w:rPr>
                <w:rFonts w:ascii="Arial" w:hAnsi="Arial" w:cs="Arial"/>
                <w:sz w:val="20"/>
                <w:szCs w:val="20"/>
              </w:rPr>
            </w:pPr>
          </w:p>
        </w:tc>
        <w:tc>
          <w:tcPr>
            <w:tcW w:w="701" w:type="dxa"/>
            <w:tcBorders>
              <w:top w:val="nil"/>
              <w:left w:val="nil"/>
              <w:bottom w:val="nil"/>
              <w:right w:val="nil"/>
            </w:tcBorders>
            <w:noWrap/>
            <w:textDirection w:val="lrTb"/>
            <w:vAlign w:val="bottom"/>
          </w:tcPr>
          <w:p w:rsidR="00577460" w:rsidRPr="00A251B6" w:rsidP="000B12F8">
            <w:pPr>
              <w:jc w:val="center"/>
              <w:rPr>
                <w:rFonts w:ascii="Arial" w:hAnsi="Arial" w:cs="Arial"/>
                <w:sz w:val="20"/>
                <w:szCs w:val="20"/>
              </w:rPr>
            </w:pPr>
          </w:p>
        </w:tc>
        <w:tc>
          <w:tcPr>
            <w:tcW w:w="4479" w:type="dxa"/>
            <w:gridSpan w:val="3"/>
            <w:tcBorders>
              <w:top w:val="single" w:sz="8" w:space="0" w:color="auto"/>
              <w:left w:val="single" w:sz="8" w:space="0" w:color="auto"/>
              <w:bottom w:val="nil"/>
              <w:right w:val="single" w:sz="8" w:space="0" w:color="000000"/>
            </w:tcBorders>
            <w:shd w:val="clear" w:color="auto" w:fill="FFFF99"/>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 xml:space="preserve">Vybrané správne poplatky </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single" w:sz="8" w:space="0" w:color="auto"/>
              <w:bottom w:val="single" w:sz="4" w:space="0" w:color="auto"/>
              <w:right w:val="single" w:sz="4"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2006</w:t>
            </w:r>
          </w:p>
        </w:tc>
        <w:tc>
          <w:tcPr>
            <w:tcW w:w="1080" w:type="dxa"/>
            <w:tcBorders>
              <w:top w:val="nil"/>
              <w:left w:val="nil"/>
              <w:bottom w:val="single" w:sz="4" w:space="0" w:color="auto"/>
              <w:right w:val="single" w:sz="4"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2008</w:t>
            </w:r>
          </w:p>
        </w:tc>
        <w:tc>
          <w:tcPr>
            <w:tcW w:w="2503" w:type="dxa"/>
            <w:tcBorders>
              <w:top w:val="single" w:sz="8" w:space="0" w:color="auto"/>
              <w:left w:val="nil"/>
              <w:bottom w:val="single" w:sz="4" w:space="0" w:color="auto"/>
              <w:right w:val="single" w:sz="4" w:space="0" w:color="auto"/>
            </w:tcBorders>
            <w:noWrap/>
            <w:textDirection w:val="lrTb"/>
            <w:vAlign w:val="bottom"/>
          </w:tcPr>
          <w:p w:rsidR="00577460" w:rsidRPr="00A251B6" w:rsidP="000B12F8">
            <w:pPr>
              <w:rPr>
                <w:rFonts w:ascii="Arial" w:hAnsi="Arial" w:cs="Arial"/>
                <w:b/>
                <w:bCs/>
                <w:sz w:val="20"/>
                <w:szCs w:val="20"/>
              </w:rPr>
            </w:pPr>
            <w:r w:rsidRPr="00A251B6">
              <w:rPr>
                <w:rFonts w:ascii="Arial" w:hAnsi="Arial" w:cs="Arial"/>
                <w:b/>
                <w:bCs/>
                <w:sz w:val="20"/>
                <w:szCs w:val="20"/>
              </w:rPr>
              <w:t>Rozhodnutie</w:t>
            </w:r>
          </w:p>
        </w:tc>
        <w:tc>
          <w:tcPr>
            <w:tcW w:w="701" w:type="dxa"/>
            <w:tcBorders>
              <w:top w:val="single" w:sz="8" w:space="0" w:color="auto"/>
              <w:left w:val="nil"/>
              <w:bottom w:val="single" w:sz="4" w:space="0" w:color="auto"/>
              <w:right w:val="single" w:sz="4" w:space="0" w:color="auto"/>
            </w:tcBorders>
            <w:noWrap/>
            <w:textDirection w:val="lrTb"/>
            <w:vAlign w:val="bottom"/>
          </w:tcPr>
          <w:p w:rsidR="00577460" w:rsidRPr="00A251B6" w:rsidP="000B12F8">
            <w:pPr>
              <w:rPr>
                <w:rFonts w:ascii="Arial" w:hAnsi="Arial" w:cs="Arial"/>
                <w:b/>
                <w:bCs/>
                <w:sz w:val="20"/>
                <w:szCs w:val="20"/>
              </w:rPr>
            </w:pPr>
            <w:r w:rsidRPr="00A251B6">
              <w:rPr>
                <w:rFonts w:ascii="Arial" w:hAnsi="Arial" w:cs="Arial"/>
                <w:b/>
                <w:bCs/>
                <w:sz w:val="20"/>
                <w:szCs w:val="20"/>
              </w:rPr>
              <w:t>Počet</w:t>
            </w:r>
          </w:p>
        </w:tc>
        <w:tc>
          <w:tcPr>
            <w:tcW w:w="1493" w:type="dxa"/>
            <w:tcBorders>
              <w:top w:val="single" w:sz="8" w:space="0" w:color="auto"/>
              <w:left w:val="nil"/>
              <w:bottom w:val="single" w:sz="4" w:space="0" w:color="auto"/>
              <w:right w:val="single" w:sz="4"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Spolu 2006</w:t>
            </w:r>
          </w:p>
        </w:tc>
        <w:tc>
          <w:tcPr>
            <w:tcW w:w="1493" w:type="dxa"/>
            <w:tcBorders>
              <w:top w:val="single" w:sz="8" w:space="0" w:color="auto"/>
              <w:left w:val="nil"/>
              <w:bottom w:val="single" w:sz="4" w:space="0" w:color="auto"/>
              <w:right w:val="single" w:sz="4"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Spolu 2008</w:t>
            </w:r>
          </w:p>
        </w:tc>
        <w:tc>
          <w:tcPr>
            <w:tcW w:w="1493" w:type="dxa"/>
            <w:tcBorders>
              <w:top w:val="single" w:sz="8" w:space="0" w:color="auto"/>
              <w:left w:val="nil"/>
              <w:bottom w:val="single" w:sz="4" w:space="0" w:color="auto"/>
              <w:right w:val="single" w:sz="8"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Dopad</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single" w:sz="8" w:space="0" w:color="auto"/>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1 000 Sk</w:t>
            </w:r>
          </w:p>
        </w:tc>
        <w:tc>
          <w:tcPr>
            <w:tcW w:w="1080"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4 000 Sk</w:t>
            </w:r>
          </w:p>
        </w:tc>
        <w:tc>
          <w:tcPr>
            <w:tcW w:w="2503" w:type="dxa"/>
            <w:tcBorders>
              <w:top w:val="nil"/>
              <w:left w:val="nil"/>
              <w:bottom w:val="single" w:sz="4"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O zaradení</w:t>
            </w:r>
          </w:p>
        </w:tc>
        <w:tc>
          <w:tcPr>
            <w:tcW w:w="701"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394</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394 000 Sk</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1 576 000 Sk</w:t>
            </w:r>
          </w:p>
        </w:tc>
        <w:tc>
          <w:tcPr>
            <w:tcW w:w="1493" w:type="dxa"/>
            <w:tcBorders>
              <w:top w:val="nil"/>
              <w:left w:val="nil"/>
              <w:bottom w:val="single" w:sz="4" w:space="0" w:color="auto"/>
              <w:right w:val="single" w:sz="8"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1 182 000 Sk</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single" w:sz="8" w:space="0" w:color="auto"/>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1 000 Sk</w:t>
            </w:r>
          </w:p>
        </w:tc>
        <w:tc>
          <w:tcPr>
            <w:tcW w:w="1080"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4 000 Sk</w:t>
            </w:r>
          </w:p>
        </w:tc>
        <w:tc>
          <w:tcPr>
            <w:tcW w:w="2503" w:type="dxa"/>
            <w:tcBorders>
              <w:top w:val="nil"/>
              <w:left w:val="nil"/>
              <w:bottom w:val="single" w:sz="4"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O nezaradení</w:t>
            </w:r>
          </w:p>
        </w:tc>
        <w:tc>
          <w:tcPr>
            <w:tcW w:w="701"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62</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62 000 Sk</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248 000 Sk</w:t>
            </w:r>
          </w:p>
        </w:tc>
        <w:tc>
          <w:tcPr>
            <w:tcW w:w="1493" w:type="dxa"/>
            <w:tcBorders>
              <w:top w:val="nil"/>
              <w:left w:val="nil"/>
              <w:bottom w:val="single" w:sz="4" w:space="0" w:color="auto"/>
              <w:right w:val="single" w:sz="8"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186 000 Sk</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single" w:sz="8" w:space="0" w:color="auto"/>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p>
        </w:tc>
        <w:tc>
          <w:tcPr>
            <w:tcW w:w="1080"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p>
        </w:tc>
        <w:tc>
          <w:tcPr>
            <w:tcW w:w="2503" w:type="dxa"/>
            <w:tcBorders>
              <w:top w:val="nil"/>
              <w:left w:val="nil"/>
              <w:bottom w:val="single" w:sz="4" w:space="0" w:color="auto"/>
              <w:right w:val="single" w:sz="4" w:space="0" w:color="auto"/>
            </w:tcBorders>
            <w:noWrap/>
            <w:textDirection w:val="lrTb"/>
            <w:vAlign w:val="bottom"/>
          </w:tcPr>
          <w:p w:rsidR="00577460" w:rsidRPr="00A251B6" w:rsidP="000B12F8">
            <w:pPr>
              <w:rPr>
                <w:rFonts w:ascii="Arial" w:hAnsi="Arial" w:cs="Arial"/>
                <w:sz w:val="20"/>
                <w:szCs w:val="20"/>
              </w:rPr>
            </w:pPr>
          </w:p>
        </w:tc>
        <w:tc>
          <w:tcPr>
            <w:tcW w:w="701"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p>
        </w:tc>
        <w:tc>
          <w:tcPr>
            <w:tcW w:w="1493" w:type="dxa"/>
            <w:tcBorders>
              <w:top w:val="nil"/>
              <w:left w:val="nil"/>
              <w:bottom w:val="single" w:sz="4" w:space="0" w:color="auto"/>
              <w:right w:val="single" w:sz="8" w:space="0" w:color="auto"/>
            </w:tcBorders>
            <w:noWrap/>
            <w:textDirection w:val="lrTb"/>
            <w:vAlign w:val="bottom"/>
          </w:tcPr>
          <w:p w:rsidR="00577460" w:rsidRPr="00A251B6" w:rsidP="000B12F8">
            <w:pPr>
              <w:jc w:val="right"/>
              <w:rPr>
                <w:rFonts w:ascii="Arial" w:hAnsi="Arial" w:cs="Arial"/>
                <w:sz w:val="20"/>
                <w:szCs w:val="20"/>
              </w:rPr>
            </w:pP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70"/>
        </w:trPr>
        <w:tc>
          <w:tcPr>
            <w:tcW w:w="1080" w:type="dxa"/>
            <w:tcBorders>
              <w:top w:val="nil"/>
              <w:left w:val="single" w:sz="8" w:space="0" w:color="auto"/>
              <w:bottom w:val="single" w:sz="8"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 </w:t>
            </w:r>
          </w:p>
        </w:tc>
        <w:tc>
          <w:tcPr>
            <w:tcW w:w="1080" w:type="dxa"/>
            <w:tcBorders>
              <w:top w:val="nil"/>
              <w:left w:val="nil"/>
              <w:bottom w:val="single" w:sz="8"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 </w:t>
            </w:r>
          </w:p>
        </w:tc>
        <w:tc>
          <w:tcPr>
            <w:tcW w:w="2503" w:type="dxa"/>
            <w:tcBorders>
              <w:top w:val="nil"/>
              <w:left w:val="nil"/>
              <w:bottom w:val="single" w:sz="8"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 </w:t>
            </w:r>
          </w:p>
        </w:tc>
        <w:tc>
          <w:tcPr>
            <w:tcW w:w="701" w:type="dxa"/>
            <w:tcBorders>
              <w:top w:val="nil"/>
              <w:left w:val="nil"/>
              <w:bottom w:val="single" w:sz="8"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456</w:t>
            </w:r>
          </w:p>
        </w:tc>
        <w:tc>
          <w:tcPr>
            <w:tcW w:w="1493" w:type="dxa"/>
            <w:tcBorders>
              <w:top w:val="nil"/>
              <w:left w:val="nil"/>
              <w:bottom w:val="single" w:sz="8"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456 000 Sk</w:t>
            </w:r>
          </w:p>
        </w:tc>
        <w:tc>
          <w:tcPr>
            <w:tcW w:w="1493" w:type="dxa"/>
            <w:tcBorders>
              <w:top w:val="nil"/>
              <w:left w:val="nil"/>
              <w:bottom w:val="single" w:sz="8"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1 824 000 Sk</w:t>
            </w:r>
          </w:p>
        </w:tc>
        <w:tc>
          <w:tcPr>
            <w:tcW w:w="1493" w:type="dxa"/>
            <w:tcBorders>
              <w:top w:val="nil"/>
              <w:left w:val="nil"/>
              <w:bottom w:val="single" w:sz="8" w:space="0" w:color="auto"/>
              <w:right w:val="single" w:sz="8"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1 368 000 Sk</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250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701"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250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701"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8763" w:type="dxa"/>
            <w:gridSpan w:val="6"/>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r w:rsidRPr="00A251B6">
              <w:rPr>
                <w:rFonts w:ascii="Arial" w:hAnsi="Arial" w:cs="Arial"/>
                <w:b/>
                <w:bCs/>
                <w:sz w:val="20"/>
                <w:szCs w:val="20"/>
                <w:u w:val="single"/>
              </w:rPr>
              <w:t>Kategorizácia zdravotníckych pomôcok prehľad žiadostí za rok 2006</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70"/>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080"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2503"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701"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1493"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1493"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1493" w:type="dxa"/>
            <w:tcBorders>
              <w:top w:val="nil"/>
              <w:left w:val="nil"/>
              <w:bottom w:val="nil"/>
              <w:right w:val="nil"/>
            </w:tcBorders>
            <w:noWrap/>
            <w:textDirection w:val="lrTb"/>
            <w:vAlign w:val="bottom"/>
          </w:tcPr>
          <w:p w:rsidR="00577460" w:rsidRPr="00A251B6" w:rsidP="000B12F8">
            <w:pPr>
              <w:jc w:val="center"/>
              <w:rPr>
                <w:rFonts w:ascii="Arial" w:hAnsi="Arial" w:cs="Arial"/>
                <w:b/>
                <w:bCs/>
                <w:sz w:val="20"/>
                <w:szCs w:val="20"/>
                <w:u w:val="single"/>
              </w:rPr>
            </w:pP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70"/>
        </w:trPr>
        <w:tc>
          <w:tcPr>
            <w:tcW w:w="2160" w:type="dxa"/>
            <w:gridSpan w:val="2"/>
            <w:tcBorders>
              <w:top w:val="single" w:sz="8" w:space="0" w:color="auto"/>
              <w:left w:val="single" w:sz="8" w:space="0" w:color="auto"/>
              <w:bottom w:val="single" w:sz="8" w:space="0" w:color="auto"/>
              <w:right w:val="single" w:sz="8" w:space="0" w:color="000000"/>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Hodnota</w:t>
            </w:r>
          </w:p>
        </w:tc>
        <w:tc>
          <w:tcPr>
            <w:tcW w:w="2503" w:type="dxa"/>
            <w:tcBorders>
              <w:top w:val="nil"/>
              <w:left w:val="nil"/>
              <w:bottom w:val="nil"/>
              <w:right w:val="nil"/>
            </w:tcBorders>
            <w:noWrap/>
            <w:textDirection w:val="lrTb"/>
            <w:vAlign w:val="bottom"/>
          </w:tcPr>
          <w:p w:rsidR="00577460" w:rsidRPr="00A251B6" w:rsidP="000B12F8">
            <w:pPr>
              <w:jc w:val="center"/>
              <w:rPr>
                <w:rFonts w:ascii="Arial" w:hAnsi="Arial" w:cs="Arial"/>
                <w:sz w:val="20"/>
                <w:szCs w:val="20"/>
              </w:rPr>
            </w:pPr>
          </w:p>
        </w:tc>
        <w:tc>
          <w:tcPr>
            <w:tcW w:w="701" w:type="dxa"/>
            <w:tcBorders>
              <w:top w:val="nil"/>
              <w:left w:val="nil"/>
              <w:bottom w:val="nil"/>
              <w:right w:val="nil"/>
            </w:tcBorders>
            <w:noWrap/>
            <w:textDirection w:val="lrTb"/>
            <w:vAlign w:val="bottom"/>
          </w:tcPr>
          <w:p w:rsidR="00577460" w:rsidRPr="00A251B6" w:rsidP="000B12F8">
            <w:pPr>
              <w:jc w:val="center"/>
              <w:rPr>
                <w:rFonts w:ascii="Arial" w:hAnsi="Arial" w:cs="Arial"/>
                <w:sz w:val="20"/>
                <w:szCs w:val="20"/>
              </w:rPr>
            </w:pPr>
          </w:p>
        </w:tc>
        <w:tc>
          <w:tcPr>
            <w:tcW w:w="4479" w:type="dxa"/>
            <w:gridSpan w:val="3"/>
            <w:tcBorders>
              <w:top w:val="single" w:sz="8" w:space="0" w:color="auto"/>
              <w:left w:val="single" w:sz="8" w:space="0" w:color="auto"/>
              <w:bottom w:val="nil"/>
              <w:right w:val="single" w:sz="8" w:space="0" w:color="000000"/>
            </w:tcBorders>
            <w:shd w:val="clear" w:color="auto" w:fill="FFFF99"/>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 xml:space="preserve">Vybrané správne poplatky </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single" w:sz="8" w:space="0" w:color="auto"/>
              <w:bottom w:val="single" w:sz="4" w:space="0" w:color="auto"/>
              <w:right w:val="single" w:sz="4"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2006</w:t>
            </w:r>
          </w:p>
        </w:tc>
        <w:tc>
          <w:tcPr>
            <w:tcW w:w="1080" w:type="dxa"/>
            <w:tcBorders>
              <w:top w:val="nil"/>
              <w:left w:val="nil"/>
              <w:bottom w:val="single" w:sz="4" w:space="0" w:color="auto"/>
              <w:right w:val="single" w:sz="4"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2008</w:t>
            </w:r>
          </w:p>
        </w:tc>
        <w:tc>
          <w:tcPr>
            <w:tcW w:w="2503" w:type="dxa"/>
            <w:tcBorders>
              <w:top w:val="single" w:sz="8" w:space="0" w:color="auto"/>
              <w:left w:val="nil"/>
              <w:bottom w:val="single" w:sz="4" w:space="0" w:color="auto"/>
              <w:right w:val="single" w:sz="4" w:space="0" w:color="auto"/>
            </w:tcBorders>
            <w:noWrap/>
            <w:textDirection w:val="lrTb"/>
            <w:vAlign w:val="bottom"/>
          </w:tcPr>
          <w:p w:rsidR="00577460" w:rsidRPr="00A251B6" w:rsidP="000B12F8">
            <w:pPr>
              <w:rPr>
                <w:rFonts w:ascii="Arial" w:hAnsi="Arial" w:cs="Arial"/>
                <w:b/>
                <w:bCs/>
                <w:sz w:val="20"/>
                <w:szCs w:val="20"/>
              </w:rPr>
            </w:pPr>
            <w:r w:rsidRPr="00A251B6">
              <w:rPr>
                <w:rFonts w:ascii="Arial" w:hAnsi="Arial" w:cs="Arial"/>
                <w:b/>
                <w:bCs/>
                <w:sz w:val="20"/>
                <w:szCs w:val="20"/>
              </w:rPr>
              <w:t>Rozhodnutie</w:t>
            </w:r>
          </w:p>
        </w:tc>
        <w:tc>
          <w:tcPr>
            <w:tcW w:w="701" w:type="dxa"/>
            <w:tcBorders>
              <w:top w:val="single" w:sz="8" w:space="0" w:color="auto"/>
              <w:left w:val="nil"/>
              <w:bottom w:val="single" w:sz="4" w:space="0" w:color="auto"/>
              <w:right w:val="single" w:sz="4" w:space="0" w:color="auto"/>
            </w:tcBorders>
            <w:noWrap/>
            <w:textDirection w:val="lrTb"/>
            <w:vAlign w:val="bottom"/>
          </w:tcPr>
          <w:p w:rsidR="00577460" w:rsidRPr="00A251B6" w:rsidP="000B12F8">
            <w:pPr>
              <w:rPr>
                <w:rFonts w:ascii="Arial" w:hAnsi="Arial" w:cs="Arial"/>
                <w:b/>
                <w:bCs/>
                <w:sz w:val="20"/>
                <w:szCs w:val="20"/>
              </w:rPr>
            </w:pPr>
            <w:r w:rsidRPr="00A251B6">
              <w:rPr>
                <w:rFonts w:ascii="Arial" w:hAnsi="Arial" w:cs="Arial"/>
                <w:b/>
                <w:bCs/>
                <w:sz w:val="20"/>
                <w:szCs w:val="20"/>
              </w:rPr>
              <w:t>Počet</w:t>
            </w:r>
          </w:p>
        </w:tc>
        <w:tc>
          <w:tcPr>
            <w:tcW w:w="1493" w:type="dxa"/>
            <w:tcBorders>
              <w:top w:val="single" w:sz="8" w:space="0" w:color="auto"/>
              <w:left w:val="nil"/>
              <w:bottom w:val="single" w:sz="4" w:space="0" w:color="auto"/>
              <w:right w:val="single" w:sz="4"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Spolu 2006</w:t>
            </w:r>
          </w:p>
        </w:tc>
        <w:tc>
          <w:tcPr>
            <w:tcW w:w="1493" w:type="dxa"/>
            <w:tcBorders>
              <w:top w:val="single" w:sz="8" w:space="0" w:color="auto"/>
              <w:left w:val="nil"/>
              <w:bottom w:val="single" w:sz="4" w:space="0" w:color="auto"/>
              <w:right w:val="single" w:sz="4"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Spolu 2008</w:t>
            </w:r>
          </w:p>
        </w:tc>
        <w:tc>
          <w:tcPr>
            <w:tcW w:w="1493" w:type="dxa"/>
            <w:tcBorders>
              <w:top w:val="single" w:sz="8" w:space="0" w:color="auto"/>
              <w:left w:val="nil"/>
              <w:bottom w:val="single" w:sz="4" w:space="0" w:color="auto"/>
              <w:right w:val="single" w:sz="8"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Dopad</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single" w:sz="8" w:space="0" w:color="auto"/>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1 000 Sk</w:t>
            </w:r>
          </w:p>
        </w:tc>
        <w:tc>
          <w:tcPr>
            <w:tcW w:w="1080"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4 000 Sk</w:t>
            </w:r>
          </w:p>
        </w:tc>
        <w:tc>
          <w:tcPr>
            <w:tcW w:w="2503" w:type="dxa"/>
            <w:tcBorders>
              <w:top w:val="nil"/>
              <w:left w:val="nil"/>
              <w:bottom w:val="single" w:sz="4"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O zaradení</w:t>
            </w:r>
          </w:p>
        </w:tc>
        <w:tc>
          <w:tcPr>
            <w:tcW w:w="701"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41</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41 000 Sk</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164 000 Sk</w:t>
            </w:r>
          </w:p>
        </w:tc>
        <w:tc>
          <w:tcPr>
            <w:tcW w:w="1493" w:type="dxa"/>
            <w:tcBorders>
              <w:top w:val="nil"/>
              <w:left w:val="nil"/>
              <w:bottom w:val="single" w:sz="4" w:space="0" w:color="auto"/>
              <w:right w:val="single" w:sz="8"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123 000 Sk</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single" w:sz="8" w:space="0" w:color="auto"/>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1 000 Sk</w:t>
            </w:r>
          </w:p>
        </w:tc>
        <w:tc>
          <w:tcPr>
            <w:tcW w:w="1080"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4 000 Sk</w:t>
            </w:r>
          </w:p>
        </w:tc>
        <w:tc>
          <w:tcPr>
            <w:tcW w:w="2503" w:type="dxa"/>
            <w:tcBorders>
              <w:top w:val="nil"/>
              <w:left w:val="nil"/>
              <w:bottom w:val="single" w:sz="4"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O nezaradení</w:t>
            </w:r>
          </w:p>
        </w:tc>
        <w:tc>
          <w:tcPr>
            <w:tcW w:w="701"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22</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22 000 Sk</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88 000 Sk</w:t>
            </w:r>
          </w:p>
        </w:tc>
        <w:tc>
          <w:tcPr>
            <w:tcW w:w="1493" w:type="dxa"/>
            <w:tcBorders>
              <w:top w:val="nil"/>
              <w:left w:val="nil"/>
              <w:bottom w:val="single" w:sz="4" w:space="0" w:color="auto"/>
              <w:right w:val="single" w:sz="8"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66 000 Sk</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single" w:sz="8" w:space="0" w:color="auto"/>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p>
        </w:tc>
        <w:tc>
          <w:tcPr>
            <w:tcW w:w="1080"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p>
        </w:tc>
        <w:tc>
          <w:tcPr>
            <w:tcW w:w="2503" w:type="dxa"/>
            <w:tcBorders>
              <w:top w:val="nil"/>
              <w:left w:val="nil"/>
              <w:bottom w:val="single" w:sz="4" w:space="0" w:color="auto"/>
              <w:right w:val="single" w:sz="4" w:space="0" w:color="auto"/>
            </w:tcBorders>
            <w:noWrap/>
            <w:textDirection w:val="lrTb"/>
            <w:vAlign w:val="bottom"/>
          </w:tcPr>
          <w:p w:rsidR="00577460" w:rsidRPr="00A251B6" w:rsidP="000B12F8">
            <w:pPr>
              <w:rPr>
                <w:rFonts w:ascii="Arial" w:hAnsi="Arial" w:cs="Arial"/>
                <w:sz w:val="20"/>
                <w:szCs w:val="20"/>
              </w:rPr>
            </w:pPr>
          </w:p>
        </w:tc>
        <w:tc>
          <w:tcPr>
            <w:tcW w:w="701"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p>
        </w:tc>
        <w:tc>
          <w:tcPr>
            <w:tcW w:w="1493" w:type="dxa"/>
            <w:tcBorders>
              <w:top w:val="nil"/>
              <w:left w:val="nil"/>
              <w:bottom w:val="single" w:sz="4" w:space="0" w:color="auto"/>
              <w:right w:val="single" w:sz="8" w:space="0" w:color="auto"/>
            </w:tcBorders>
            <w:noWrap/>
            <w:textDirection w:val="lrTb"/>
            <w:vAlign w:val="bottom"/>
          </w:tcPr>
          <w:p w:rsidR="00577460" w:rsidRPr="00A251B6" w:rsidP="000B12F8">
            <w:pPr>
              <w:jc w:val="right"/>
              <w:rPr>
                <w:rFonts w:ascii="Arial" w:hAnsi="Arial" w:cs="Arial"/>
                <w:sz w:val="20"/>
                <w:szCs w:val="20"/>
              </w:rPr>
            </w:pP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70"/>
        </w:trPr>
        <w:tc>
          <w:tcPr>
            <w:tcW w:w="1080" w:type="dxa"/>
            <w:tcBorders>
              <w:top w:val="nil"/>
              <w:left w:val="single" w:sz="8" w:space="0" w:color="auto"/>
              <w:bottom w:val="single" w:sz="8"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SPOLU</w:t>
            </w:r>
          </w:p>
        </w:tc>
        <w:tc>
          <w:tcPr>
            <w:tcW w:w="1080" w:type="dxa"/>
            <w:tcBorders>
              <w:top w:val="nil"/>
              <w:left w:val="nil"/>
              <w:bottom w:val="single" w:sz="8"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 </w:t>
            </w:r>
          </w:p>
        </w:tc>
        <w:tc>
          <w:tcPr>
            <w:tcW w:w="2503" w:type="dxa"/>
            <w:tcBorders>
              <w:top w:val="nil"/>
              <w:left w:val="nil"/>
              <w:bottom w:val="single" w:sz="8"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 </w:t>
            </w:r>
          </w:p>
        </w:tc>
        <w:tc>
          <w:tcPr>
            <w:tcW w:w="701" w:type="dxa"/>
            <w:tcBorders>
              <w:top w:val="nil"/>
              <w:left w:val="nil"/>
              <w:bottom w:val="single" w:sz="8"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63</w:t>
            </w:r>
          </w:p>
        </w:tc>
        <w:tc>
          <w:tcPr>
            <w:tcW w:w="1493" w:type="dxa"/>
            <w:tcBorders>
              <w:top w:val="nil"/>
              <w:left w:val="nil"/>
              <w:bottom w:val="single" w:sz="8"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63 000 Sk</w:t>
            </w:r>
          </w:p>
        </w:tc>
        <w:tc>
          <w:tcPr>
            <w:tcW w:w="1493" w:type="dxa"/>
            <w:tcBorders>
              <w:top w:val="nil"/>
              <w:left w:val="nil"/>
              <w:bottom w:val="single" w:sz="8"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252 000 Sk</w:t>
            </w:r>
          </w:p>
        </w:tc>
        <w:tc>
          <w:tcPr>
            <w:tcW w:w="1493" w:type="dxa"/>
            <w:tcBorders>
              <w:top w:val="nil"/>
              <w:left w:val="nil"/>
              <w:bottom w:val="single" w:sz="8" w:space="0" w:color="auto"/>
              <w:right w:val="single" w:sz="8"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189 000 Sk</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250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701"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70"/>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250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701"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493"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70"/>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2503" w:type="dxa"/>
            <w:tcBorders>
              <w:top w:val="nil"/>
              <w:left w:val="nil"/>
              <w:bottom w:val="nil"/>
              <w:right w:val="nil"/>
            </w:tcBorders>
            <w:noWrap/>
            <w:textDirection w:val="lrTb"/>
            <w:vAlign w:val="bottom"/>
          </w:tcPr>
          <w:p w:rsidR="00577460" w:rsidRPr="00A251B6" w:rsidP="000B12F8">
            <w:pPr>
              <w:jc w:val="center"/>
              <w:rPr>
                <w:rFonts w:ascii="Arial" w:hAnsi="Arial" w:cs="Arial"/>
                <w:sz w:val="20"/>
                <w:szCs w:val="20"/>
              </w:rPr>
            </w:pPr>
          </w:p>
        </w:tc>
        <w:tc>
          <w:tcPr>
            <w:tcW w:w="701" w:type="dxa"/>
            <w:tcBorders>
              <w:top w:val="nil"/>
              <w:left w:val="nil"/>
              <w:bottom w:val="nil"/>
              <w:right w:val="nil"/>
            </w:tcBorders>
            <w:noWrap/>
            <w:textDirection w:val="lrTb"/>
            <w:vAlign w:val="bottom"/>
          </w:tcPr>
          <w:p w:rsidR="00577460" w:rsidRPr="00A251B6" w:rsidP="000B12F8">
            <w:pPr>
              <w:jc w:val="center"/>
              <w:rPr>
                <w:rFonts w:ascii="Arial" w:hAnsi="Arial" w:cs="Arial"/>
                <w:sz w:val="20"/>
                <w:szCs w:val="20"/>
              </w:rPr>
            </w:pPr>
          </w:p>
        </w:tc>
        <w:tc>
          <w:tcPr>
            <w:tcW w:w="4479" w:type="dxa"/>
            <w:gridSpan w:val="3"/>
            <w:tcBorders>
              <w:top w:val="single" w:sz="8" w:space="0" w:color="auto"/>
              <w:left w:val="single" w:sz="8" w:space="0" w:color="auto"/>
              <w:bottom w:val="nil"/>
              <w:right w:val="single" w:sz="8" w:space="0" w:color="000000"/>
            </w:tcBorders>
            <w:shd w:val="clear" w:color="auto" w:fill="FFFF99"/>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 xml:space="preserve">Vybrané správne poplatky </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nil"/>
              <w:bottom w:val="nil"/>
              <w:right w:val="nil"/>
            </w:tcBorders>
            <w:noWrap/>
            <w:textDirection w:val="lrTb"/>
            <w:vAlign w:val="bottom"/>
          </w:tcPr>
          <w:p w:rsidR="00577460" w:rsidRPr="00A251B6" w:rsidP="000B12F8">
            <w:pPr>
              <w:rPr>
                <w:rFonts w:ascii="Arial" w:hAnsi="Arial" w:cs="Arial"/>
                <w:b/>
                <w:bCs/>
                <w:sz w:val="20"/>
                <w:szCs w:val="20"/>
              </w:rPr>
            </w:pPr>
          </w:p>
        </w:tc>
        <w:tc>
          <w:tcPr>
            <w:tcW w:w="1080" w:type="dxa"/>
            <w:tcBorders>
              <w:top w:val="nil"/>
              <w:left w:val="nil"/>
              <w:bottom w:val="nil"/>
              <w:right w:val="nil"/>
            </w:tcBorders>
            <w:noWrap/>
            <w:textDirection w:val="lrTb"/>
            <w:vAlign w:val="bottom"/>
          </w:tcPr>
          <w:p w:rsidR="00577460" w:rsidRPr="00A251B6" w:rsidP="000B12F8">
            <w:pPr>
              <w:rPr>
                <w:rFonts w:ascii="Arial" w:hAnsi="Arial" w:cs="Arial"/>
                <w:b/>
                <w:bCs/>
                <w:sz w:val="20"/>
                <w:szCs w:val="20"/>
              </w:rPr>
            </w:pPr>
          </w:p>
        </w:tc>
        <w:tc>
          <w:tcPr>
            <w:tcW w:w="2503" w:type="dxa"/>
            <w:tcBorders>
              <w:top w:val="single" w:sz="8" w:space="0" w:color="auto"/>
              <w:left w:val="single" w:sz="8" w:space="0" w:color="auto"/>
              <w:bottom w:val="single" w:sz="4" w:space="0" w:color="auto"/>
              <w:right w:val="single" w:sz="4" w:space="0" w:color="auto"/>
            </w:tcBorders>
            <w:noWrap/>
            <w:textDirection w:val="lrTb"/>
            <w:vAlign w:val="bottom"/>
          </w:tcPr>
          <w:p w:rsidR="00577460" w:rsidRPr="00A251B6" w:rsidP="000B12F8">
            <w:pPr>
              <w:rPr>
                <w:rFonts w:ascii="Arial" w:hAnsi="Arial" w:cs="Arial"/>
                <w:b/>
                <w:bCs/>
                <w:sz w:val="20"/>
                <w:szCs w:val="20"/>
              </w:rPr>
            </w:pPr>
            <w:r w:rsidRPr="00A251B6">
              <w:rPr>
                <w:rFonts w:ascii="Arial" w:hAnsi="Arial" w:cs="Arial"/>
                <w:b/>
                <w:bCs/>
                <w:sz w:val="20"/>
                <w:szCs w:val="20"/>
              </w:rPr>
              <w:t>Kategorizácia</w:t>
            </w:r>
          </w:p>
        </w:tc>
        <w:tc>
          <w:tcPr>
            <w:tcW w:w="701" w:type="dxa"/>
            <w:tcBorders>
              <w:top w:val="single" w:sz="8" w:space="0" w:color="auto"/>
              <w:left w:val="nil"/>
              <w:bottom w:val="single" w:sz="4" w:space="0" w:color="auto"/>
              <w:right w:val="single" w:sz="4" w:space="0" w:color="auto"/>
            </w:tcBorders>
            <w:noWrap/>
            <w:textDirection w:val="lrTb"/>
            <w:vAlign w:val="bottom"/>
          </w:tcPr>
          <w:p w:rsidR="00577460" w:rsidRPr="00A251B6" w:rsidP="000B12F8">
            <w:pPr>
              <w:rPr>
                <w:rFonts w:ascii="Arial" w:hAnsi="Arial" w:cs="Arial"/>
                <w:b/>
                <w:bCs/>
                <w:sz w:val="20"/>
                <w:szCs w:val="20"/>
              </w:rPr>
            </w:pPr>
            <w:r w:rsidRPr="00A251B6">
              <w:rPr>
                <w:rFonts w:ascii="Arial" w:hAnsi="Arial" w:cs="Arial"/>
                <w:b/>
                <w:bCs/>
                <w:sz w:val="20"/>
                <w:szCs w:val="20"/>
              </w:rPr>
              <w:t>Počet</w:t>
            </w:r>
          </w:p>
        </w:tc>
        <w:tc>
          <w:tcPr>
            <w:tcW w:w="1493" w:type="dxa"/>
            <w:tcBorders>
              <w:top w:val="single" w:sz="8" w:space="0" w:color="auto"/>
              <w:left w:val="nil"/>
              <w:bottom w:val="single" w:sz="4" w:space="0" w:color="auto"/>
              <w:right w:val="single" w:sz="4"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Spolu 2006</w:t>
            </w:r>
          </w:p>
        </w:tc>
        <w:tc>
          <w:tcPr>
            <w:tcW w:w="1493" w:type="dxa"/>
            <w:tcBorders>
              <w:top w:val="single" w:sz="8" w:space="0" w:color="auto"/>
              <w:left w:val="nil"/>
              <w:bottom w:val="single" w:sz="4" w:space="0" w:color="auto"/>
              <w:right w:val="single" w:sz="4"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Spolu 2008</w:t>
            </w:r>
          </w:p>
        </w:tc>
        <w:tc>
          <w:tcPr>
            <w:tcW w:w="1493" w:type="dxa"/>
            <w:tcBorders>
              <w:top w:val="single" w:sz="8" w:space="0" w:color="auto"/>
              <w:left w:val="nil"/>
              <w:bottom w:val="single" w:sz="4" w:space="0" w:color="auto"/>
              <w:right w:val="single" w:sz="8" w:space="0" w:color="auto"/>
            </w:tcBorders>
            <w:noWrap/>
            <w:textDirection w:val="lrTb"/>
            <w:vAlign w:val="bottom"/>
          </w:tcPr>
          <w:p w:rsidR="00577460" w:rsidRPr="00A251B6" w:rsidP="000B12F8">
            <w:pPr>
              <w:jc w:val="center"/>
              <w:rPr>
                <w:rFonts w:ascii="Arial" w:hAnsi="Arial" w:cs="Arial"/>
                <w:b/>
                <w:bCs/>
                <w:sz w:val="20"/>
                <w:szCs w:val="20"/>
              </w:rPr>
            </w:pPr>
            <w:r w:rsidRPr="00A251B6">
              <w:rPr>
                <w:rFonts w:ascii="Arial" w:hAnsi="Arial" w:cs="Arial"/>
                <w:b/>
                <w:bCs/>
                <w:sz w:val="20"/>
                <w:szCs w:val="20"/>
              </w:rPr>
              <w:t>Dopad</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2503" w:type="dxa"/>
            <w:tcBorders>
              <w:top w:val="nil"/>
              <w:left w:val="single" w:sz="8" w:space="0" w:color="auto"/>
              <w:bottom w:val="single" w:sz="4"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Lieky</w:t>
            </w:r>
          </w:p>
        </w:tc>
        <w:tc>
          <w:tcPr>
            <w:tcW w:w="701"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927</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773 000 Sk</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3 400 000 Sk</w:t>
            </w:r>
          </w:p>
        </w:tc>
        <w:tc>
          <w:tcPr>
            <w:tcW w:w="1493" w:type="dxa"/>
            <w:tcBorders>
              <w:top w:val="nil"/>
              <w:left w:val="nil"/>
              <w:bottom w:val="single" w:sz="4" w:space="0" w:color="auto"/>
              <w:right w:val="single" w:sz="8"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2 627 000 Sk</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55"/>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2503" w:type="dxa"/>
            <w:tcBorders>
              <w:top w:val="nil"/>
              <w:left w:val="single" w:sz="8" w:space="0" w:color="auto"/>
              <w:bottom w:val="single" w:sz="4" w:space="0" w:color="auto"/>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Zdravotnícke pomôcky</w:t>
            </w:r>
          </w:p>
        </w:tc>
        <w:tc>
          <w:tcPr>
            <w:tcW w:w="701"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456</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456 000 Sk</w:t>
            </w:r>
          </w:p>
        </w:tc>
        <w:tc>
          <w:tcPr>
            <w:tcW w:w="1493" w:type="dxa"/>
            <w:tcBorders>
              <w:top w:val="nil"/>
              <w:left w:val="nil"/>
              <w:bottom w:val="single" w:sz="4" w:space="0" w:color="auto"/>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1 824 000 Sk</w:t>
            </w:r>
          </w:p>
        </w:tc>
        <w:tc>
          <w:tcPr>
            <w:tcW w:w="1493" w:type="dxa"/>
            <w:tcBorders>
              <w:top w:val="nil"/>
              <w:left w:val="nil"/>
              <w:bottom w:val="single" w:sz="4" w:space="0" w:color="auto"/>
              <w:right w:val="single" w:sz="8"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1 368 000 Sk</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70"/>
        </w:trPr>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1080"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c>
          <w:tcPr>
            <w:tcW w:w="2503" w:type="dxa"/>
            <w:tcBorders>
              <w:top w:val="nil"/>
              <w:left w:val="single" w:sz="8" w:space="0" w:color="auto"/>
              <w:bottom w:val="nil"/>
              <w:right w:val="single" w:sz="4" w:space="0" w:color="auto"/>
            </w:tcBorders>
            <w:noWrap/>
            <w:textDirection w:val="lrTb"/>
            <w:vAlign w:val="bottom"/>
          </w:tcPr>
          <w:p w:rsidR="00577460" w:rsidRPr="00A251B6" w:rsidP="000B12F8">
            <w:pPr>
              <w:rPr>
                <w:rFonts w:ascii="Arial" w:hAnsi="Arial" w:cs="Arial"/>
                <w:sz w:val="20"/>
                <w:szCs w:val="20"/>
              </w:rPr>
            </w:pPr>
            <w:r w:rsidRPr="00A251B6">
              <w:rPr>
                <w:rFonts w:ascii="Arial" w:hAnsi="Arial" w:cs="Arial"/>
                <w:sz w:val="20"/>
                <w:szCs w:val="20"/>
              </w:rPr>
              <w:t>Dietetické potraviny</w:t>
            </w:r>
          </w:p>
        </w:tc>
        <w:tc>
          <w:tcPr>
            <w:tcW w:w="701" w:type="dxa"/>
            <w:tcBorders>
              <w:top w:val="nil"/>
              <w:left w:val="nil"/>
              <w:bottom w:val="nil"/>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63</w:t>
            </w:r>
          </w:p>
        </w:tc>
        <w:tc>
          <w:tcPr>
            <w:tcW w:w="1493" w:type="dxa"/>
            <w:tcBorders>
              <w:top w:val="nil"/>
              <w:left w:val="nil"/>
              <w:bottom w:val="nil"/>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63 000 Sk</w:t>
            </w:r>
          </w:p>
        </w:tc>
        <w:tc>
          <w:tcPr>
            <w:tcW w:w="1493" w:type="dxa"/>
            <w:tcBorders>
              <w:top w:val="nil"/>
              <w:left w:val="nil"/>
              <w:bottom w:val="nil"/>
              <w:right w:val="single" w:sz="4"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252 000 Sk</w:t>
            </w:r>
          </w:p>
        </w:tc>
        <w:tc>
          <w:tcPr>
            <w:tcW w:w="1493" w:type="dxa"/>
            <w:tcBorders>
              <w:top w:val="nil"/>
              <w:left w:val="nil"/>
              <w:bottom w:val="nil"/>
              <w:right w:val="single" w:sz="8" w:space="0" w:color="auto"/>
            </w:tcBorders>
            <w:noWrap/>
            <w:textDirection w:val="lrTb"/>
            <w:vAlign w:val="bottom"/>
          </w:tcPr>
          <w:p w:rsidR="00577460" w:rsidRPr="00A251B6" w:rsidP="000B12F8">
            <w:pPr>
              <w:jc w:val="right"/>
              <w:rPr>
                <w:rFonts w:ascii="Arial" w:hAnsi="Arial" w:cs="Arial"/>
                <w:sz w:val="20"/>
                <w:szCs w:val="20"/>
              </w:rPr>
            </w:pPr>
            <w:r w:rsidRPr="00A251B6">
              <w:rPr>
                <w:rFonts w:ascii="Arial" w:hAnsi="Arial" w:cs="Arial"/>
                <w:sz w:val="20"/>
                <w:szCs w:val="20"/>
              </w:rPr>
              <w:t>189 000 Sk</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sz w:val="20"/>
                <w:szCs w:val="20"/>
              </w:rPr>
            </w:pPr>
          </w:p>
        </w:tc>
      </w:tr>
      <w:tr>
        <w:tblPrEx>
          <w:tblW w:w="9900" w:type="dxa"/>
          <w:tblInd w:w="57" w:type="dxa"/>
          <w:tblCellMar>
            <w:left w:w="70" w:type="dxa"/>
            <w:right w:w="70" w:type="dxa"/>
          </w:tblCellMar>
        </w:tblPrEx>
        <w:trPr>
          <w:trHeight w:val="270"/>
        </w:trPr>
        <w:tc>
          <w:tcPr>
            <w:tcW w:w="1080" w:type="dxa"/>
            <w:tcBorders>
              <w:top w:val="nil"/>
              <w:left w:val="nil"/>
              <w:bottom w:val="nil"/>
              <w:right w:val="nil"/>
            </w:tcBorders>
            <w:noWrap/>
            <w:textDirection w:val="lrTb"/>
            <w:vAlign w:val="bottom"/>
          </w:tcPr>
          <w:p w:rsidR="00577460" w:rsidRPr="00A251B6" w:rsidP="000B12F8">
            <w:pPr>
              <w:rPr>
                <w:rFonts w:ascii="Arial" w:hAnsi="Arial" w:cs="Arial"/>
                <w:b/>
                <w:bCs/>
                <w:sz w:val="20"/>
                <w:szCs w:val="20"/>
              </w:rPr>
            </w:pPr>
          </w:p>
        </w:tc>
        <w:tc>
          <w:tcPr>
            <w:tcW w:w="1080" w:type="dxa"/>
            <w:tcBorders>
              <w:top w:val="nil"/>
              <w:left w:val="nil"/>
              <w:bottom w:val="nil"/>
              <w:right w:val="nil"/>
            </w:tcBorders>
            <w:noWrap/>
            <w:textDirection w:val="lrTb"/>
            <w:vAlign w:val="bottom"/>
          </w:tcPr>
          <w:p w:rsidR="00577460" w:rsidRPr="00A251B6" w:rsidP="000B12F8">
            <w:pPr>
              <w:rPr>
                <w:rFonts w:ascii="Arial" w:hAnsi="Arial" w:cs="Arial"/>
                <w:b/>
                <w:bCs/>
                <w:sz w:val="20"/>
                <w:szCs w:val="20"/>
              </w:rPr>
            </w:pPr>
          </w:p>
        </w:tc>
        <w:tc>
          <w:tcPr>
            <w:tcW w:w="2503" w:type="dxa"/>
            <w:tcBorders>
              <w:top w:val="single" w:sz="8" w:space="0" w:color="auto"/>
              <w:left w:val="single" w:sz="8" w:space="0" w:color="auto"/>
              <w:bottom w:val="single" w:sz="8" w:space="0" w:color="auto"/>
              <w:right w:val="single" w:sz="4" w:space="0" w:color="auto"/>
            </w:tcBorders>
            <w:shd w:val="clear" w:color="auto" w:fill="CCFFCC"/>
            <w:noWrap/>
            <w:textDirection w:val="lrTb"/>
            <w:vAlign w:val="bottom"/>
          </w:tcPr>
          <w:p w:rsidR="00577460" w:rsidRPr="00A251B6" w:rsidP="000B12F8">
            <w:pPr>
              <w:rPr>
                <w:rFonts w:ascii="Arial" w:hAnsi="Arial" w:cs="Arial"/>
                <w:b/>
                <w:bCs/>
                <w:sz w:val="20"/>
                <w:szCs w:val="20"/>
              </w:rPr>
            </w:pPr>
            <w:r w:rsidRPr="00A251B6">
              <w:rPr>
                <w:rFonts w:ascii="Arial" w:hAnsi="Arial" w:cs="Arial"/>
                <w:b/>
                <w:bCs/>
                <w:sz w:val="20"/>
                <w:szCs w:val="20"/>
              </w:rPr>
              <w:t>SPOLU</w:t>
            </w:r>
          </w:p>
        </w:tc>
        <w:tc>
          <w:tcPr>
            <w:tcW w:w="701" w:type="dxa"/>
            <w:tcBorders>
              <w:top w:val="single" w:sz="8" w:space="0" w:color="auto"/>
              <w:left w:val="nil"/>
              <w:bottom w:val="single" w:sz="8" w:space="0" w:color="auto"/>
              <w:right w:val="single" w:sz="4" w:space="0" w:color="auto"/>
            </w:tcBorders>
            <w:shd w:val="clear" w:color="auto" w:fill="CCFFCC"/>
            <w:noWrap/>
            <w:textDirection w:val="lrTb"/>
            <w:vAlign w:val="bottom"/>
          </w:tcPr>
          <w:p w:rsidR="00577460" w:rsidRPr="00A251B6" w:rsidP="000B12F8">
            <w:pPr>
              <w:rPr>
                <w:rFonts w:ascii="Arial" w:hAnsi="Arial" w:cs="Arial"/>
                <w:b/>
                <w:bCs/>
                <w:sz w:val="20"/>
                <w:szCs w:val="20"/>
              </w:rPr>
            </w:pPr>
            <w:r w:rsidRPr="00A251B6">
              <w:rPr>
                <w:rFonts w:ascii="Arial" w:hAnsi="Arial" w:cs="Arial"/>
                <w:b/>
                <w:bCs/>
                <w:sz w:val="20"/>
                <w:szCs w:val="20"/>
              </w:rPr>
              <w:t> </w:t>
            </w:r>
          </w:p>
        </w:tc>
        <w:tc>
          <w:tcPr>
            <w:tcW w:w="1493" w:type="dxa"/>
            <w:tcBorders>
              <w:top w:val="single" w:sz="8" w:space="0" w:color="auto"/>
              <w:left w:val="nil"/>
              <w:bottom w:val="single" w:sz="8" w:space="0" w:color="auto"/>
              <w:right w:val="single" w:sz="4" w:space="0" w:color="auto"/>
            </w:tcBorders>
            <w:shd w:val="clear" w:color="auto" w:fill="CCFFCC"/>
            <w:noWrap/>
            <w:textDirection w:val="lrTb"/>
            <w:vAlign w:val="bottom"/>
          </w:tcPr>
          <w:p w:rsidR="00577460" w:rsidRPr="00A251B6" w:rsidP="000B12F8">
            <w:pPr>
              <w:jc w:val="right"/>
              <w:rPr>
                <w:rFonts w:ascii="Arial" w:hAnsi="Arial" w:cs="Arial"/>
                <w:b/>
                <w:bCs/>
                <w:sz w:val="20"/>
                <w:szCs w:val="20"/>
              </w:rPr>
            </w:pPr>
            <w:r w:rsidRPr="00A251B6">
              <w:rPr>
                <w:rFonts w:ascii="Arial" w:hAnsi="Arial" w:cs="Arial"/>
                <w:b/>
                <w:bCs/>
                <w:sz w:val="20"/>
                <w:szCs w:val="20"/>
              </w:rPr>
              <w:t>1 292 000 Sk</w:t>
            </w:r>
          </w:p>
        </w:tc>
        <w:tc>
          <w:tcPr>
            <w:tcW w:w="1493" w:type="dxa"/>
            <w:tcBorders>
              <w:top w:val="single" w:sz="8" w:space="0" w:color="auto"/>
              <w:left w:val="nil"/>
              <w:bottom w:val="single" w:sz="8" w:space="0" w:color="auto"/>
              <w:right w:val="single" w:sz="4" w:space="0" w:color="auto"/>
            </w:tcBorders>
            <w:shd w:val="clear" w:color="auto" w:fill="CCFFCC"/>
            <w:noWrap/>
            <w:textDirection w:val="lrTb"/>
            <w:vAlign w:val="bottom"/>
          </w:tcPr>
          <w:p w:rsidR="00577460" w:rsidRPr="00A251B6" w:rsidP="000B12F8">
            <w:pPr>
              <w:jc w:val="right"/>
              <w:rPr>
                <w:rFonts w:ascii="Arial" w:hAnsi="Arial" w:cs="Arial"/>
                <w:b/>
                <w:bCs/>
                <w:sz w:val="20"/>
                <w:szCs w:val="20"/>
              </w:rPr>
            </w:pPr>
            <w:r w:rsidRPr="00A251B6">
              <w:rPr>
                <w:rFonts w:ascii="Arial" w:hAnsi="Arial" w:cs="Arial"/>
                <w:b/>
                <w:bCs/>
                <w:sz w:val="20"/>
                <w:szCs w:val="20"/>
              </w:rPr>
              <w:t>5 476 000 Sk</w:t>
            </w:r>
          </w:p>
        </w:tc>
        <w:tc>
          <w:tcPr>
            <w:tcW w:w="1493" w:type="dxa"/>
            <w:tcBorders>
              <w:top w:val="single" w:sz="8" w:space="0" w:color="auto"/>
              <w:left w:val="nil"/>
              <w:bottom w:val="single" w:sz="8" w:space="0" w:color="auto"/>
              <w:right w:val="single" w:sz="8" w:space="0" w:color="auto"/>
            </w:tcBorders>
            <w:shd w:val="clear" w:color="auto" w:fill="CCFFCC"/>
            <w:noWrap/>
            <w:textDirection w:val="lrTb"/>
            <w:vAlign w:val="bottom"/>
          </w:tcPr>
          <w:p w:rsidR="00577460" w:rsidRPr="00A251B6" w:rsidP="000B12F8">
            <w:pPr>
              <w:jc w:val="right"/>
              <w:rPr>
                <w:rFonts w:ascii="Arial" w:hAnsi="Arial" w:cs="Arial"/>
                <w:b/>
                <w:bCs/>
                <w:sz w:val="20"/>
                <w:szCs w:val="20"/>
              </w:rPr>
            </w:pPr>
            <w:r w:rsidRPr="00A251B6">
              <w:rPr>
                <w:rFonts w:ascii="Arial" w:hAnsi="Arial" w:cs="Arial"/>
                <w:b/>
                <w:bCs/>
                <w:sz w:val="20"/>
                <w:szCs w:val="20"/>
              </w:rPr>
              <w:t>4 184 000 Sk</w:t>
            </w:r>
          </w:p>
        </w:tc>
        <w:tc>
          <w:tcPr>
            <w:tcW w:w="57" w:type="dxa"/>
            <w:tcBorders>
              <w:top w:val="nil"/>
              <w:left w:val="nil"/>
              <w:bottom w:val="nil"/>
              <w:right w:val="nil"/>
            </w:tcBorders>
            <w:noWrap/>
            <w:textDirection w:val="lrTb"/>
            <w:vAlign w:val="bottom"/>
          </w:tcPr>
          <w:p w:rsidR="00577460" w:rsidRPr="00A251B6" w:rsidP="000B12F8">
            <w:pPr>
              <w:rPr>
                <w:rFonts w:ascii="Arial" w:hAnsi="Arial" w:cs="Arial"/>
                <w:b/>
                <w:bCs/>
                <w:sz w:val="20"/>
                <w:szCs w:val="20"/>
              </w:rPr>
            </w:pPr>
          </w:p>
        </w:tc>
      </w:tr>
    </w:tbl>
    <w:p w:rsidR="00003C2B" w:rsidRPr="00A251B6" w:rsidP="00003C2B">
      <w:pPr>
        <w:pStyle w:val="BodyTextIndent1"/>
        <w:tabs>
          <w:tab w:val="left" w:pos="0"/>
        </w:tabs>
        <w:ind w:left="0" w:firstLine="717"/>
        <w:jc w:val="both"/>
        <w:rPr>
          <w:rFonts w:ascii="Times New Roman" w:hAnsi="Times New Roman"/>
        </w:rPr>
      </w:pPr>
      <w:r w:rsidRPr="00A251B6" w:rsidR="0079122F">
        <w:rPr>
          <w:rFonts w:ascii="Times New Roman" w:hAnsi="Times New Roman"/>
        </w:rPr>
        <w:t xml:space="preserve">      </w:t>
      </w:r>
    </w:p>
    <w:p w:rsidR="00163328" w:rsidRPr="00A251B6" w:rsidP="00003C2B">
      <w:pPr>
        <w:pStyle w:val="BodyText"/>
        <w:spacing w:line="240" w:lineRule="auto"/>
        <w:rPr>
          <w:rFonts w:ascii="Times New Roman" w:hAnsi="Times New Roman"/>
        </w:rPr>
      </w:pPr>
      <w:r w:rsidRPr="00A251B6">
        <w:rPr>
          <w:rFonts w:ascii="Times New Roman" w:hAnsi="Times New Roman"/>
        </w:rPr>
        <w:t xml:space="preserve">       Návrh zákona je v súlade s Ústavou Slovenskej republiky a platným právnym poriadkom Slovenskej republiky, s medzinárodnými zmluvami a inými medzinárodnými dokumentmi, ktorými je Slovenská republika viazaná.</w:t>
      </w:r>
    </w:p>
    <w:p w:rsidR="00003C2B" w:rsidP="00003C2B">
      <w:pPr>
        <w:pStyle w:val="BodyText"/>
        <w:spacing w:line="240" w:lineRule="auto"/>
        <w:rPr>
          <w:rFonts w:ascii="Times New Roman" w:hAnsi="Times New Roman"/>
        </w:rPr>
      </w:pPr>
    </w:p>
    <w:p w:rsidR="00886750" w:rsidRPr="00A251B6" w:rsidP="00003C2B">
      <w:pPr>
        <w:pStyle w:val="BodyText"/>
        <w:spacing w:line="240" w:lineRule="auto"/>
        <w:rPr>
          <w:rFonts w:ascii="Times New Roman" w:hAnsi="Times New Roman"/>
        </w:rPr>
      </w:pPr>
    </w:p>
    <w:p w:rsidR="00EB051E" w:rsidRPr="00A251B6" w:rsidP="00003C2B">
      <w:pPr>
        <w:rPr>
          <w:rFonts w:ascii="Times New Roman" w:hAnsi="Times New Roman"/>
        </w:rPr>
      </w:pPr>
    </w:p>
    <w:p w:rsidR="00EB051E" w:rsidRPr="00A251B6" w:rsidP="00003C2B">
      <w:pPr>
        <w:rPr>
          <w:rFonts w:ascii="Times New Roman" w:hAnsi="Times New Roman"/>
        </w:rPr>
      </w:pPr>
    </w:p>
    <w:p w:rsidR="00EB051E" w:rsidRPr="00A251B6" w:rsidP="00EB051E">
      <w:pPr>
        <w:jc w:val="center"/>
        <w:rPr>
          <w:rFonts w:ascii="Times New Roman" w:hAnsi="Times New Roman"/>
          <w:b/>
          <w:bCs/>
        </w:rPr>
      </w:pPr>
      <w:r w:rsidRPr="00A251B6">
        <w:rPr>
          <w:rFonts w:ascii="Times New Roman" w:hAnsi="Times New Roman"/>
          <w:b/>
          <w:bCs/>
        </w:rPr>
        <w:t>DOLOŽKA ZLUČITEĽNOSTI</w:t>
      </w:r>
    </w:p>
    <w:p w:rsidR="00EB051E" w:rsidRPr="00A251B6" w:rsidP="00EB051E">
      <w:pPr>
        <w:pStyle w:val="Title"/>
        <w:rPr>
          <w:rFonts w:ascii="Times New Roman" w:hAnsi="Times New Roman"/>
        </w:rPr>
      </w:pPr>
      <w:r w:rsidRPr="00A251B6">
        <w:rPr>
          <w:rFonts w:ascii="Times New Roman" w:hAnsi="Times New Roman"/>
        </w:rPr>
        <w:t>právneho predpisu</w:t>
      </w:r>
    </w:p>
    <w:p w:rsidR="00EB051E" w:rsidRPr="00A251B6" w:rsidP="00EB051E">
      <w:pPr>
        <w:jc w:val="center"/>
        <w:rPr>
          <w:rFonts w:ascii="Times New Roman" w:hAnsi="Times New Roman"/>
          <w:b/>
          <w:bCs/>
        </w:rPr>
      </w:pPr>
      <w:r w:rsidRPr="00A251B6">
        <w:rPr>
          <w:rFonts w:ascii="Times New Roman" w:hAnsi="Times New Roman"/>
          <w:b/>
          <w:bCs/>
        </w:rPr>
        <w:t>s právom Európskych spoločenstiev a Európskej únie</w:t>
      </w:r>
    </w:p>
    <w:p w:rsidR="00EB051E" w:rsidRPr="00A251B6" w:rsidP="00EB051E">
      <w:pPr>
        <w:spacing w:line="360" w:lineRule="auto"/>
        <w:rPr>
          <w:rFonts w:ascii="Times New Roman" w:hAnsi="Times New Roman"/>
        </w:rPr>
      </w:pPr>
    </w:p>
    <w:p w:rsidR="00371CA0" w:rsidRPr="00A251B6" w:rsidP="00371CA0">
      <w:pPr>
        <w:rPr>
          <w:rFonts w:ascii="Times New Roman" w:hAnsi="Times New Roman"/>
          <w:bCs/>
        </w:rPr>
      </w:pPr>
      <w:r w:rsidRPr="00A251B6" w:rsidR="00EB051E">
        <w:rPr>
          <w:rFonts w:ascii="Times New Roman" w:hAnsi="Times New Roman"/>
          <w:b/>
          <w:bCs/>
        </w:rPr>
        <w:t>1. Predkladateľ právneho predpisu:</w:t>
      </w:r>
      <w:r w:rsidRPr="00A251B6">
        <w:rPr>
          <w:rFonts w:ascii="Times New Roman" w:hAnsi="Times New Roman"/>
          <w:bCs/>
        </w:rPr>
        <w:t xml:space="preserve"> Ministerstvo zdravotníctva Slovenskej republiky.</w:t>
      </w:r>
    </w:p>
    <w:p w:rsidR="00371CA0" w:rsidRPr="00A251B6" w:rsidP="00371CA0">
      <w:pPr>
        <w:rPr>
          <w:rFonts w:ascii="Times New Roman" w:hAnsi="Times New Roman"/>
          <w:b/>
          <w:bCs/>
        </w:rPr>
      </w:pPr>
    </w:p>
    <w:p w:rsidR="00EB051E" w:rsidRPr="00A251B6" w:rsidP="00371CA0">
      <w:pPr>
        <w:rPr>
          <w:rFonts w:ascii="Times New Roman" w:hAnsi="Times New Roman"/>
          <w:b/>
          <w:bCs/>
        </w:rPr>
      </w:pPr>
      <w:r w:rsidRPr="00A251B6">
        <w:rPr>
          <w:rFonts w:ascii="Times New Roman" w:hAnsi="Times New Roman"/>
          <w:b/>
          <w:bCs/>
        </w:rPr>
        <w:t>2. Názov návrhu právneho predpisu:</w:t>
      </w:r>
    </w:p>
    <w:p w:rsidR="00EB051E" w:rsidRPr="00A251B6" w:rsidP="00371CA0">
      <w:pPr>
        <w:jc w:val="both"/>
        <w:rPr>
          <w:rFonts w:ascii="Times New Roman" w:hAnsi="Times New Roman"/>
          <w:bCs/>
        </w:rPr>
      </w:pPr>
      <w:r w:rsidRPr="00A251B6">
        <w:rPr>
          <w:rFonts w:ascii="Times New Roman" w:hAnsi="Times New Roman"/>
          <w:bCs/>
        </w:rPr>
        <w:t>Návrh zákona, ktorým sa mení a dopĺňa zákon č. 577/2004 Z. z. o rozsahu zdravotnej starostlivosti uhrádzanej na základe verejného zdravotného poistenia a o úhradách za služby súvisiace s poskytovaním zdravotnej starostlivosti v znení neskorších predpisov a o zmene a doplnení niektorých zákonov</w:t>
      </w:r>
      <w:r w:rsidRPr="00A251B6" w:rsidR="00371CA0">
        <w:rPr>
          <w:rFonts w:ascii="Times New Roman" w:hAnsi="Times New Roman"/>
          <w:bCs/>
        </w:rPr>
        <w:t>.</w:t>
      </w:r>
    </w:p>
    <w:p w:rsidR="00EB051E" w:rsidRPr="00A251B6" w:rsidP="00371CA0">
      <w:pPr>
        <w:rPr>
          <w:rFonts w:ascii="Times New Roman" w:hAnsi="Times New Roman"/>
          <w:b/>
        </w:rPr>
      </w:pPr>
    </w:p>
    <w:p w:rsidR="00EB051E" w:rsidRPr="00A251B6" w:rsidP="00371CA0">
      <w:pPr>
        <w:pStyle w:val="BodyText"/>
        <w:spacing w:line="240" w:lineRule="auto"/>
        <w:rPr>
          <w:rFonts w:ascii="Times New Roman" w:hAnsi="Times New Roman"/>
          <w:b/>
          <w:bCs/>
        </w:rPr>
      </w:pPr>
      <w:r w:rsidRPr="00A251B6">
        <w:rPr>
          <w:rFonts w:ascii="Times New Roman" w:hAnsi="Times New Roman"/>
          <w:b/>
          <w:bCs/>
        </w:rPr>
        <w:t>3. Problematika návrhu zákona:</w:t>
      </w:r>
    </w:p>
    <w:p w:rsidR="00EB051E" w:rsidRPr="00A251B6" w:rsidP="00371CA0">
      <w:pPr>
        <w:pStyle w:val="BodyText"/>
        <w:spacing w:line="240" w:lineRule="auto"/>
        <w:rPr>
          <w:rFonts w:ascii="Times New Roman" w:hAnsi="Times New Roman"/>
          <w:b/>
          <w:bCs/>
        </w:rPr>
      </w:pPr>
    </w:p>
    <w:p w:rsidR="00EB051E" w:rsidRPr="00A251B6" w:rsidP="00371CA0">
      <w:pPr>
        <w:pStyle w:val="BodyText"/>
        <w:spacing w:line="240" w:lineRule="auto"/>
        <w:rPr>
          <w:rFonts w:ascii="Times New Roman" w:hAnsi="Times New Roman"/>
          <w:b/>
          <w:bCs/>
        </w:rPr>
      </w:pPr>
      <w:r w:rsidRPr="00A251B6">
        <w:rPr>
          <w:rFonts w:ascii="Times New Roman" w:hAnsi="Times New Roman"/>
          <w:b/>
          <w:bCs/>
        </w:rPr>
        <w:t>a) je upravená v práve Európskych spoločenstiev:</w:t>
      </w:r>
    </w:p>
    <w:p w:rsidR="00EB051E" w:rsidRPr="00A251B6" w:rsidP="00371CA0">
      <w:pPr>
        <w:pStyle w:val="BodyText"/>
        <w:spacing w:line="240" w:lineRule="auto"/>
        <w:rPr>
          <w:rFonts w:ascii="Times New Roman" w:hAnsi="Times New Roman"/>
          <w:b/>
          <w:bCs/>
        </w:rPr>
      </w:pPr>
      <w:r w:rsidRPr="00A251B6">
        <w:rPr>
          <w:rFonts w:ascii="Times New Roman" w:hAnsi="Times New Roman"/>
          <w:b/>
          <w:bCs/>
        </w:rPr>
        <w:t xml:space="preserve"> - primárnom</w:t>
      </w:r>
    </w:p>
    <w:p w:rsidR="00EB051E" w:rsidRPr="00A251B6" w:rsidP="00371CA0">
      <w:pPr>
        <w:pStyle w:val="BodyText"/>
        <w:spacing w:line="240" w:lineRule="auto"/>
        <w:ind w:firstLine="360"/>
        <w:rPr>
          <w:rFonts w:ascii="Times New Roman" w:hAnsi="Times New Roman"/>
        </w:rPr>
      </w:pPr>
      <w:r w:rsidRPr="00A251B6">
        <w:rPr>
          <w:rFonts w:ascii="Times New Roman" w:hAnsi="Times New Roman"/>
        </w:rPr>
        <w:t>V primárnom práve je problematika návrhu zákona upravená v článku 152 „Zdravotníctvo“ Zmluvy o založení Európskych spoločenstiev v jej amsterdamskom znení prostredníctvom, ktorého Spoločenstvo podporuje a zameriava sa na zlepšenie zdravia, prevenciu chorôb a odstraňovanie príčin zdravotných rizík.</w:t>
      </w:r>
    </w:p>
    <w:p w:rsidR="00EB051E" w:rsidRPr="00A251B6" w:rsidP="00371CA0">
      <w:pPr>
        <w:pStyle w:val="BodyText"/>
        <w:spacing w:line="240" w:lineRule="auto"/>
        <w:rPr>
          <w:rFonts w:ascii="Times New Roman" w:hAnsi="Times New Roman"/>
        </w:rPr>
      </w:pPr>
      <w:r w:rsidRPr="00A251B6">
        <w:rPr>
          <w:rFonts w:ascii="Times New Roman" w:hAnsi="Times New Roman"/>
        </w:rPr>
        <w:t>- sekundárnom:</w:t>
      </w:r>
    </w:p>
    <w:p w:rsidR="00EB051E" w:rsidRPr="00A251B6" w:rsidP="00371CA0">
      <w:pPr>
        <w:autoSpaceDE w:val="0"/>
        <w:autoSpaceDN w:val="0"/>
        <w:adjustRightInd w:val="0"/>
        <w:rPr>
          <w:rFonts w:ascii="Times New Roman" w:hAnsi="Times New Roman"/>
        </w:rPr>
      </w:pPr>
      <w:r w:rsidRPr="00A251B6">
        <w:rPr>
          <w:rFonts w:ascii="Times New Roman" w:hAnsi="Times New Roman"/>
        </w:rPr>
        <w:t>- v</w:t>
      </w:r>
      <w:r w:rsidRPr="00A251B6">
        <w:rPr>
          <w:rFonts w:ascii="Times New Roman" w:hAnsi="Times New Roman"/>
          <w:iCs/>
        </w:rPr>
        <w:t xml:space="preserve"> s</w:t>
      </w:r>
      <w:r w:rsidRPr="00A251B6">
        <w:rPr>
          <w:rFonts w:ascii="Times New Roman" w:hAnsi="Times New Roman"/>
        </w:rPr>
        <w:t>mernici Rady   89/105/EHS z 21. 12. 1988 týkajúcej sa transparentnosti opatrení vzťahujúcich sa na  určenie cien humánnych liekov a ich zaraďovanie do  pôsobnosti národných systémov zdravotného poistenia (Ú. v. EÚ L 40, 11.2.1989)</w:t>
      </w:r>
      <w:r w:rsidRPr="00A251B6" w:rsidR="00371CA0">
        <w:rPr>
          <w:rFonts w:ascii="Times New Roman" w:hAnsi="Times New Roman"/>
        </w:rPr>
        <w:t>.</w:t>
      </w:r>
    </w:p>
    <w:p w:rsidR="00EB051E" w:rsidRPr="00A251B6" w:rsidP="00371CA0">
      <w:pPr>
        <w:rPr>
          <w:rFonts w:ascii="Times New Roman" w:hAnsi="Times New Roman"/>
          <w:b/>
        </w:rPr>
      </w:pPr>
    </w:p>
    <w:p w:rsidR="00EB051E" w:rsidRPr="00A251B6" w:rsidP="00371CA0">
      <w:pPr>
        <w:pStyle w:val="BodyText"/>
        <w:spacing w:line="240" w:lineRule="auto"/>
        <w:rPr>
          <w:rFonts w:ascii="Times New Roman" w:hAnsi="Times New Roman"/>
        </w:rPr>
      </w:pPr>
      <w:r w:rsidRPr="00A251B6">
        <w:rPr>
          <w:rFonts w:ascii="Times New Roman" w:hAnsi="Times New Roman"/>
          <w:b/>
          <w:bCs/>
        </w:rPr>
        <w:t xml:space="preserve">b) nie je upravená v práve Európskych spoločenstiev: - </w:t>
      </w:r>
      <w:r w:rsidRPr="00A251B6">
        <w:rPr>
          <w:rFonts w:ascii="Times New Roman" w:hAnsi="Times New Roman"/>
        </w:rPr>
        <w:t>primárnom,</w:t>
      </w:r>
    </w:p>
    <w:p w:rsidR="00EB051E" w:rsidRPr="00A251B6" w:rsidP="00371CA0">
      <w:pPr>
        <w:pStyle w:val="BodyText"/>
        <w:spacing w:line="240" w:lineRule="auto"/>
        <w:rPr>
          <w:rFonts w:ascii="Times New Roman" w:hAnsi="Times New Roman"/>
        </w:rPr>
      </w:pPr>
      <w:r w:rsidRPr="00A251B6">
        <w:rPr>
          <w:rFonts w:ascii="Times New Roman" w:hAnsi="Times New Roman"/>
        </w:rPr>
        <w:tab/>
        <w:tab/>
        <w:tab/>
        <w:tab/>
        <w:tab/>
        <w:tab/>
        <w:tab/>
        <w:t xml:space="preserve">         - sekundárnom</w:t>
      </w:r>
    </w:p>
    <w:p w:rsidR="00EB051E" w:rsidRPr="00A251B6" w:rsidP="00371CA0">
      <w:pPr>
        <w:pStyle w:val="BodyText"/>
        <w:spacing w:line="240" w:lineRule="auto"/>
        <w:rPr>
          <w:rFonts w:ascii="Times New Roman" w:hAnsi="Times New Roman"/>
          <w:b/>
          <w:bCs/>
        </w:rPr>
      </w:pPr>
    </w:p>
    <w:p w:rsidR="00EB051E" w:rsidRPr="00A251B6" w:rsidP="00371CA0">
      <w:pPr>
        <w:pStyle w:val="BodyText"/>
        <w:spacing w:line="240" w:lineRule="auto"/>
        <w:rPr>
          <w:rFonts w:ascii="Times New Roman" w:hAnsi="Times New Roman"/>
        </w:rPr>
      </w:pPr>
      <w:r w:rsidRPr="00A251B6">
        <w:rPr>
          <w:rFonts w:ascii="Times New Roman" w:hAnsi="Times New Roman"/>
          <w:b/>
          <w:bCs/>
        </w:rPr>
        <w:t>4. Záväzky Slovenskej republiky vo vzťahu k Európskym spoločenstvám a Európskej únii</w:t>
      </w:r>
    </w:p>
    <w:p w:rsidR="00EB051E" w:rsidRPr="00A251B6" w:rsidP="00371CA0">
      <w:pPr>
        <w:pStyle w:val="BodyTextIndent1"/>
        <w:ind w:left="180" w:hanging="180"/>
        <w:jc w:val="both"/>
        <w:rPr>
          <w:rFonts w:ascii="Times New Roman" w:hAnsi="Times New Roman"/>
          <w:bCs/>
        </w:rPr>
      </w:pPr>
      <w:r w:rsidRPr="00A251B6">
        <w:rPr>
          <w:rFonts w:ascii="Times New Roman" w:hAnsi="Times New Roman"/>
          <w:bCs/>
        </w:rPr>
        <w:t xml:space="preserve">   a) problematika návrhu zákona je súčasťou záväzkov vyplývajúcich z Aktu        o podmienkach pristúpenia pripojenom k Zmluve o pristúpení Slovenskej republiky k Európskej únii. Je súčasťou „Vnútorného trhu“, kapitoly „Slobodný pohyb tovarov“, časť „Farmaceutické výrobky a zdravotnícke pomôcky“.</w:t>
      </w:r>
    </w:p>
    <w:p w:rsidR="00EB051E" w:rsidRPr="00A251B6" w:rsidP="00371CA0">
      <w:pPr>
        <w:pStyle w:val="BodyTextIndent1"/>
        <w:ind w:hanging="360"/>
        <w:jc w:val="both"/>
        <w:rPr>
          <w:rFonts w:ascii="Times New Roman" w:hAnsi="Times New Roman"/>
          <w:bCs/>
        </w:rPr>
      </w:pPr>
      <w:r w:rsidRPr="00A251B6">
        <w:rPr>
          <w:rFonts w:ascii="Times New Roman" w:hAnsi="Times New Roman"/>
          <w:bCs/>
        </w:rPr>
        <w:t xml:space="preserve">   b) prechodné obdobia vyplývajúce z  Aktu o podmienkach pristúpenia pripojenom k Zmluve o pristúpení Slovenskej republiky k Európskej únii neboli schválené,</w:t>
      </w:r>
    </w:p>
    <w:p w:rsidR="00EB051E" w:rsidRPr="00A251B6" w:rsidP="00371CA0">
      <w:pPr>
        <w:pStyle w:val="BodyTextIndent1"/>
        <w:ind w:left="180"/>
        <w:jc w:val="both"/>
        <w:rPr>
          <w:rFonts w:ascii="Times New Roman" w:hAnsi="Times New Roman"/>
          <w:bCs/>
        </w:rPr>
      </w:pPr>
      <w:r w:rsidRPr="00A251B6">
        <w:rPr>
          <w:rFonts w:ascii="Times New Roman" w:hAnsi="Times New Roman"/>
          <w:bCs/>
        </w:rPr>
        <w:t>c) lehoty na prebranie smerníc a vypracovanie tabuliek zhody k návrhom všeobecne záväzných právnych predpisov:</w:t>
      </w:r>
    </w:p>
    <w:p w:rsidR="00EB051E" w:rsidRPr="00A251B6" w:rsidP="00371CA0">
      <w:pPr>
        <w:autoSpaceDE w:val="0"/>
        <w:autoSpaceDN w:val="0"/>
        <w:adjustRightInd w:val="0"/>
        <w:ind w:left="360" w:hanging="360"/>
        <w:jc w:val="both"/>
        <w:rPr>
          <w:rFonts w:ascii="Times New Roman" w:hAnsi="Times New Roman"/>
          <w:bCs/>
        </w:rPr>
      </w:pPr>
      <w:r w:rsidRPr="00A251B6">
        <w:rPr>
          <w:rFonts w:ascii="Times New Roman" w:hAnsi="Times New Roman"/>
          <w:bCs/>
          <w:iCs/>
        </w:rPr>
        <w:t>-  s</w:t>
      </w:r>
      <w:r w:rsidRPr="00A251B6">
        <w:rPr>
          <w:rFonts w:ascii="Times New Roman" w:hAnsi="Times New Roman"/>
          <w:bCs/>
        </w:rPr>
        <w:t>mernica Rady č. 89/105/EHS z 21. 12. 1988 týkajúca sa transparentnosti opatrení vzťahujúcich sa na  určenie cien humánnych liekov a ich zaraďovanie do  pôsobnosti národných systémov zdravotného poistenia (Ú. v. EÚ L 40, 11.2.1989) – najneskôr do dňa pristúpenia Slovenskej republiky k Európskej únii,  už je prebraná</w:t>
      </w:r>
    </w:p>
    <w:p w:rsidR="00EB051E" w:rsidRPr="00A251B6" w:rsidP="00371CA0">
      <w:pPr>
        <w:ind w:left="180" w:hanging="180"/>
        <w:rPr>
          <w:rFonts w:ascii="Times New Roman" w:hAnsi="Times New Roman"/>
          <w:b/>
        </w:rPr>
      </w:pPr>
    </w:p>
    <w:p w:rsidR="00EB051E" w:rsidRPr="00A251B6" w:rsidP="00371CA0">
      <w:pPr>
        <w:pStyle w:val="BodyText"/>
        <w:spacing w:line="240" w:lineRule="auto"/>
        <w:ind w:left="360" w:hanging="360"/>
        <w:rPr>
          <w:rFonts w:ascii="Times New Roman" w:hAnsi="Times New Roman"/>
        </w:rPr>
      </w:pPr>
      <w:r w:rsidRPr="00A251B6">
        <w:rPr>
          <w:rFonts w:ascii="Times New Roman" w:hAnsi="Times New Roman"/>
        </w:rPr>
        <w:t>d) konanie proti Slovenskej republike o porušení Zmluvy o založení Európskych spoločenstiev podľa čl. 226 až 228 Zmluvy o založení Európskych spoločenstiev v platnom znení nebolo začaté.</w:t>
      </w:r>
    </w:p>
    <w:p w:rsidR="00EB051E" w:rsidRPr="00A251B6" w:rsidP="00371CA0">
      <w:pPr>
        <w:pStyle w:val="BodyTextIndent1"/>
        <w:ind w:left="180" w:hanging="180"/>
        <w:rPr>
          <w:rFonts w:ascii="Times New Roman" w:hAnsi="Times New Roman"/>
          <w:b/>
        </w:rPr>
      </w:pPr>
    </w:p>
    <w:p w:rsidR="00EB051E" w:rsidRPr="00A251B6" w:rsidP="00371CA0">
      <w:pPr>
        <w:pStyle w:val="BodyText3"/>
        <w:spacing w:after="0"/>
        <w:rPr>
          <w:rFonts w:ascii="Times New Roman" w:hAnsi="Times New Roman"/>
          <w:sz w:val="24"/>
          <w:szCs w:val="24"/>
        </w:rPr>
      </w:pPr>
      <w:r w:rsidRPr="00A251B6">
        <w:rPr>
          <w:rFonts w:ascii="Times New Roman" w:hAnsi="Times New Roman"/>
          <w:sz w:val="24"/>
          <w:szCs w:val="24"/>
        </w:rPr>
        <w:t>5.  Stupeň zlučiteľnosti návrhu zákona s právom Európskych spoločenstiev a Európskej únie</w:t>
      </w:r>
    </w:p>
    <w:p w:rsidR="00EB051E" w:rsidRPr="00A251B6" w:rsidP="00EB051E">
      <w:pPr>
        <w:spacing w:line="360" w:lineRule="auto"/>
        <w:ind w:left="180" w:hanging="180"/>
        <w:rPr>
          <w:rFonts w:ascii="Times New Roman" w:hAnsi="Times New Roman"/>
          <w:b/>
        </w:rPr>
      </w:pPr>
      <w:r w:rsidRPr="00A251B6">
        <w:rPr>
          <w:rFonts w:ascii="Times New Roman" w:hAnsi="Times New Roman"/>
        </w:rPr>
        <w:t xml:space="preserve">- </w:t>
      </w:r>
      <w:r w:rsidRPr="00A251B6">
        <w:rPr>
          <w:rFonts w:ascii="Times New Roman" w:hAnsi="Times New Roman"/>
          <w:bCs/>
        </w:rPr>
        <w:t xml:space="preserve">so </w:t>
      </w:r>
      <w:r w:rsidRPr="00A251B6">
        <w:rPr>
          <w:rFonts w:ascii="Times New Roman" w:hAnsi="Times New Roman"/>
          <w:bCs/>
          <w:iCs/>
        </w:rPr>
        <w:t>s</w:t>
      </w:r>
      <w:r w:rsidRPr="00A251B6">
        <w:rPr>
          <w:rFonts w:ascii="Times New Roman" w:hAnsi="Times New Roman"/>
          <w:bCs/>
        </w:rPr>
        <w:t>mernicou Rady č. 89/105/EHS z 21. 12. 1988 týkajúcou sa transparentnosti opatrení vzťahujúcich sa na  určenie cien humánnych liekov a ich zaraďovanie do  pôsobnosti národných systémov zdravotného poistenia (Ú. v. EÚ L 40, 11.2.1989) – úplný.</w:t>
      </w:r>
    </w:p>
    <w:p w:rsidR="00EB051E" w:rsidRPr="00A251B6" w:rsidP="00EB051E">
      <w:pPr>
        <w:spacing w:line="360" w:lineRule="auto"/>
        <w:rPr>
          <w:rFonts w:ascii="Times New Roman" w:hAnsi="Times New Roman"/>
        </w:rPr>
      </w:pPr>
    </w:p>
    <w:p w:rsidR="00EB051E" w:rsidRPr="00A251B6" w:rsidP="00EB051E">
      <w:pPr>
        <w:autoSpaceDE w:val="0"/>
        <w:autoSpaceDN w:val="0"/>
        <w:adjustRightInd w:val="0"/>
        <w:rPr>
          <w:rFonts w:ascii="Times New Roman" w:hAnsi="Times New Roman"/>
        </w:rPr>
      </w:pPr>
      <w:r w:rsidRPr="00A251B6">
        <w:rPr>
          <w:rFonts w:ascii="Times New Roman" w:hAnsi="Times New Roman"/>
          <w:b/>
          <w:bCs/>
        </w:rPr>
        <w:t>6.  Gestor</w:t>
      </w:r>
      <w:r w:rsidRPr="00A251B6">
        <w:rPr>
          <w:rFonts w:ascii="Times New Roman" w:hAnsi="Times New Roman"/>
        </w:rPr>
        <w:t xml:space="preserve"> (spolupracujúce rezorty).</w:t>
      </w:r>
    </w:p>
    <w:p w:rsidR="00EB051E" w:rsidRPr="00A251B6" w:rsidP="00EB051E">
      <w:pPr>
        <w:autoSpaceDE w:val="0"/>
        <w:autoSpaceDN w:val="0"/>
        <w:adjustRightInd w:val="0"/>
        <w:rPr>
          <w:rFonts w:ascii="Times New Roman" w:hAnsi="Times New Roman"/>
        </w:rPr>
      </w:pPr>
    </w:p>
    <w:p w:rsidR="00EB051E" w:rsidRPr="00A251B6" w:rsidP="00915B59">
      <w:pPr>
        <w:autoSpaceDE w:val="0"/>
        <w:autoSpaceDN w:val="0"/>
        <w:adjustRightInd w:val="0"/>
        <w:spacing w:line="360" w:lineRule="auto"/>
        <w:rPr>
          <w:rFonts w:ascii="Times New Roman" w:hAnsi="Times New Roman"/>
          <w:b/>
        </w:rPr>
      </w:pPr>
      <w:r w:rsidRPr="00A251B6">
        <w:rPr>
          <w:rFonts w:ascii="Times New Roman" w:hAnsi="Times New Roman"/>
        </w:rPr>
        <w:t xml:space="preserve">    </w:t>
      </w:r>
    </w:p>
    <w:p w:rsidR="0084223C" w:rsidP="008B0425">
      <w:pPr>
        <w:pStyle w:val="BodyText"/>
        <w:ind w:firstLine="540"/>
        <w:rPr>
          <w:rFonts w:ascii="Times New Roman" w:hAnsi="Times New Roman"/>
        </w:rPr>
      </w:pPr>
    </w:p>
    <w:p w:rsidR="0084223C" w:rsidRPr="00B10512" w:rsidP="008B0425">
      <w:pPr>
        <w:pStyle w:val="BodyText"/>
        <w:ind w:firstLine="540"/>
        <w:rPr>
          <w:rFonts w:ascii="Times New Roman" w:hAnsi="Times New Roman"/>
          <w:bCs/>
          <w:iCs/>
        </w:rPr>
      </w:pPr>
    </w:p>
    <w:p w:rsidR="0084223C" w:rsidRPr="00850254" w:rsidP="0084223C">
      <w:pPr>
        <w:jc w:val="center"/>
        <w:rPr>
          <w:rFonts w:ascii="Times New Roman" w:hAnsi="Times New Roman"/>
          <w:b/>
        </w:rPr>
      </w:pPr>
      <w:r w:rsidRPr="00850254">
        <w:rPr>
          <w:rFonts w:ascii="Times New Roman" w:hAnsi="Times New Roman"/>
          <w:b/>
        </w:rPr>
        <w:t xml:space="preserve">Doložka finančných, ekonomických, environmentálnych vplyvov, vplyvov </w:t>
      </w:r>
    </w:p>
    <w:p w:rsidR="0084223C" w:rsidP="0084223C">
      <w:pPr>
        <w:jc w:val="center"/>
        <w:rPr>
          <w:rFonts w:ascii="Times New Roman" w:hAnsi="Times New Roman"/>
          <w:b/>
        </w:rPr>
      </w:pPr>
      <w:r w:rsidRPr="00850254">
        <w:rPr>
          <w:rFonts w:ascii="Times New Roman" w:hAnsi="Times New Roman"/>
          <w:b/>
        </w:rPr>
        <w:t>na zamestnanosť a podnikateľské prostredie</w:t>
      </w:r>
    </w:p>
    <w:p w:rsidR="0084223C" w:rsidRPr="00850254" w:rsidP="0084223C">
      <w:pPr>
        <w:jc w:val="center"/>
        <w:rPr>
          <w:rFonts w:ascii="Times New Roman" w:hAnsi="Times New Roman"/>
          <w:b/>
        </w:rPr>
      </w:pPr>
    </w:p>
    <w:p w:rsidR="0084223C" w:rsidRPr="00850254" w:rsidP="0084223C">
      <w:pPr>
        <w:rPr>
          <w:rFonts w:ascii="Times New Roman" w:hAnsi="Times New Roman"/>
          <w:b/>
        </w:rPr>
      </w:pPr>
    </w:p>
    <w:p w:rsidR="0084223C" w:rsidRPr="00850254" w:rsidP="0084223C">
      <w:pPr>
        <w:rPr>
          <w:rFonts w:ascii="Times New Roman" w:hAnsi="Times New Roman"/>
          <w:b/>
        </w:rPr>
      </w:pPr>
    </w:p>
    <w:p w:rsidR="0084223C" w:rsidP="0084223C">
      <w:pPr>
        <w:numPr>
          <w:numId w:val="3"/>
        </w:numPr>
        <w:ind w:firstLine="20"/>
        <w:rPr>
          <w:rFonts w:ascii="Times New Roman" w:hAnsi="Times New Roman"/>
          <w:b/>
        </w:rPr>
      </w:pPr>
      <w:r w:rsidRPr="00850254">
        <w:rPr>
          <w:rFonts w:ascii="Times New Roman" w:hAnsi="Times New Roman"/>
          <w:b/>
        </w:rPr>
        <w:t>Odhad dopadov na verejné financie</w:t>
      </w:r>
    </w:p>
    <w:p w:rsidR="0084223C" w:rsidP="0084223C">
      <w:pPr>
        <w:rPr>
          <w:rFonts w:ascii="Times New Roman" w:hAnsi="Times New Roman"/>
          <w:b/>
        </w:rPr>
      </w:pPr>
    </w:p>
    <w:p w:rsidR="0084223C" w:rsidP="0084223C">
      <w:pPr>
        <w:pStyle w:val="BodyTextIndent1"/>
        <w:ind w:left="0"/>
        <w:jc w:val="both"/>
        <w:rPr>
          <w:rFonts w:ascii="Times New Roman" w:hAnsi="Times New Roman"/>
        </w:rPr>
      </w:pPr>
      <w:r w:rsidR="00DA532F">
        <w:rPr>
          <w:rFonts w:ascii="Times New Roman" w:hAnsi="Times New Roman"/>
        </w:rPr>
        <w:t xml:space="preserve">         </w:t>
      </w:r>
      <w:r>
        <w:rPr>
          <w:rFonts w:ascii="Times New Roman" w:hAnsi="Times New Roman"/>
        </w:rPr>
        <w:t xml:space="preserve">Návrh zákona, </w:t>
      </w:r>
      <w:r w:rsidRPr="0084223C">
        <w:rPr>
          <w:rFonts w:ascii="Times New Roman" w:hAnsi="Times New Roman"/>
        </w:rPr>
        <w:t>ktorým sa mení a dopĺňa zákon č. 577/2004 Z. z. o rozsahu zdravotnej starostlivosti uhrádzanej na základe verejného zdravotného poistenia a o úhradách za služby súvisiace s poskytovaním zdravotnej starostlivosti v znení neskorších predpisov a o zmene a doplnení niektorých zákonov</w:t>
      </w:r>
      <w:r>
        <w:rPr>
          <w:rFonts w:ascii="Times New Roman" w:hAnsi="Times New Roman"/>
        </w:rPr>
        <w:t xml:space="preserve"> </w:t>
      </w:r>
      <w:r w:rsidRPr="00794FD8">
        <w:rPr>
          <w:rFonts w:ascii="Times New Roman" w:hAnsi="Times New Roman"/>
        </w:rPr>
        <w:t xml:space="preserve">bude mať </w:t>
      </w:r>
      <w:r>
        <w:rPr>
          <w:rFonts w:ascii="Times New Roman" w:hAnsi="Times New Roman"/>
        </w:rPr>
        <w:t xml:space="preserve">priaznivý </w:t>
      </w:r>
      <w:r w:rsidRPr="00794FD8">
        <w:rPr>
          <w:rFonts w:ascii="Times New Roman" w:hAnsi="Times New Roman"/>
        </w:rPr>
        <w:t>dop</w:t>
      </w:r>
      <w:r>
        <w:rPr>
          <w:rFonts w:ascii="Times New Roman" w:hAnsi="Times New Roman"/>
        </w:rPr>
        <w:t>ad na štátny rozpočet</w:t>
      </w:r>
      <w:r w:rsidR="009F394F">
        <w:rPr>
          <w:rFonts w:ascii="Times New Roman" w:hAnsi="Times New Roman"/>
        </w:rPr>
        <w:t xml:space="preserve">. </w:t>
      </w:r>
      <w:r w:rsidRPr="00A251B6" w:rsidR="009F394F">
        <w:rPr>
          <w:rFonts w:ascii="Times New Roman" w:hAnsi="Times New Roman"/>
        </w:rPr>
        <w:t xml:space="preserve">Návrhom zákona sa zvýšia príjmy štátneho rozpočtu o 4,2 mil. Sk (zvýšenie doterajších správnych poplatkov).  </w:t>
      </w:r>
      <w:r>
        <w:rPr>
          <w:rFonts w:ascii="Times New Roman" w:hAnsi="Times New Roman"/>
        </w:rPr>
        <w:t xml:space="preserve"> </w:t>
      </w:r>
    </w:p>
    <w:p w:rsidR="0084223C" w:rsidP="0084223C">
      <w:pPr>
        <w:pStyle w:val="BodyTextIndent1"/>
        <w:ind w:left="0"/>
        <w:jc w:val="both"/>
        <w:rPr>
          <w:rFonts w:ascii="Times New Roman" w:hAnsi="Times New Roman"/>
        </w:rPr>
      </w:pPr>
    </w:p>
    <w:p w:rsidR="0084223C" w:rsidP="009F394F">
      <w:pPr>
        <w:pStyle w:val="BodyText"/>
        <w:spacing w:line="240" w:lineRule="auto"/>
        <w:ind w:firstLine="540"/>
        <w:rPr>
          <w:rFonts w:ascii="Times New Roman" w:hAnsi="Times New Roman"/>
        </w:rPr>
      </w:pPr>
      <w:r w:rsidRPr="00B10512">
        <w:rPr>
          <w:rFonts w:ascii="Times New Roman" w:hAnsi="Times New Roman"/>
        </w:rPr>
        <w:t>Navrhovaná právna úprava zakladá zvýšené nároky na verejné financie</w:t>
      </w:r>
      <w:r>
        <w:rPr>
          <w:rFonts w:ascii="Times New Roman" w:hAnsi="Times New Roman"/>
        </w:rPr>
        <w:t xml:space="preserve"> zdravotn</w:t>
      </w:r>
      <w:r w:rsidR="009F394F">
        <w:rPr>
          <w:rFonts w:ascii="Times New Roman" w:hAnsi="Times New Roman"/>
        </w:rPr>
        <w:t>ých</w:t>
      </w:r>
      <w:r>
        <w:rPr>
          <w:rFonts w:ascii="Times New Roman" w:hAnsi="Times New Roman"/>
        </w:rPr>
        <w:t xml:space="preserve"> poisťovn</w:t>
      </w:r>
      <w:r w:rsidR="009F394F">
        <w:rPr>
          <w:rFonts w:ascii="Times New Roman" w:hAnsi="Times New Roman"/>
        </w:rPr>
        <w:t>í</w:t>
      </w:r>
      <w:r>
        <w:rPr>
          <w:rFonts w:ascii="Times New Roman" w:hAnsi="Times New Roman"/>
        </w:rPr>
        <w:t xml:space="preserve">. </w:t>
      </w:r>
      <w:r w:rsidRPr="00B10512">
        <w:rPr>
          <w:rFonts w:ascii="Times New Roman" w:hAnsi="Times New Roman"/>
        </w:rPr>
        <w:t>Výdavky na kúpeľnú starostlivosť sa odhadujú na sumu 28,6 - 34,4 mil</w:t>
      </w:r>
      <w:r>
        <w:rPr>
          <w:rFonts w:ascii="Times New Roman" w:hAnsi="Times New Roman"/>
        </w:rPr>
        <w:t>iónov</w:t>
      </w:r>
      <w:r w:rsidRPr="00B10512">
        <w:rPr>
          <w:rFonts w:ascii="Times New Roman" w:hAnsi="Times New Roman"/>
        </w:rPr>
        <w:t xml:space="preserve"> Sk pre všetky zdravotné poisťovne spolu, pri predpokladanom  náraste 25-30% pacientov.</w:t>
      </w:r>
      <w:r>
        <w:rPr>
          <w:rFonts w:ascii="Times New Roman" w:hAnsi="Times New Roman"/>
        </w:rPr>
        <w:t xml:space="preserve"> </w:t>
      </w:r>
      <w:r w:rsidRPr="00B10512">
        <w:rPr>
          <w:rFonts w:ascii="Times New Roman" w:hAnsi="Times New Roman"/>
          <w:bCs/>
          <w:iCs/>
        </w:rPr>
        <w:t>V</w:t>
      </w:r>
      <w:r w:rsidRPr="00B10512">
        <w:rPr>
          <w:rFonts w:ascii="Times New Roman" w:hAnsi="Times New Roman"/>
        </w:rPr>
        <w:t xml:space="preserve">ýdavky na činnosť kategorizačných rád budú zabezpečené v rámci limitu výdavkov rozpočtu štátnej správy na roky 2008 až 2010. </w:t>
      </w:r>
      <w:r>
        <w:rPr>
          <w:rFonts w:ascii="Times New Roman" w:hAnsi="Times New Roman"/>
        </w:rPr>
        <w:t>Ne</w:t>
      </w:r>
      <w:r w:rsidRPr="00794FD8">
        <w:rPr>
          <w:rFonts w:ascii="Times New Roman" w:hAnsi="Times New Roman"/>
        </w:rPr>
        <w:t>bude mať dopad na rozpočty vyšších územných celkov a rozpočty obc</w:t>
      </w:r>
      <w:r>
        <w:rPr>
          <w:rFonts w:ascii="Times New Roman" w:hAnsi="Times New Roman"/>
        </w:rPr>
        <w:t>í.</w:t>
      </w:r>
    </w:p>
    <w:p w:rsidR="0084223C" w:rsidP="0084223C">
      <w:pPr>
        <w:pStyle w:val="BodyTextIndent1"/>
        <w:ind w:left="0"/>
        <w:jc w:val="both"/>
        <w:rPr>
          <w:rFonts w:ascii="Times New Roman" w:hAnsi="Times New Roman"/>
        </w:rPr>
      </w:pPr>
    </w:p>
    <w:p w:rsidR="0084223C" w:rsidRPr="00794FD8" w:rsidP="0084223C">
      <w:pPr>
        <w:pStyle w:val="BodyTextIndent1"/>
        <w:ind w:left="0"/>
        <w:jc w:val="both"/>
        <w:rPr>
          <w:rFonts w:ascii="Times New Roman" w:hAnsi="Times New Roman"/>
        </w:rPr>
      </w:pPr>
    </w:p>
    <w:p w:rsidR="0084223C" w:rsidRPr="00850254" w:rsidP="0084223C">
      <w:pPr>
        <w:ind w:left="360"/>
        <w:rPr>
          <w:rFonts w:ascii="Times New Roman" w:hAnsi="Times New Roman"/>
          <w:b/>
        </w:rPr>
      </w:pPr>
      <w:r>
        <w:rPr>
          <w:rFonts w:ascii="Times New Roman" w:hAnsi="Times New Roman"/>
          <w:b/>
        </w:rPr>
        <w:t xml:space="preserve">2. </w:t>
      </w:r>
      <w:r w:rsidRPr="00850254">
        <w:rPr>
          <w:rFonts w:ascii="Times New Roman" w:hAnsi="Times New Roman"/>
          <w:b/>
        </w:rPr>
        <w:t>Odhad dopadov na obyvateľov, hospodárenie podnikateľskej sféry a iných právnických osôb</w:t>
      </w:r>
    </w:p>
    <w:p w:rsidR="0084223C" w:rsidRPr="00360411" w:rsidP="0084223C">
      <w:pPr>
        <w:pStyle w:val="BodyTextIndent1"/>
        <w:ind w:left="0"/>
        <w:jc w:val="both"/>
        <w:rPr>
          <w:rFonts w:ascii="Times New Roman" w:hAnsi="Times New Roman"/>
          <w:caps/>
        </w:rPr>
      </w:pPr>
      <w:r w:rsidR="00013008">
        <w:rPr>
          <w:rFonts w:ascii="Times New Roman" w:hAnsi="Times New Roman"/>
        </w:rPr>
        <w:t xml:space="preserve">      </w:t>
      </w:r>
      <w:r>
        <w:rPr>
          <w:rFonts w:ascii="Times New Roman" w:hAnsi="Times New Roman"/>
        </w:rPr>
        <w:t xml:space="preserve">Návrh zákona, </w:t>
      </w:r>
      <w:r w:rsidRPr="0084223C">
        <w:rPr>
          <w:rFonts w:ascii="Times New Roman" w:hAnsi="Times New Roman"/>
        </w:rPr>
        <w:t>ktorým sa mení a dopĺňa zákon č. 577/2004 Z. z. o rozsahu zdravotnej starostlivosti uhrádzanej na základe verejného zdravotného poistenia a o úhradách za služby súvisiace s poskytovaním zdravotnej starostlivosti v znení neskorších predpisov a o zmene a doplnení niektorých zákonov</w:t>
      </w:r>
      <w:r w:rsidR="00013008">
        <w:rPr>
          <w:rFonts w:ascii="Times New Roman" w:hAnsi="Times New Roman"/>
        </w:rPr>
        <w:t xml:space="preserve"> </w:t>
      </w:r>
      <w:r w:rsidRPr="00B10512">
        <w:rPr>
          <w:rFonts w:ascii="Times New Roman" w:hAnsi="Times New Roman"/>
        </w:rPr>
        <w:t>zaťaž</w:t>
      </w:r>
      <w:r w:rsidR="00013008">
        <w:rPr>
          <w:rFonts w:ascii="Times New Roman" w:hAnsi="Times New Roman"/>
        </w:rPr>
        <w:t>í</w:t>
      </w:r>
      <w:r w:rsidRPr="00B10512">
        <w:rPr>
          <w:rFonts w:ascii="Times New Roman" w:hAnsi="Times New Roman"/>
        </w:rPr>
        <w:t xml:space="preserve"> podnikateľské prostredie, najmä farmaceutický priemysel, ktoré bude platcom správnych poplatkov</w:t>
      </w:r>
      <w:r w:rsidR="00984A7E">
        <w:rPr>
          <w:rFonts w:ascii="Times New Roman" w:hAnsi="Times New Roman"/>
        </w:rPr>
        <w:t>.</w:t>
      </w:r>
      <w:r w:rsidRPr="00850254">
        <w:rPr>
          <w:rFonts w:ascii="Times New Roman" w:hAnsi="Times New Roman"/>
        </w:rPr>
        <w:t xml:space="preserve"> </w:t>
      </w:r>
      <w:r w:rsidR="00984A7E">
        <w:rPr>
          <w:rFonts w:ascii="Times New Roman" w:hAnsi="Times New Roman"/>
        </w:rPr>
        <w:t>N</w:t>
      </w:r>
      <w:r w:rsidRPr="00850254">
        <w:rPr>
          <w:rFonts w:ascii="Times New Roman" w:hAnsi="Times New Roman"/>
        </w:rPr>
        <w:t>epredpokladá</w:t>
      </w:r>
      <w:r>
        <w:rPr>
          <w:rFonts w:ascii="Times New Roman" w:hAnsi="Times New Roman"/>
        </w:rPr>
        <w:t xml:space="preserve"> sa</w:t>
      </w:r>
      <w:r w:rsidRPr="00850254">
        <w:rPr>
          <w:rFonts w:ascii="Times New Roman" w:hAnsi="Times New Roman"/>
        </w:rPr>
        <w:t xml:space="preserve"> negatívny vplyv na obyvateľov</w:t>
      </w:r>
      <w:r>
        <w:rPr>
          <w:rFonts w:ascii="Times New Roman" w:hAnsi="Times New Roman"/>
        </w:rPr>
        <w:t>.</w:t>
      </w:r>
      <w:r w:rsidRPr="00850254">
        <w:rPr>
          <w:rFonts w:ascii="Times New Roman" w:hAnsi="Times New Roman"/>
        </w:rPr>
        <w:t xml:space="preserve"> </w:t>
      </w:r>
      <w:r>
        <w:rPr>
          <w:rFonts w:ascii="Times New Roman" w:hAnsi="Times New Roman"/>
        </w:rPr>
        <w:t xml:space="preserve">  </w:t>
      </w:r>
    </w:p>
    <w:p w:rsidR="0084223C" w:rsidRPr="00850254" w:rsidP="0084223C">
      <w:pPr>
        <w:ind w:left="340" w:firstLine="20"/>
        <w:rPr>
          <w:rFonts w:ascii="Times New Roman" w:hAnsi="Times New Roman"/>
          <w:b/>
        </w:rPr>
      </w:pPr>
    </w:p>
    <w:p w:rsidR="0084223C" w:rsidP="0084223C">
      <w:pPr>
        <w:rPr>
          <w:rFonts w:ascii="Times New Roman" w:hAnsi="Times New Roman"/>
          <w:b/>
        </w:rPr>
      </w:pPr>
    </w:p>
    <w:p w:rsidR="00ED4725" w:rsidRPr="00850254" w:rsidP="0084223C">
      <w:pPr>
        <w:rPr>
          <w:rFonts w:ascii="Times New Roman" w:hAnsi="Times New Roman"/>
          <w:b/>
        </w:rPr>
      </w:pPr>
    </w:p>
    <w:p w:rsidR="0084223C" w:rsidRPr="00850254" w:rsidP="0084223C">
      <w:pPr>
        <w:numPr>
          <w:numId w:val="4"/>
        </w:numPr>
        <w:rPr>
          <w:rFonts w:ascii="Times New Roman" w:hAnsi="Times New Roman"/>
          <w:b/>
        </w:rPr>
      </w:pPr>
      <w:r w:rsidRPr="00850254">
        <w:rPr>
          <w:rFonts w:ascii="Times New Roman" w:hAnsi="Times New Roman"/>
          <w:b/>
        </w:rPr>
        <w:t>Odhad dopadov na životné prostredie</w:t>
      </w:r>
    </w:p>
    <w:p w:rsidR="0084223C" w:rsidRPr="00360411" w:rsidP="0084223C">
      <w:pPr>
        <w:pStyle w:val="BodyTextIndent1"/>
        <w:ind w:left="0"/>
        <w:jc w:val="both"/>
        <w:rPr>
          <w:rFonts w:ascii="Times New Roman" w:hAnsi="Times New Roman"/>
          <w:caps/>
        </w:rPr>
      </w:pPr>
      <w:r w:rsidR="00886750">
        <w:rPr>
          <w:rFonts w:ascii="Times New Roman" w:hAnsi="Times New Roman"/>
        </w:rPr>
        <w:t xml:space="preserve">      </w:t>
      </w:r>
      <w:r w:rsidRPr="00295A95">
        <w:rPr>
          <w:rFonts w:ascii="Times New Roman" w:hAnsi="Times New Roman"/>
        </w:rPr>
        <w:t xml:space="preserve">Návrh </w:t>
      </w:r>
      <w:r>
        <w:rPr>
          <w:rFonts w:ascii="Times New Roman" w:hAnsi="Times New Roman"/>
        </w:rPr>
        <w:t xml:space="preserve">zákona, </w:t>
      </w:r>
      <w:r w:rsidRPr="0084223C">
        <w:rPr>
          <w:rFonts w:ascii="Times New Roman" w:hAnsi="Times New Roman"/>
        </w:rPr>
        <w:t>ktorým sa mení a dopĺňa zákon č. 577/2004 Z. z. o rozsahu zdravotnej starostlivosti uhrádzanej na základe verejného zdravotného poistenia a o úhradách za služby súvisiace s poskytovaním zdravotnej starostlivosti v znení neskorších predpisov a o zmene a doplnení niektorých zákonov</w:t>
      </w:r>
      <w:r>
        <w:rPr>
          <w:rFonts w:ascii="Times New Roman" w:hAnsi="Times New Roman"/>
        </w:rPr>
        <w:t xml:space="preserve"> </w:t>
      </w:r>
      <w:r w:rsidRPr="00850254">
        <w:rPr>
          <w:rFonts w:ascii="Times New Roman" w:hAnsi="Times New Roman"/>
        </w:rPr>
        <w:t>nebude mať dopad na životné prostredie.</w:t>
      </w:r>
    </w:p>
    <w:p w:rsidR="0084223C" w:rsidRPr="00850254" w:rsidP="0084223C">
      <w:pPr>
        <w:ind w:left="300"/>
        <w:rPr>
          <w:rFonts w:ascii="Times New Roman" w:hAnsi="Times New Roman"/>
          <w:b/>
        </w:rPr>
      </w:pPr>
    </w:p>
    <w:p w:rsidR="0084223C" w:rsidRPr="00850254" w:rsidP="0084223C">
      <w:pPr>
        <w:rPr>
          <w:rFonts w:ascii="Times New Roman" w:hAnsi="Times New Roman"/>
          <w:b/>
        </w:rPr>
      </w:pPr>
    </w:p>
    <w:p w:rsidR="0084223C" w:rsidRPr="00850254" w:rsidP="0084223C">
      <w:pPr>
        <w:numPr>
          <w:numId w:val="4"/>
        </w:numPr>
        <w:rPr>
          <w:rFonts w:ascii="Times New Roman" w:hAnsi="Times New Roman"/>
          <w:b/>
        </w:rPr>
      </w:pPr>
      <w:r w:rsidRPr="00850254">
        <w:rPr>
          <w:rFonts w:ascii="Times New Roman" w:hAnsi="Times New Roman"/>
          <w:b/>
        </w:rPr>
        <w:t>Odhad dopadov na zamestnanosť</w:t>
      </w:r>
    </w:p>
    <w:p w:rsidR="0084223C" w:rsidRPr="00360411" w:rsidP="0084223C">
      <w:pPr>
        <w:pStyle w:val="BodyTextIndent1"/>
        <w:ind w:left="0"/>
        <w:jc w:val="both"/>
        <w:rPr>
          <w:rFonts w:ascii="Times New Roman" w:hAnsi="Times New Roman"/>
          <w:caps/>
        </w:rPr>
      </w:pPr>
      <w:r w:rsidR="00886750">
        <w:rPr>
          <w:rFonts w:ascii="Times New Roman" w:hAnsi="Times New Roman"/>
        </w:rPr>
        <w:t xml:space="preserve">      </w:t>
      </w:r>
      <w:r w:rsidRPr="00295A95">
        <w:rPr>
          <w:rFonts w:ascii="Times New Roman" w:hAnsi="Times New Roman"/>
        </w:rPr>
        <w:t xml:space="preserve">Návrh </w:t>
      </w:r>
      <w:r>
        <w:rPr>
          <w:rFonts w:ascii="Times New Roman" w:hAnsi="Times New Roman"/>
        </w:rPr>
        <w:t xml:space="preserve">zákona, </w:t>
      </w:r>
      <w:r w:rsidRPr="0084223C">
        <w:rPr>
          <w:rFonts w:ascii="Times New Roman" w:hAnsi="Times New Roman"/>
        </w:rPr>
        <w:t>ktorým sa mení a dopĺňa zákon č. 577/2004 Z. z. o rozsahu zdravotnej starostlivosti uhrádzanej na základe verejného zdravotného poistenia a o úhradách za služby súvisiace s poskytovaním zdravotnej starostlivosti v znení neskorších predpisov a o zmene a doplnení niektorých zákonov</w:t>
      </w:r>
      <w:r>
        <w:rPr>
          <w:rFonts w:ascii="Times New Roman" w:hAnsi="Times New Roman"/>
        </w:rPr>
        <w:t xml:space="preserve"> </w:t>
      </w:r>
      <w:r w:rsidRPr="00850254">
        <w:rPr>
          <w:rFonts w:ascii="Times New Roman" w:hAnsi="Times New Roman"/>
        </w:rPr>
        <w:t>nepredpokladá dopad na zamestnanosť v Slovenskej republike.</w:t>
      </w:r>
    </w:p>
    <w:p w:rsidR="0084223C" w:rsidRPr="00850254" w:rsidP="0084223C">
      <w:pPr>
        <w:rPr>
          <w:rFonts w:ascii="Times New Roman" w:hAnsi="Times New Roman"/>
          <w:b/>
        </w:rPr>
      </w:pPr>
    </w:p>
    <w:p w:rsidR="0010520D" w:rsidRPr="00A251B6" w:rsidP="00915B59">
      <w:pPr>
        <w:ind w:left="360"/>
        <w:rPr>
          <w:rFonts w:ascii="Times New Roman" w:hAnsi="Times New Roman"/>
        </w:rPr>
      </w:pPr>
    </w:p>
    <w:p w:rsidR="0010520D" w:rsidRPr="00A251B6" w:rsidP="00915B59">
      <w:pPr>
        <w:ind w:left="360"/>
        <w:rPr>
          <w:rFonts w:ascii="Times New Roman" w:hAnsi="Times New Roman"/>
        </w:rPr>
      </w:pPr>
    </w:p>
    <w:p w:rsidR="0010520D" w:rsidRPr="00A251B6" w:rsidP="00915B59">
      <w:pPr>
        <w:ind w:left="360"/>
        <w:rPr>
          <w:rFonts w:ascii="Times New Roman" w:hAnsi="Times New Roman"/>
        </w:rPr>
      </w:pPr>
    </w:p>
    <w:p w:rsidR="0010520D" w:rsidRPr="00A251B6" w:rsidP="00915B59">
      <w:pPr>
        <w:ind w:left="360"/>
        <w:rPr>
          <w:rFonts w:ascii="Times New Roman" w:hAnsi="Times New Roman"/>
        </w:rPr>
      </w:pPr>
    </w:p>
    <w:p w:rsidR="009F0FB9" w:rsidRPr="00A251B6" w:rsidP="009F0FB9">
      <w:pPr>
        <w:pStyle w:val="Subtitle"/>
        <w:rPr>
          <w:rFonts w:ascii="Times New Roman" w:hAnsi="Times New Roman"/>
          <w:lang w:val="sk-SK"/>
        </w:rPr>
      </w:pPr>
      <w:r w:rsidRPr="00A251B6">
        <w:rPr>
          <w:rFonts w:ascii="Times New Roman" w:hAnsi="Times New Roman"/>
          <w:lang w:val="sk-SK"/>
        </w:rPr>
        <w:t>Osobitná časť</w:t>
      </w:r>
    </w:p>
    <w:p w:rsidR="009F0FB9" w:rsidRPr="00A251B6" w:rsidP="009F0FB9">
      <w:pPr>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1 </w:t>
      </w:r>
    </w:p>
    <w:p w:rsidR="00A251B6" w:rsidP="009F0FB9">
      <w:pPr>
        <w:jc w:val="both"/>
        <w:rPr>
          <w:rFonts w:ascii="Times New Roman" w:hAnsi="Times New Roman"/>
        </w:rPr>
      </w:pPr>
      <w:r w:rsidRPr="00A251B6">
        <w:rPr>
          <w:rFonts w:ascii="Times New Roman" w:hAnsi="Times New Roman"/>
        </w:rPr>
        <w:t>N</w:t>
      </w:r>
      <w:r w:rsidRPr="00A251B6" w:rsidR="009F0FB9">
        <w:rPr>
          <w:rFonts w:ascii="Times New Roman" w:hAnsi="Times New Roman"/>
        </w:rPr>
        <w:t>avrhuj</w:t>
      </w:r>
      <w:r w:rsidRPr="00A251B6">
        <w:rPr>
          <w:rFonts w:ascii="Times New Roman" w:hAnsi="Times New Roman"/>
        </w:rPr>
        <w:t xml:space="preserve">e sa </w:t>
      </w:r>
      <w:r w:rsidRPr="00A251B6" w:rsidR="009F0FB9">
        <w:rPr>
          <w:rFonts w:ascii="Times New Roman" w:hAnsi="Times New Roman"/>
        </w:rPr>
        <w:t xml:space="preserve">zaradiť </w:t>
      </w:r>
      <w:r w:rsidRPr="00A251B6">
        <w:rPr>
          <w:rFonts w:ascii="Times New Roman" w:hAnsi="Times New Roman"/>
        </w:rPr>
        <w:t xml:space="preserve">jedna nová </w:t>
      </w:r>
      <w:r w:rsidRPr="00A251B6" w:rsidR="009F0FB9">
        <w:rPr>
          <w:rFonts w:ascii="Times New Roman" w:hAnsi="Times New Roman"/>
        </w:rPr>
        <w:t>preventívn</w:t>
      </w:r>
      <w:r w:rsidRPr="00A251B6">
        <w:rPr>
          <w:rFonts w:ascii="Times New Roman" w:hAnsi="Times New Roman"/>
        </w:rPr>
        <w:t>a</w:t>
      </w:r>
      <w:r w:rsidRPr="00A251B6" w:rsidR="009F0FB9">
        <w:rPr>
          <w:rFonts w:ascii="Times New Roman" w:hAnsi="Times New Roman"/>
        </w:rPr>
        <w:t xml:space="preserve"> prehliadk</w:t>
      </w:r>
      <w:r w:rsidRPr="00A251B6">
        <w:rPr>
          <w:rFonts w:ascii="Times New Roman" w:hAnsi="Times New Roman"/>
        </w:rPr>
        <w:t xml:space="preserve">a </w:t>
      </w:r>
      <w:r w:rsidRPr="00A251B6" w:rsidR="009F0FB9">
        <w:rPr>
          <w:rFonts w:ascii="Times New Roman" w:hAnsi="Times New Roman"/>
        </w:rPr>
        <w:t>poistenca od 18 – 46 rokov veku s vykonaním dychového testu na Helicobacter pylori u</w:t>
      </w:r>
      <w:r>
        <w:rPr>
          <w:rFonts w:ascii="Times New Roman" w:hAnsi="Times New Roman"/>
        </w:rPr>
        <w:t xml:space="preserve"> všeobecného </w:t>
      </w:r>
      <w:r w:rsidRPr="00A251B6" w:rsidR="009F0FB9">
        <w:rPr>
          <w:rFonts w:ascii="Times New Roman" w:hAnsi="Times New Roman"/>
        </w:rPr>
        <w:t xml:space="preserve">lekára </w:t>
      </w:r>
      <w:r>
        <w:rPr>
          <w:rFonts w:ascii="Times New Roman" w:hAnsi="Times New Roman"/>
        </w:rPr>
        <w:t xml:space="preserve">alebo u lekára </w:t>
      </w:r>
      <w:r w:rsidRPr="00A251B6" w:rsidR="009F0FB9">
        <w:rPr>
          <w:rFonts w:ascii="Times New Roman" w:hAnsi="Times New Roman"/>
        </w:rPr>
        <w:t>so špecializáciou v špecializačnom odbore gastroenterológia</w:t>
      </w:r>
      <w:r>
        <w:rPr>
          <w:rFonts w:ascii="Times New Roman" w:hAnsi="Times New Roman"/>
        </w:rPr>
        <w:t>.</w:t>
      </w:r>
      <w:r w:rsidRPr="00A251B6" w:rsidR="005A08B6">
        <w:rPr>
          <w:rFonts w:ascii="Times New Roman" w:hAnsi="Times New Roman"/>
        </w:rPr>
        <w:t xml:space="preserve"> </w:t>
      </w:r>
      <w:r>
        <w:rPr>
          <w:rFonts w:ascii="Times New Roman" w:hAnsi="Times New Roman"/>
        </w:rPr>
        <w:t>Jej</w:t>
      </w:r>
      <w:r w:rsidRPr="00A251B6" w:rsidR="009F0FB9">
        <w:rPr>
          <w:rFonts w:ascii="Times New Roman" w:hAnsi="Times New Roman"/>
        </w:rPr>
        <w:t xml:space="preserve"> cieľom </w:t>
      </w:r>
      <w:r w:rsidRPr="00A251B6" w:rsidR="000B199C">
        <w:rPr>
          <w:rFonts w:ascii="Times New Roman" w:hAnsi="Times New Roman"/>
        </w:rPr>
        <w:t xml:space="preserve">je </w:t>
      </w:r>
      <w:r w:rsidRPr="00A251B6" w:rsidR="009F0FB9">
        <w:rPr>
          <w:rFonts w:ascii="Times New Roman" w:hAnsi="Times New Roman"/>
        </w:rPr>
        <w:t>včasné zachyteni</w:t>
      </w:r>
      <w:r w:rsidRPr="00A251B6" w:rsidR="000B199C">
        <w:rPr>
          <w:rFonts w:ascii="Times New Roman" w:hAnsi="Times New Roman"/>
        </w:rPr>
        <w:t>e</w:t>
      </w:r>
      <w:r w:rsidRPr="00A251B6" w:rsidR="009F0FB9">
        <w:rPr>
          <w:rFonts w:ascii="Times New Roman" w:hAnsi="Times New Roman"/>
        </w:rPr>
        <w:t xml:space="preserve"> vredovej choroby žalúdka a</w:t>
      </w:r>
      <w:r>
        <w:rPr>
          <w:rFonts w:ascii="Times New Roman" w:hAnsi="Times New Roman"/>
        </w:rPr>
        <w:t> </w:t>
      </w:r>
      <w:r w:rsidRPr="00A251B6" w:rsidR="009F0FB9">
        <w:rPr>
          <w:rFonts w:ascii="Times New Roman" w:hAnsi="Times New Roman"/>
        </w:rPr>
        <w:t>dvanást</w:t>
      </w:r>
      <w:r>
        <w:rPr>
          <w:rFonts w:ascii="Times New Roman" w:hAnsi="Times New Roman"/>
        </w:rPr>
        <w:t>ni</w:t>
      </w:r>
      <w:r w:rsidRPr="00A251B6" w:rsidR="009F0FB9">
        <w:rPr>
          <w:rFonts w:ascii="Times New Roman" w:hAnsi="Times New Roman"/>
        </w:rPr>
        <w:t>ka</w:t>
      </w:r>
      <w:r>
        <w:rPr>
          <w:rFonts w:ascii="Times New Roman" w:hAnsi="Times New Roman"/>
        </w:rPr>
        <w:t>.</w:t>
      </w:r>
      <w:r w:rsidRPr="00A251B6" w:rsidR="009F0FB9">
        <w:rPr>
          <w:rFonts w:ascii="Times New Roman" w:hAnsi="Times New Roman"/>
        </w:rPr>
        <w:t xml:space="preserve"> </w:t>
      </w:r>
    </w:p>
    <w:p w:rsidR="00E02C6B" w:rsidP="009F0FB9">
      <w:pPr>
        <w:jc w:val="both"/>
        <w:rPr>
          <w:rFonts w:ascii="Times New Roman" w:hAnsi="Times New Roman"/>
        </w:rPr>
      </w:pPr>
    </w:p>
    <w:p w:rsidR="00E72172" w:rsidRPr="00A251B6" w:rsidP="009F0FB9">
      <w:pPr>
        <w:jc w:val="both"/>
        <w:rPr>
          <w:rFonts w:ascii="Times New Roman" w:hAnsi="Times New Roman"/>
        </w:rPr>
      </w:pPr>
    </w:p>
    <w:p w:rsidR="00E02C6B" w:rsidRPr="00A251B6" w:rsidP="009F0FB9">
      <w:pPr>
        <w:jc w:val="both"/>
        <w:rPr>
          <w:rFonts w:ascii="Times New Roman" w:hAnsi="Times New Roman"/>
          <w:b/>
          <w:bCs/>
        </w:rPr>
      </w:pPr>
      <w:r w:rsidRPr="00A251B6">
        <w:rPr>
          <w:rFonts w:ascii="Times New Roman" w:hAnsi="Times New Roman"/>
          <w:b/>
          <w:bCs/>
        </w:rPr>
        <w:t>K bodu 2</w:t>
      </w:r>
    </w:p>
    <w:p w:rsidR="002C1FBB" w:rsidRPr="00A251B6" w:rsidP="00A251B6">
      <w:pPr>
        <w:rPr>
          <w:rFonts w:ascii="Times New Roman" w:hAnsi="Times New Roman"/>
          <w:sz w:val="20"/>
          <w:szCs w:val="20"/>
        </w:rPr>
      </w:pPr>
      <w:r w:rsidR="00D97EDF">
        <w:rPr>
          <w:rFonts w:ascii="Times New Roman" w:hAnsi="Times New Roman"/>
        </w:rPr>
        <w:t xml:space="preserve">            </w:t>
      </w:r>
      <w:r w:rsidR="00A251B6">
        <w:rPr>
          <w:rFonts w:ascii="Times New Roman" w:hAnsi="Times New Roman"/>
        </w:rPr>
        <w:t>V ustanovení sa upre</w:t>
      </w:r>
      <w:r w:rsidR="00B335BB">
        <w:rPr>
          <w:rFonts w:ascii="Times New Roman" w:hAnsi="Times New Roman"/>
        </w:rPr>
        <w:t>s</w:t>
      </w:r>
      <w:r w:rsidR="00A251B6">
        <w:rPr>
          <w:rFonts w:ascii="Times New Roman" w:hAnsi="Times New Roman"/>
        </w:rPr>
        <w:t>ňuje jeho formulácia tak, že zdravotným výkonom nie je</w:t>
      </w:r>
      <w:r w:rsidR="00B335BB">
        <w:rPr>
          <w:rFonts w:ascii="Times New Roman" w:hAnsi="Times New Roman"/>
        </w:rPr>
        <w:t xml:space="preserve"> povinné očkovanie ale samotné podanie očkovacej látky.</w:t>
      </w:r>
    </w:p>
    <w:p w:rsidR="00E02C6B" w:rsidP="00E02C6B">
      <w:pPr>
        <w:jc w:val="both"/>
        <w:rPr>
          <w:rFonts w:ascii="Times New Roman" w:hAnsi="Times New Roman"/>
        </w:rPr>
      </w:pPr>
    </w:p>
    <w:p w:rsidR="00E72172" w:rsidRPr="00A251B6" w:rsidP="00E02C6B">
      <w:pPr>
        <w:jc w:val="both"/>
        <w:rPr>
          <w:rFonts w:ascii="Times New Roman" w:hAnsi="Times New Roman"/>
        </w:rPr>
      </w:pPr>
    </w:p>
    <w:p w:rsidR="00E02C6B" w:rsidRPr="00A251B6" w:rsidP="00E02C6B">
      <w:pPr>
        <w:jc w:val="both"/>
        <w:rPr>
          <w:rFonts w:ascii="Times New Roman" w:hAnsi="Times New Roman"/>
          <w:b/>
          <w:bCs/>
        </w:rPr>
      </w:pPr>
      <w:r w:rsidRPr="00A251B6">
        <w:rPr>
          <w:rFonts w:ascii="Times New Roman" w:hAnsi="Times New Roman"/>
          <w:b/>
          <w:bCs/>
        </w:rPr>
        <w:t>K bodu 3</w:t>
      </w:r>
    </w:p>
    <w:p w:rsidR="00274265" w:rsidP="00274265">
      <w:pPr>
        <w:shd w:val="clear" w:color="auto" w:fill="FFFFFF"/>
        <w:ind w:right="-108" w:firstLine="826"/>
        <w:jc w:val="both"/>
        <w:rPr>
          <w:rFonts w:ascii="Times New Roman" w:hAnsi="Times New Roman"/>
          <w:color w:val="000000"/>
        </w:rPr>
      </w:pPr>
      <w:r>
        <w:rPr>
          <w:rFonts w:ascii="Times New Roman" w:hAnsi="Times New Roman"/>
        </w:rPr>
        <w:t>Nová úprava</w:t>
      </w:r>
      <w:r>
        <w:rPr>
          <w:rFonts w:ascii="Times New Roman" w:hAnsi="Times New Roman"/>
          <w:color w:val="000000"/>
        </w:rPr>
        <w:t xml:space="preserve"> </w:t>
      </w:r>
      <w:r w:rsidRPr="00274265">
        <w:rPr>
          <w:rFonts w:ascii="Times New Roman" w:hAnsi="Times New Roman"/>
          <w:color w:val="000000"/>
          <w:spacing w:val="-1"/>
        </w:rPr>
        <w:t>presnejšie definuje spoluúčasť pacienta až po jeho súhlase, a definuje výšku úhrady na</w:t>
      </w:r>
      <w:r>
        <w:rPr>
          <w:rFonts w:ascii="Times New Roman" w:hAnsi="Times New Roman"/>
          <w:color w:val="000000"/>
          <w:spacing w:val="-1"/>
        </w:rPr>
        <w:t xml:space="preserve"> </w:t>
      </w:r>
      <w:r w:rsidRPr="00274265">
        <w:rPr>
          <w:rFonts w:ascii="Times New Roman" w:hAnsi="Times New Roman"/>
          <w:color w:val="000000"/>
        </w:rPr>
        <w:t>základe verejného zdravotného poistenia pri poskytovaní nadštandardných</w:t>
      </w:r>
      <w:r>
        <w:rPr>
          <w:rFonts w:ascii="Times New Roman" w:hAnsi="Times New Roman"/>
          <w:color w:val="000000"/>
        </w:rPr>
        <w:t xml:space="preserve"> </w:t>
      </w:r>
      <w:r w:rsidRPr="00274265">
        <w:rPr>
          <w:rFonts w:ascii="Times New Roman" w:hAnsi="Times New Roman"/>
          <w:color w:val="000000"/>
        </w:rPr>
        <w:t>zdravotných výkonov a výrobkov. Poistenec uhrádza iba rozdiel medzi úhradou</w:t>
      </w:r>
      <w:r>
        <w:rPr>
          <w:rFonts w:ascii="Times New Roman" w:hAnsi="Times New Roman"/>
          <w:color w:val="000000"/>
        </w:rPr>
        <w:t xml:space="preserve"> </w:t>
      </w:r>
      <w:r w:rsidRPr="00274265">
        <w:rPr>
          <w:rFonts w:ascii="Times New Roman" w:hAnsi="Times New Roman"/>
          <w:color w:val="000000"/>
        </w:rPr>
        <w:t>zdravotnej poisťovne z verejného zdravotného poistenia a cenou zdravotníckeho</w:t>
      </w:r>
      <w:r>
        <w:rPr>
          <w:rFonts w:ascii="Times New Roman" w:hAnsi="Times New Roman"/>
          <w:color w:val="000000"/>
        </w:rPr>
        <w:t xml:space="preserve"> </w:t>
      </w:r>
      <w:r w:rsidRPr="00274265">
        <w:rPr>
          <w:rFonts w:ascii="Times New Roman" w:hAnsi="Times New Roman"/>
          <w:color w:val="000000"/>
        </w:rPr>
        <w:t>zariadenia podľa platných právnych predpisov.</w:t>
      </w:r>
    </w:p>
    <w:p w:rsidR="00AD2ECB" w:rsidP="00274265">
      <w:pPr>
        <w:shd w:val="clear" w:color="auto" w:fill="FFFFFF"/>
        <w:ind w:right="-108" w:firstLine="826"/>
        <w:jc w:val="both"/>
        <w:rPr>
          <w:rFonts w:ascii="Times New Roman" w:hAnsi="Times New Roman"/>
          <w:color w:val="000000"/>
        </w:rPr>
      </w:pPr>
    </w:p>
    <w:p w:rsidR="00E72172" w:rsidP="00274265">
      <w:pPr>
        <w:shd w:val="clear" w:color="auto" w:fill="FFFFFF"/>
        <w:ind w:right="-108" w:firstLine="826"/>
        <w:jc w:val="both"/>
        <w:rPr>
          <w:rFonts w:ascii="Times New Roman" w:hAnsi="Times New Roman"/>
          <w:color w:val="000000"/>
        </w:rPr>
      </w:pPr>
    </w:p>
    <w:p w:rsidR="00D4767F" w:rsidP="00D4767F">
      <w:pPr>
        <w:jc w:val="both"/>
        <w:rPr>
          <w:rFonts w:ascii="Times New Roman" w:hAnsi="Times New Roman"/>
          <w:b/>
          <w:bCs/>
        </w:rPr>
      </w:pPr>
      <w:r w:rsidRPr="00A251B6">
        <w:rPr>
          <w:rFonts w:ascii="Times New Roman" w:hAnsi="Times New Roman"/>
          <w:b/>
          <w:bCs/>
        </w:rPr>
        <w:t xml:space="preserve">K bodu </w:t>
      </w:r>
      <w:r>
        <w:rPr>
          <w:rFonts w:ascii="Times New Roman" w:hAnsi="Times New Roman"/>
          <w:b/>
          <w:bCs/>
        </w:rPr>
        <w:t>4</w:t>
      </w:r>
    </w:p>
    <w:p w:rsidR="00D97EDF" w:rsidP="00D4767F">
      <w:pPr>
        <w:jc w:val="both"/>
        <w:rPr>
          <w:rFonts w:ascii="Times New Roman" w:hAnsi="Times New Roman"/>
          <w:color w:val="000000"/>
          <w:spacing w:val="-1"/>
        </w:rPr>
      </w:pPr>
      <w:r>
        <w:rPr>
          <w:rFonts w:ascii="Times New Roman" w:hAnsi="Times New Roman"/>
          <w:b/>
          <w:bCs/>
        </w:rPr>
        <w:t xml:space="preserve">               </w:t>
      </w:r>
      <w:r>
        <w:rPr>
          <w:rFonts w:ascii="Times New Roman" w:hAnsi="Times New Roman"/>
        </w:rPr>
        <w:t>Nová úprava</w:t>
      </w:r>
      <w:r>
        <w:rPr>
          <w:rFonts w:ascii="Times New Roman" w:hAnsi="Times New Roman"/>
          <w:color w:val="000000"/>
        </w:rPr>
        <w:t xml:space="preserve"> </w:t>
      </w:r>
      <w:r w:rsidRPr="00274265">
        <w:rPr>
          <w:rFonts w:ascii="Times New Roman" w:hAnsi="Times New Roman"/>
          <w:color w:val="000000"/>
          <w:spacing w:val="-1"/>
        </w:rPr>
        <w:t xml:space="preserve"> definuje</w:t>
      </w:r>
      <w:r>
        <w:rPr>
          <w:rFonts w:ascii="Times New Roman" w:hAnsi="Times New Roman"/>
          <w:color w:val="000000"/>
          <w:spacing w:val="-1"/>
        </w:rPr>
        <w:t>, že na základe verejného zdravotného poistenia sa plne uhrádza povinné očkovanie  s potrebná kontrola zdravotného stavu poistenca.</w:t>
      </w:r>
    </w:p>
    <w:p w:rsidR="00D97EDF" w:rsidP="00D4767F">
      <w:pPr>
        <w:jc w:val="both"/>
        <w:rPr>
          <w:rFonts w:ascii="Times New Roman" w:hAnsi="Times New Roman"/>
          <w:color w:val="000000"/>
          <w:spacing w:val="-1"/>
        </w:rPr>
      </w:pPr>
    </w:p>
    <w:p w:rsidR="00E72172" w:rsidP="00D4767F">
      <w:pPr>
        <w:jc w:val="both"/>
        <w:rPr>
          <w:rFonts w:ascii="Times New Roman" w:hAnsi="Times New Roman"/>
          <w:color w:val="000000"/>
          <w:spacing w:val="-1"/>
        </w:rPr>
      </w:pPr>
    </w:p>
    <w:p w:rsidR="00D97EDF" w:rsidRPr="00D97EDF" w:rsidP="00D4767F">
      <w:pPr>
        <w:jc w:val="both"/>
        <w:rPr>
          <w:rFonts w:ascii="Times New Roman" w:hAnsi="Times New Roman"/>
        </w:rPr>
      </w:pPr>
    </w:p>
    <w:p w:rsidR="00D97EDF" w:rsidRPr="00A251B6" w:rsidP="00D4767F">
      <w:pPr>
        <w:jc w:val="both"/>
        <w:rPr>
          <w:rFonts w:ascii="Times New Roman" w:hAnsi="Times New Roman"/>
          <w:b/>
          <w:bCs/>
        </w:rPr>
      </w:pPr>
      <w:r>
        <w:rPr>
          <w:rFonts w:ascii="Times New Roman" w:hAnsi="Times New Roman"/>
          <w:b/>
          <w:bCs/>
        </w:rPr>
        <w:t>K bodu 5</w:t>
      </w:r>
    </w:p>
    <w:p w:rsidR="00D4767F" w:rsidP="00D4767F">
      <w:pPr>
        <w:ind w:firstLine="708"/>
        <w:jc w:val="both"/>
        <w:rPr>
          <w:rFonts w:ascii="Times New Roman" w:hAnsi="Times New Roman"/>
        </w:rPr>
      </w:pPr>
      <w:r>
        <w:rPr>
          <w:rFonts w:ascii="Times New Roman" w:hAnsi="Times New Roman"/>
        </w:rPr>
        <w:t xml:space="preserve">Zdravotná </w:t>
      </w:r>
      <w:r w:rsidRPr="00D4767F">
        <w:rPr>
          <w:rFonts w:ascii="Times New Roman" w:hAnsi="Times New Roman"/>
        </w:rPr>
        <w:t>poisťovňa schvaľuje úhradu v rámci schválenia faktúry, teda až po poskytnutí zdravotnej starostlivosti. Naopak, poisťovňa by mala vydať vopred súhlas, že schvaľuje poskytnutie a teda následne vykoná úhradu.</w:t>
      </w:r>
    </w:p>
    <w:p w:rsidR="00D97EDF" w:rsidP="00D4767F">
      <w:pPr>
        <w:ind w:firstLine="708"/>
        <w:jc w:val="both"/>
        <w:rPr>
          <w:rFonts w:ascii="Times New Roman" w:hAnsi="Times New Roman"/>
        </w:rPr>
      </w:pPr>
    </w:p>
    <w:p w:rsidR="00D97EDF" w:rsidP="00D4767F">
      <w:pPr>
        <w:ind w:firstLine="708"/>
        <w:jc w:val="both"/>
        <w:rPr>
          <w:rFonts w:ascii="Times New Roman" w:hAnsi="Times New Roman"/>
        </w:rPr>
      </w:pPr>
    </w:p>
    <w:p w:rsidR="00D97EDF" w:rsidRPr="00D97EDF" w:rsidP="00D97EDF">
      <w:pPr>
        <w:jc w:val="both"/>
        <w:rPr>
          <w:rFonts w:ascii="Times New Roman" w:hAnsi="Times New Roman"/>
          <w:b/>
          <w:bCs/>
        </w:rPr>
      </w:pPr>
      <w:r w:rsidRPr="00D97EDF">
        <w:rPr>
          <w:rFonts w:ascii="Times New Roman" w:hAnsi="Times New Roman"/>
          <w:b/>
          <w:bCs/>
        </w:rPr>
        <w:t>K bodu 6</w:t>
      </w:r>
    </w:p>
    <w:p w:rsidR="00D97EDF" w:rsidRPr="00D4767F" w:rsidP="00D4767F">
      <w:pPr>
        <w:ind w:firstLine="708"/>
        <w:jc w:val="both"/>
        <w:rPr>
          <w:rFonts w:ascii="Times New Roman" w:hAnsi="Times New Roman"/>
        </w:rPr>
      </w:pPr>
      <w:r>
        <w:rPr>
          <w:rFonts w:ascii="Times New Roman" w:hAnsi="Times New Roman"/>
        </w:rPr>
        <w:t>Ide o legislatívno-technickú úpravu.</w:t>
      </w:r>
    </w:p>
    <w:p w:rsidR="00E02C6B" w:rsidRPr="00A251B6" w:rsidP="009F0FB9">
      <w:pPr>
        <w:jc w:val="both"/>
        <w:rPr>
          <w:rFonts w:ascii="Times New Roman" w:hAnsi="Times New Roman"/>
        </w:rPr>
      </w:pPr>
    </w:p>
    <w:p w:rsidR="00E02C6B" w:rsidRPr="00A251B6" w:rsidP="00E02C6B">
      <w:pPr>
        <w:jc w:val="both"/>
        <w:rPr>
          <w:rFonts w:ascii="Times New Roman" w:hAnsi="Times New Roman"/>
          <w:b/>
          <w:bCs/>
        </w:rPr>
      </w:pPr>
      <w:r w:rsidRPr="00A251B6">
        <w:rPr>
          <w:rFonts w:ascii="Times New Roman" w:hAnsi="Times New Roman"/>
          <w:b/>
          <w:bCs/>
        </w:rPr>
        <w:t xml:space="preserve">K bodu </w:t>
      </w:r>
      <w:r w:rsidR="00C075A7">
        <w:rPr>
          <w:rFonts w:ascii="Times New Roman" w:hAnsi="Times New Roman"/>
          <w:b/>
          <w:bCs/>
        </w:rPr>
        <w:t>7</w:t>
      </w:r>
    </w:p>
    <w:p w:rsidR="0060705D" w:rsidRPr="00A251B6" w:rsidP="0060705D">
      <w:pPr>
        <w:jc w:val="both"/>
        <w:rPr>
          <w:rFonts w:ascii="Times New Roman" w:hAnsi="Times New Roman"/>
        </w:rPr>
      </w:pPr>
      <w:r w:rsidRPr="00A251B6">
        <w:rPr>
          <w:rFonts w:ascii="Times New Roman" w:hAnsi="Times New Roman"/>
        </w:rPr>
        <w:t>Navrhuje sa doplnenie parametrov kategorizácie o možnosť podmienenia úhrady liečiva predchádzajúcim súhlasom zdravotnej poisťovne. Takéto obmedzenie umožňuje kategorizačnej komisii používať jeden z regulačných nástrojov liekovej politiky.</w:t>
      </w:r>
    </w:p>
    <w:p w:rsidR="009F0FB9" w:rsidRPr="00A251B6" w:rsidP="00E02C6B">
      <w:pPr>
        <w:jc w:val="both"/>
        <w:rPr>
          <w:rFonts w:ascii="Times New Roman" w:hAnsi="Times New Roman"/>
        </w:rPr>
      </w:pPr>
    </w:p>
    <w:p w:rsidR="00ED4725" w:rsidP="009F0FB9">
      <w:pPr>
        <w:jc w:val="both"/>
        <w:rPr>
          <w:rFonts w:ascii="Times New Roman" w:hAnsi="Times New Roman"/>
          <w:b/>
          <w:bCs/>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00C45BB3">
        <w:rPr>
          <w:rFonts w:ascii="Times New Roman" w:hAnsi="Times New Roman"/>
          <w:b/>
          <w:bCs/>
        </w:rPr>
        <w:t>8</w:t>
      </w:r>
    </w:p>
    <w:p w:rsidR="009F0FB9" w:rsidRPr="00A251B6" w:rsidP="009F0FB9">
      <w:pPr>
        <w:jc w:val="both"/>
        <w:rPr>
          <w:rFonts w:ascii="Times New Roman" w:hAnsi="Times New Roman"/>
        </w:rPr>
      </w:pPr>
      <w:r w:rsidRPr="00A251B6">
        <w:rPr>
          <w:rFonts w:ascii="Times New Roman" w:hAnsi="Times New Roman"/>
        </w:rPr>
        <w:t xml:space="preserve">Vypúšťa sa ustanovenie o určovaní </w:t>
        <w:tab/>
        <w:t>maximálnej výšky úhrady zdravotnej poisťovne za štandardnú dávku liečiva pri liekoch z anatomicko-terapeuticko-chemických skupín liečiv, ktoré nie sú uvedené v prílohe č. 4. Ide o komplikovaný výpočet, ktorý sa v praxi ťažko realizuje.</w:t>
      </w:r>
      <w:r w:rsidR="00A12B7A">
        <w:rPr>
          <w:rFonts w:ascii="Times New Roman" w:hAnsi="Times New Roman"/>
        </w:rPr>
        <w:t xml:space="preserve"> Ustanovuje sa, že sa do zoznamu liekov zaradí liek, ktorý obsahuje liečivo, ktoré nie je zaradené v zozname liekov.</w:t>
      </w:r>
    </w:p>
    <w:p w:rsidR="009F0FB9" w:rsidRPr="00A251B6" w:rsidP="009F0FB9">
      <w:pPr>
        <w:jc w:val="both"/>
        <w:rPr>
          <w:rFonts w:ascii="Times New Roman" w:hAnsi="Times New Roman"/>
        </w:rPr>
      </w:pPr>
    </w:p>
    <w:p w:rsidR="0060705D" w:rsidRPr="00A251B6" w:rsidP="0060705D">
      <w:pPr>
        <w:jc w:val="both"/>
        <w:rPr>
          <w:rFonts w:ascii="Times New Roman" w:hAnsi="Times New Roman"/>
          <w:b/>
          <w:bCs/>
        </w:rPr>
      </w:pPr>
      <w:r w:rsidRPr="00A251B6">
        <w:rPr>
          <w:rFonts w:ascii="Times New Roman" w:hAnsi="Times New Roman"/>
          <w:b/>
          <w:bCs/>
        </w:rPr>
        <w:t xml:space="preserve">K bodu </w:t>
      </w:r>
      <w:r w:rsidR="00E277A9">
        <w:rPr>
          <w:rFonts w:ascii="Times New Roman" w:hAnsi="Times New Roman"/>
          <w:b/>
          <w:bCs/>
        </w:rPr>
        <w:t>9</w:t>
      </w:r>
    </w:p>
    <w:p w:rsidR="009F0FB9" w:rsidRPr="00A251B6" w:rsidP="009F0FB9">
      <w:pPr>
        <w:jc w:val="both"/>
        <w:rPr>
          <w:rFonts w:ascii="Times New Roman" w:hAnsi="Times New Roman"/>
        </w:rPr>
      </w:pPr>
      <w:r w:rsidRPr="00A251B6">
        <w:rPr>
          <w:rFonts w:ascii="Times New Roman" w:hAnsi="Times New Roman"/>
        </w:rPr>
        <w:t>Dopĺňa sa požiadavka v žiadosti o zaradenie liečiva a lieku do zoznamu liekov uvádzať aj číselný kód lieku podľa Spoločného colného sadzobníka a dopĺňa sa poznámka pod čiarou k odkazu 17a.</w:t>
      </w:r>
      <w:r w:rsidRPr="00A251B6" w:rsidR="0060705D">
        <w:rPr>
          <w:rFonts w:ascii="Times New Roman" w:hAnsi="Times New Roman"/>
        </w:rPr>
        <w:t xml:space="preserve"> Dôvodom pre túto úpravu je </w:t>
      </w:r>
      <w:r w:rsidRPr="00A251B6" w:rsidR="00AC6838">
        <w:rPr>
          <w:rFonts w:ascii="Times New Roman" w:hAnsi="Times New Roman"/>
        </w:rPr>
        <w:t>potreba jasného vymedzenia tých tovarov, na ktoré sa podľa zákona č. 222/2004 Z.</w:t>
      </w:r>
      <w:r w:rsidRPr="00A251B6" w:rsidR="00636531">
        <w:rPr>
          <w:rFonts w:ascii="Times New Roman" w:hAnsi="Times New Roman"/>
        </w:rPr>
        <w:t xml:space="preserve"> </w:t>
      </w:r>
      <w:r w:rsidRPr="00A251B6" w:rsidR="00AC6838">
        <w:rPr>
          <w:rFonts w:ascii="Times New Roman" w:hAnsi="Times New Roman"/>
        </w:rPr>
        <w:t>z. o dani z pridanej hodnoty v znení neskorších predpisov uplatňuje znížená sadzba DPH. Keďže tieto tovary sú v prílohe 7 uvedeného zákona definované prostredníctvom číselného kódu Spoločného colného sadzobníka, je informácia o číselnom kóde potrebná pre správne rozhodnutie ministerstva pri úradnom určení ceny.</w:t>
      </w:r>
    </w:p>
    <w:p w:rsidR="009F0FB9"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009C00F5">
        <w:rPr>
          <w:rFonts w:ascii="Times New Roman" w:hAnsi="Times New Roman"/>
          <w:b/>
          <w:bCs/>
        </w:rPr>
        <w:t>10</w:t>
      </w:r>
    </w:p>
    <w:p w:rsidR="009F0FB9" w:rsidRPr="00A251B6" w:rsidP="009F0FB9">
      <w:pPr>
        <w:jc w:val="both"/>
        <w:rPr>
          <w:rFonts w:ascii="Times New Roman" w:hAnsi="Times New Roman"/>
        </w:rPr>
      </w:pPr>
      <w:r w:rsidRPr="00A251B6">
        <w:rPr>
          <w:rFonts w:ascii="Times New Roman" w:hAnsi="Times New Roman"/>
        </w:rPr>
        <w:t xml:space="preserve">V žiadosti o zaradenie liečiva a lieku do zoznamu liekov sa spresňuje požiadavka na uvedenie </w:t>
      </w:r>
      <w:r w:rsidRPr="00A251B6" w:rsidR="0043526A">
        <w:rPr>
          <w:rFonts w:ascii="Times New Roman" w:hAnsi="Times New Roman"/>
        </w:rPr>
        <w:t>údajov o cene</w:t>
      </w:r>
      <w:r w:rsidRPr="00A251B6">
        <w:rPr>
          <w:rFonts w:ascii="Times New Roman" w:hAnsi="Times New Roman"/>
        </w:rPr>
        <w:t xml:space="preserve"> lieku od výrobcu v štáte, v ktorom má sídlo držiteľ rozhodnutia o registrácii lieku</w:t>
      </w:r>
      <w:r w:rsidRPr="00A251B6" w:rsidR="0043526A">
        <w:rPr>
          <w:rFonts w:ascii="Times New Roman" w:hAnsi="Times New Roman"/>
        </w:rPr>
        <w:t xml:space="preserve"> a vo všetkých členských štátoch EÚ, v ktorý je liek registrovaný</w:t>
      </w:r>
      <w:r w:rsidRPr="00A251B6">
        <w:rPr>
          <w:rFonts w:ascii="Times New Roman" w:hAnsi="Times New Roman"/>
        </w:rPr>
        <w:t>.</w:t>
      </w:r>
      <w:r w:rsidRPr="00A251B6" w:rsidR="00AC6838">
        <w:rPr>
          <w:rFonts w:ascii="Times New Roman" w:hAnsi="Times New Roman"/>
        </w:rPr>
        <w:t xml:space="preserve"> Návrh zákona umožňuje v § 16 ods. 5 písm. d) a § 17 ods. 4 písm. d) vyradiť z úhradového systému taký liek, ktorého cena prevyšuje aritmetický priemer troch najnižších cien spomedzi cien v referenčných krajinách. Ak je motiváciou výrobcu byť súčasťou úhradového systému,</w:t>
      </w:r>
      <w:r w:rsidRPr="00A251B6" w:rsidR="00636531">
        <w:rPr>
          <w:rFonts w:ascii="Times New Roman" w:hAnsi="Times New Roman"/>
        </w:rPr>
        <w:t xml:space="preserve"> ustanovenie povedie k efektívnejšiemu tlmeniu rastu cien liekov.</w:t>
      </w:r>
      <w:r w:rsidRPr="00A251B6" w:rsidR="00AC6838">
        <w:rPr>
          <w:rFonts w:ascii="Times New Roman" w:hAnsi="Times New Roman"/>
        </w:rPr>
        <w:t xml:space="preserve"> Väčší počet referenčných krajín umožní väčšie cenové porovnávanie a predstavuje tak potenciál na lepšiu kontrolu solidárnych výdavkov na lieky. </w:t>
      </w:r>
    </w:p>
    <w:p w:rsidR="009F0FB9" w:rsidRPr="00A251B6" w:rsidP="009F0FB9">
      <w:pPr>
        <w:jc w:val="both"/>
        <w:rPr>
          <w:rFonts w:ascii="Times New Roman" w:hAnsi="Times New Roman"/>
        </w:rPr>
      </w:pPr>
    </w:p>
    <w:p w:rsidR="00FA318A" w:rsidP="009F0FB9">
      <w:pPr>
        <w:jc w:val="both"/>
        <w:rPr>
          <w:rFonts w:ascii="Times New Roman" w:hAnsi="Times New Roman"/>
          <w:b/>
          <w:bCs/>
        </w:rPr>
      </w:pPr>
      <w:r w:rsidRPr="00A251B6" w:rsidR="009F0FB9">
        <w:rPr>
          <w:rFonts w:ascii="Times New Roman" w:hAnsi="Times New Roman"/>
          <w:b/>
          <w:bCs/>
        </w:rPr>
        <w:t xml:space="preserve">K bodu </w:t>
      </w:r>
      <w:r>
        <w:rPr>
          <w:rFonts w:ascii="Times New Roman" w:hAnsi="Times New Roman"/>
          <w:b/>
          <w:bCs/>
        </w:rPr>
        <w:t>11</w:t>
      </w:r>
    </w:p>
    <w:p w:rsidR="009F0FB9" w:rsidP="009F0FB9">
      <w:pPr>
        <w:jc w:val="both"/>
        <w:rPr>
          <w:rFonts w:ascii="Times New Roman" w:hAnsi="Times New Roman"/>
        </w:rPr>
      </w:pPr>
      <w:r w:rsidRPr="00A251B6">
        <w:rPr>
          <w:rFonts w:ascii="Times New Roman" w:hAnsi="Times New Roman"/>
        </w:rPr>
        <w:t>Upresňuje sa, že správny poplatok za podanie žiadosti o zaradenie liečiva a lieku do zoznamu liekov sa zaplatí formou kolkovej známky.</w:t>
      </w:r>
    </w:p>
    <w:p w:rsidR="00984A7E" w:rsidRPr="00A251B6" w:rsidP="009F0FB9">
      <w:pPr>
        <w:jc w:val="both"/>
        <w:rPr>
          <w:rFonts w:ascii="Times New Roman" w:hAnsi="Times New Roman"/>
        </w:rPr>
      </w:pPr>
    </w:p>
    <w:p w:rsidR="009F0FB9"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00AD2ECB">
        <w:rPr>
          <w:rFonts w:ascii="Times New Roman" w:hAnsi="Times New Roman"/>
          <w:b/>
          <w:bCs/>
        </w:rPr>
        <w:t>1</w:t>
      </w:r>
      <w:r w:rsidR="00FA318A">
        <w:rPr>
          <w:rFonts w:ascii="Times New Roman" w:hAnsi="Times New Roman"/>
          <w:b/>
          <w:bCs/>
        </w:rPr>
        <w:t>2</w:t>
      </w:r>
    </w:p>
    <w:p w:rsidR="007932E7" w:rsidRPr="00A251B6" w:rsidP="009F0FB9">
      <w:pPr>
        <w:jc w:val="both"/>
        <w:rPr>
          <w:rFonts w:ascii="Times New Roman" w:hAnsi="Times New Roman"/>
          <w:bCs/>
        </w:rPr>
      </w:pPr>
      <w:r w:rsidRPr="00A251B6">
        <w:rPr>
          <w:rFonts w:ascii="Times New Roman" w:hAnsi="Times New Roman"/>
          <w:bCs/>
        </w:rPr>
        <w:t>V nadväznosti na novelu zákona č. 140/1998 Z. z. o liekoch a zdravotníckych pomôckach zákonom č. 270/2007 Z. z. sa umožňuje generickým výrobcom podať žiadosť o kategorizáciu lieku aj v prípade, že rozhodnutie o registrácii generi</w:t>
      </w:r>
      <w:r w:rsidRPr="00A251B6" w:rsidR="0075760A">
        <w:rPr>
          <w:rFonts w:ascii="Times New Roman" w:hAnsi="Times New Roman"/>
          <w:bCs/>
        </w:rPr>
        <w:t>c</w:t>
      </w:r>
      <w:r w:rsidRPr="00A251B6">
        <w:rPr>
          <w:rFonts w:ascii="Times New Roman" w:hAnsi="Times New Roman"/>
          <w:bCs/>
        </w:rPr>
        <w:t>kého lieku ešte nenadobudlo právoplatnosť, pretože originálny liek je v pla</w:t>
      </w:r>
      <w:r w:rsidRPr="00A251B6" w:rsidR="0075760A">
        <w:rPr>
          <w:rFonts w:ascii="Times New Roman" w:hAnsi="Times New Roman"/>
          <w:bCs/>
        </w:rPr>
        <w:t>t</w:t>
      </w:r>
      <w:r w:rsidRPr="00A251B6">
        <w:rPr>
          <w:rFonts w:ascii="Times New Roman" w:hAnsi="Times New Roman"/>
          <w:bCs/>
        </w:rPr>
        <w:t>nej patentovej ochrane.</w:t>
      </w:r>
    </w:p>
    <w:p w:rsidR="0075760A" w:rsidRPr="00A251B6" w:rsidP="009F0FB9">
      <w:pPr>
        <w:jc w:val="both"/>
        <w:rPr>
          <w:rFonts w:ascii="Times New Roman" w:hAnsi="Times New Roman"/>
          <w:b/>
          <w:bCs/>
        </w:rPr>
      </w:pPr>
    </w:p>
    <w:p w:rsidR="009F0FB9" w:rsidRPr="00A251B6" w:rsidP="009F0FB9">
      <w:pPr>
        <w:jc w:val="both"/>
        <w:rPr>
          <w:rFonts w:ascii="Times New Roman" w:hAnsi="Times New Roman"/>
          <w:b/>
          <w:bCs/>
        </w:rPr>
      </w:pPr>
      <w:r w:rsidRPr="00A251B6">
        <w:rPr>
          <w:rFonts w:ascii="Times New Roman" w:hAnsi="Times New Roman"/>
          <w:b/>
          <w:bCs/>
        </w:rPr>
        <w:t>K bodu 1</w:t>
      </w:r>
      <w:r w:rsidR="00FA318A">
        <w:rPr>
          <w:rFonts w:ascii="Times New Roman" w:hAnsi="Times New Roman"/>
          <w:b/>
          <w:bCs/>
        </w:rPr>
        <w:t>3</w:t>
      </w:r>
    </w:p>
    <w:p w:rsidR="00636531" w:rsidRPr="00A251B6" w:rsidP="009F0FB9">
      <w:pPr>
        <w:jc w:val="both"/>
        <w:rPr>
          <w:rFonts w:ascii="Times New Roman" w:hAnsi="Times New Roman"/>
        </w:rPr>
      </w:pPr>
      <w:r w:rsidRPr="00A251B6" w:rsidR="009F0FB9">
        <w:rPr>
          <w:rFonts w:ascii="Times New Roman" w:hAnsi="Times New Roman"/>
        </w:rPr>
        <w:t xml:space="preserve">Navrhuje sa nové znenie § 15. </w:t>
      </w:r>
      <w:r w:rsidRPr="00A251B6">
        <w:rPr>
          <w:rFonts w:ascii="Times New Roman" w:hAnsi="Times New Roman"/>
        </w:rPr>
        <w:t>Podrobnejšie sa špecifikujú náležitosti žiadosti o zmenu úradne určenej ceny lieku. Požiadavka na predloženie analýzy dopadov na systém verejného zdravotného poistenia umožní ministerstvu zdravotníctva skvalitniť rozhodovanie o efektívnom použití solidárnych zdrojov.</w:t>
      </w:r>
    </w:p>
    <w:p w:rsidR="00636531" w:rsidRPr="00A251B6" w:rsidP="009F0FB9">
      <w:pPr>
        <w:jc w:val="both"/>
        <w:rPr>
          <w:rFonts w:ascii="Times New Roman" w:hAnsi="Times New Roman"/>
        </w:rPr>
      </w:pPr>
    </w:p>
    <w:p w:rsidR="00BE6928" w:rsidRPr="00A251B6" w:rsidP="009F0FB9">
      <w:pPr>
        <w:jc w:val="both"/>
        <w:rPr>
          <w:rFonts w:ascii="Times New Roman" w:hAnsi="Times New Roman"/>
        </w:rPr>
      </w:pPr>
      <w:r w:rsidRPr="00A251B6" w:rsidR="00636531">
        <w:rPr>
          <w:rFonts w:ascii="Times New Roman" w:hAnsi="Times New Roman"/>
        </w:rPr>
        <w:t xml:space="preserve">Znenie </w:t>
      </w:r>
      <w:r w:rsidRPr="00A251B6" w:rsidR="009F0FB9">
        <w:rPr>
          <w:rFonts w:ascii="Times New Roman" w:hAnsi="Times New Roman"/>
        </w:rPr>
        <w:t>§ 16</w:t>
      </w:r>
      <w:r w:rsidRPr="00A251B6" w:rsidR="00636531">
        <w:rPr>
          <w:rFonts w:ascii="Times New Roman" w:hAnsi="Times New Roman"/>
        </w:rPr>
        <w:t xml:space="preserve"> sa dopĺňa o lehotu, o ktorú sa predlžuje lehota na rozhodnutie v prípade, ak  žiadateľ o zaradenie lieku nedodal žiadosť so všetkými zákonom predpísanými náležitosťami. Lehota podľa správneho p</w:t>
      </w:r>
      <w:r w:rsidRPr="00A251B6">
        <w:rPr>
          <w:rFonts w:ascii="Times New Roman" w:hAnsi="Times New Roman"/>
        </w:rPr>
        <w:t xml:space="preserve">oriadku, ktorým sa tento proces spravuje, je pre proces kategorizácie nevhodná (kvôli presnej frekvencii publikovania zoznamu liekov a synchronizácie nadväzujúcich procesov, čo sú nevyhnutné predpoklady dodržiavania </w:t>
      </w:r>
      <w:r w:rsidRPr="00A251B6">
        <w:rPr>
          <w:rFonts w:ascii="Times New Roman" w:hAnsi="Times New Roman"/>
          <w:iCs/>
        </w:rPr>
        <w:t>s</w:t>
      </w:r>
      <w:r w:rsidRPr="00A251B6">
        <w:rPr>
          <w:rFonts w:ascii="Times New Roman" w:hAnsi="Times New Roman"/>
        </w:rPr>
        <w:t>mernice Rady 89/105/EHS) a je preto upravená odlišne (180 dní) (viď tiež ustanovenie § 39).</w:t>
      </w:r>
    </w:p>
    <w:p w:rsidR="00BE6928" w:rsidRPr="00A251B6" w:rsidP="009F0FB9">
      <w:pPr>
        <w:jc w:val="both"/>
        <w:rPr>
          <w:rFonts w:ascii="Times New Roman" w:hAnsi="Times New Roman"/>
        </w:rPr>
      </w:pPr>
    </w:p>
    <w:p w:rsidR="00965C39" w:rsidRPr="00A251B6" w:rsidP="009F0FB9">
      <w:pPr>
        <w:jc w:val="both"/>
        <w:rPr>
          <w:rFonts w:ascii="Times New Roman" w:hAnsi="Times New Roman"/>
        </w:rPr>
      </w:pPr>
      <w:r w:rsidRPr="00A251B6" w:rsidR="00BE6928">
        <w:rPr>
          <w:rFonts w:ascii="Times New Roman" w:hAnsi="Times New Roman"/>
        </w:rPr>
        <w:t xml:space="preserve">V odseku 5 sa rozširujú sa dôvody, pre ktoré môže ministerstvo zamietnuť žiadosť o zaradenie lieku do zoznamu liekov. Ak výrobca alebo žiadateľ nepredložia ceny z troch referenčných krajín, nie je možné dostatočne dobre porovnať, či na Slovensku navrhnutá suma je primeraná cenám v zahraničí alebo nie. </w:t>
      </w:r>
      <w:r w:rsidRPr="00A251B6">
        <w:rPr>
          <w:rFonts w:ascii="Times New Roman" w:hAnsi="Times New Roman"/>
        </w:rPr>
        <w:t xml:space="preserve">V prípade, že </w:t>
      </w:r>
      <w:r w:rsidRPr="00A251B6" w:rsidR="00BE6928">
        <w:rPr>
          <w:rFonts w:ascii="Times New Roman" w:hAnsi="Times New Roman"/>
        </w:rPr>
        <w:t xml:space="preserve">sa liek predáva v menej než troch referenčných krajinách, je otázne, či práve Slovensko má patriť medzi krajiny, ktoré ho vpúšťajú priamo do úhradového systému. </w:t>
      </w:r>
      <w:r w:rsidRPr="00A251B6">
        <w:rPr>
          <w:rFonts w:ascii="Times New Roman" w:hAnsi="Times New Roman"/>
        </w:rPr>
        <w:t>A</w:t>
      </w:r>
      <w:r w:rsidRPr="00A251B6" w:rsidR="00BE6928">
        <w:rPr>
          <w:rFonts w:ascii="Times New Roman" w:hAnsi="Times New Roman"/>
        </w:rPr>
        <w:t xml:space="preserve">k navrhnutá cena prevyšuje cenu v iných referenčných krajinách, </w:t>
      </w:r>
      <w:r w:rsidRPr="00A251B6">
        <w:rPr>
          <w:rFonts w:ascii="Times New Roman" w:hAnsi="Times New Roman"/>
        </w:rPr>
        <w:t xml:space="preserve">týmto ustanovením má ministerstvo zdravotníctva efektívny regulačný nástroj na zníženie ceny. Ďalším dôvodom je nevyhovujúca analýza nákladovej efektívnosti, ktorej zmyslom je optimalizovať použitie solidárnych zdrojov. Do zoznamu dôvodov na zamietnutie žiadosti sa dopĺňa aj formálny dôvod (žiadosť nespĺňa náležitosti). </w:t>
      </w:r>
    </w:p>
    <w:p w:rsidR="00965C39" w:rsidRPr="00A251B6" w:rsidP="009F0FB9">
      <w:pPr>
        <w:jc w:val="both"/>
        <w:rPr>
          <w:rFonts w:ascii="Times New Roman" w:hAnsi="Times New Roman"/>
        </w:rPr>
      </w:pPr>
    </w:p>
    <w:p w:rsidR="00965C39" w:rsidRPr="00A251B6" w:rsidP="00965C39">
      <w:pPr>
        <w:jc w:val="both"/>
        <w:rPr>
          <w:rFonts w:ascii="Times New Roman" w:hAnsi="Times New Roman"/>
        </w:rPr>
      </w:pPr>
      <w:r w:rsidRPr="00A251B6">
        <w:rPr>
          <w:rFonts w:ascii="Times New Roman" w:hAnsi="Times New Roman"/>
        </w:rPr>
        <w:t>Ustanovenie odseku 6 upresňuje rozhodovací proces na ministerstve v prípade konania o zaradení lieku. Zvyšuje sa právna istota žiadateľov najmä v prípade liekov obsahujúcich dosiaľ nezaradené liečivo: ministerstvo nemôže ich žiadosť zamietnuť z dôvodu nesplnenia ustanovenia § 16 ods. 4 bez toho, aby o dosiaľ nezaradenom liečive rokovala kategorizačná komisia. Takéto zvýšenie právnej istoty žiadateľov zlepšuje transponovanie smernice Rady 89/105/EHS do nášho právneho poriadku.</w:t>
      </w:r>
    </w:p>
    <w:p w:rsidR="00965C39" w:rsidRPr="00A251B6" w:rsidP="009F0FB9">
      <w:pPr>
        <w:jc w:val="both"/>
        <w:rPr>
          <w:rFonts w:ascii="Times New Roman" w:hAnsi="Times New Roman"/>
        </w:rPr>
      </w:pPr>
    </w:p>
    <w:p w:rsidR="00CC6AE2" w:rsidRPr="00A251B6" w:rsidP="009F0FB9">
      <w:pPr>
        <w:jc w:val="both"/>
        <w:rPr>
          <w:rFonts w:ascii="Times New Roman" w:hAnsi="Times New Roman"/>
        </w:rPr>
      </w:pPr>
      <w:r w:rsidRPr="00A251B6">
        <w:rPr>
          <w:rFonts w:ascii="Times New Roman" w:hAnsi="Times New Roman"/>
        </w:rPr>
        <w:t xml:space="preserve">V </w:t>
      </w:r>
      <w:r w:rsidRPr="00A251B6" w:rsidR="009F0FB9">
        <w:rPr>
          <w:rFonts w:ascii="Times New Roman" w:hAnsi="Times New Roman"/>
        </w:rPr>
        <w:t>§ 17</w:t>
      </w:r>
      <w:r w:rsidRPr="00A251B6">
        <w:rPr>
          <w:rFonts w:ascii="Times New Roman" w:hAnsi="Times New Roman"/>
        </w:rPr>
        <w:t xml:space="preserve"> ods. 4 sa navrhuje rozšírenie dôvodov, pre ktoré je možné vyradiť liek zo zoznamu liekov o situácie, keď liek nie je dodávaný na trh pravidelne resp. plynule. Okrem možnej cenovej deformácie, ktorú to môže spôsobovať je uvedenie takéhoto lieku v zozname liekov uhrádzaných na základe verejného zdravotného poistenia zavádzajúci, keďže de facto liek dostupný nemusí byť. Ďalšie ustanovenie umožňuje vyradiť lieky aj z vlastného podnetu ministerstva, ak ich cena prekročí aritmetický priemer troch najnižších cien v referenčných krajinách. Nie je dôvod používať solidárne zdroje na úhradu vyšších cien liekov, než platia v iných krajinách. Maximálna cena môže prekročiť aj bez podania žiadosti, čo by malo motivovať výrobcu k zníženiu ceny. Ďalšie dôvody sú analogické ku zneniu § 16 ods. 5. </w:t>
      </w:r>
    </w:p>
    <w:p w:rsidR="00CC6AE2" w:rsidRPr="00A251B6" w:rsidP="009F0FB9">
      <w:pPr>
        <w:jc w:val="both"/>
        <w:rPr>
          <w:rFonts w:ascii="Times New Roman" w:hAnsi="Times New Roman"/>
        </w:rPr>
      </w:pPr>
    </w:p>
    <w:p w:rsidR="009F0FB9" w:rsidRPr="00A251B6" w:rsidP="009F0FB9">
      <w:pPr>
        <w:jc w:val="both"/>
        <w:rPr>
          <w:rFonts w:ascii="Times New Roman" w:hAnsi="Times New Roman"/>
        </w:rPr>
      </w:pPr>
      <w:r w:rsidRPr="00A251B6" w:rsidR="00CC6AE2">
        <w:rPr>
          <w:rFonts w:ascii="Times New Roman" w:hAnsi="Times New Roman"/>
        </w:rPr>
        <w:t xml:space="preserve">V </w:t>
      </w:r>
      <w:r w:rsidRPr="00A251B6">
        <w:rPr>
          <w:rFonts w:ascii="Times New Roman" w:hAnsi="Times New Roman"/>
        </w:rPr>
        <w:t>§ 18</w:t>
      </w:r>
      <w:r w:rsidRPr="00A251B6" w:rsidR="00CC6AE2">
        <w:rPr>
          <w:rFonts w:ascii="Times New Roman" w:hAnsi="Times New Roman"/>
        </w:rPr>
        <w:t xml:space="preserve"> sa odlišne oproti Správnemu poriadku upravuje lehota na rozhodnutie po podaní neúplnej žiadosti (porovnaj navrhované ustanovenie § 16 ods. 2 písm. a), a to z dôvodu prispôsobenia frekvencii vydávania zoznamu liekov. Ustanovením odseku 4 sa upravuje </w:t>
      </w:r>
      <w:r w:rsidRPr="00A251B6" w:rsidR="00DF296E">
        <w:rPr>
          <w:rFonts w:ascii="Times New Roman" w:hAnsi="Times New Roman"/>
        </w:rPr>
        <w:t xml:space="preserve">vydanie </w:t>
      </w:r>
      <w:r w:rsidRPr="00A251B6" w:rsidR="00CC6AE2">
        <w:rPr>
          <w:rFonts w:ascii="Times New Roman" w:hAnsi="Times New Roman"/>
        </w:rPr>
        <w:t>r</w:t>
      </w:r>
      <w:r w:rsidRPr="00A251B6" w:rsidR="00DF296E">
        <w:rPr>
          <w:rFonts w:ascii="Times New Roman" w:hAnsi="Times New Roman"/>
        </w:rPr>
        <w:t>ozhodnutia</w:t>
      </w:r>
      <w:r w:rsidRPr="00A251B6" w:rsidR="00CC6AE2">
        <w:rPr>
          <w:rFonts w:ascii="Times New Roman" w:hAnsi="Times New Roman"/>
        </w:rPr>
        <w:t xml:space="preserve"> o zmene </w:t>
      </w:r>
      <w:r w:rsidRPr="00A251B6" w:rsidR="00DF296E">
        <w:rPr>
          <w:rFonts w:ascii="Times New Roman" w:hAnsi="Times New Roman"/>
        </w:rPr>
        <w:t>úradne určenej ceny, ktoré sa zverejňuje vo Vestníku ministerstva zdravotníctva. Tento postup je z hľadiska administratívnej záťaže efektívnejší a praktickejší.</w:t>
      </w:r>
    </w:p>
    <w:p w:rsidR="009F0FB9"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Pr="00A251B6" w:rsidR="00B42CA1">
        <w:rPr>
          <w:rFonts w:ascii="Times New Roman" w:hAnsi="Times New Roman"/>
          <w:b/>
          <w:bCs/>
        </w:rPr>
        <w:t>1</w:t>
      </w:r>
      <w:r w:rsidR="00DD3F39">
        <w:rPr>
          <w:rFonts w:ascii="Times New Roman" w:hAnsi="Times New Roman"/>
          <w:b/>
          <w:bCs/>
        </w:rPr>
        <w:t>4</w:t>
      </w:r>
    </w:p>
    <w:p w:rsidR="009F0FB9" w:rsidP="009F0FB9">
      <w:pPr>
        <w:jc w:val="both"/>
        <w:rPr>
          <w:rFonts w:ascii="Times New Roman" w:hAnsi="Times New Roman"/>
        </w:rPr>
      </w:pPr>
      <w:r w:rsidRPr="00A251B6">
        <w:rPr>
          <w:rFonts w:ascii="Times New Roman" w:hAnsi="Times New Roman"/>
        </w:rPr>
        <w:t>Ustanovuje sa rozsah údajov, ktoré má obsahovať zoznam liekov.</w:t>
      </w:r>
      <w:r w:rsidRPr="00A251B6" w:rsidR="00DF296E">
        <w:rPr>
          <w:rFonts w:ascii="Times New Roman" w:hAnsi="Times New Roman"/>
        </w:rPr>
        <w:t xml:space="preserve"> Väčšinu uvedených údajov dnes zoznam liekov obsahuje, hoci to platná legislatíva explicitne nestanovuje. Požadované údaje zvýšia prehľadnosť zoznamu liekov a zvýšia jeho efektívnu použiteľnosť.</w:t>
      </w:r>
    </w:p>
    <w:p w:rsidR="00E97A12" w:rsidP="009F0FB9">
      <w:pPr>
        <w:jc w:val="both"/>
        <w:rPr>
          <w:rFonts w:ascii="Times New Roman" w:hAnsi="Times New Roman"/>
        </w:rPr>
      </w:pPr>
    </w:p>
    <w:p w:rsidR="00E97A12" w:rsidRPr="00A251B6" w:rsidP="009F0FB9">
      <w:pPr>
        <w:jc w:val="both"/>
        <w:rPr>
          <w:rFonts w:ascii="Times New Roman" w:hAnsi="Times New Roman"/>
        </w:rPr>
      </w:pPr>
    </w:p>
    <w:p w:rsidR="009F0FB9"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Pr="00A251B6" w:rsidR="00DF296E">
        <w:rPr>
          <w:rFonts w:ascii="Times New Roman" w:hAnsi="Times New Roman"/>
          <w:b/>
          <w:bCs/>
        </w:rPr>
        <w:t>1</w:t>
      </w:r>
      <w:r w:rsidR="002C7F7E">
        <w:rPr>
          <w:rFonts w:ascii="Times New Roman" w:hAnsi="Times New Roman"/>
          <w:b/>
          <w:bCs/>
        </w:rPr>
        <w:t>5</w:t>
      </w:r>
    </w:p>
    <w:p w:rsidR="009F0FB9" w:rsidRPr="00A251B6" w:rsidP="009F0FB9">
      <w:pPr>
        <w:jc w:val="both"/>
        <w:rPr>
          <w:rFonts w:ascii="Times New Roman" w:hAnsi="Times New Roman"/>
        </w:rPr>
      </w:pPr>
      <w:r w:rsidRPr="00A251B6" w:rsidR="00DF296E">
        <w:rPr>
          <w:rFonts w:ascii="Times New Roman" w:hAnsi="Times New Roman"/>
        </w:rPr>
        <w:t>V</w:t>
      </w:r>
      <w:r w:rsidRPr="00A251B6">
        <w:rPr>
          <w:rFonts w:ascii="Times New Roman" w:hAnsi="Times New Roman"/>
        </w:rPr>
        <w:t xml:space="preserve"> § 20 </w:t>
      </w:r>
      <w:r w:rsidRPr="00A251B6" w:rsidR="00DF296E">
        <w:rPr>
          <w:rFonts w:ascii="Times New Roman" w:hAnsi="Times New Roman"/>
        </w:rPr>
        <w:t xml:space="preserve">sa dopĺňa rozsah kategorizácie aj o možnosť podmienenia úhrady zdravotníckej pomôcky predchádzajúcim súhlasom revízneho lekára zdravotnej poisťovne (dôvody sú rovnaké ako v analogickom ustanovení navrhovaného </w:t>
      </w:r>
      <w:r w:rsidRPr="00A251B6" w:rsidR="00FF75D6">
        <w:rPr>
          <w:rFonts w:ascii="Times New Roman" w:hAnsi="Times New Roman"/>
        </w:rPr>
        <w:t xml:space="preserve">bodu 4: </w:t>
      </w:r>
      <w:r w:rsidRPr="00A251B6" w:rsidR="00DF296E">
        <w:rPr>
          <w:rFonts w:ascii="Times New Roman" w:hAnsi="Times New Roman"/>
        </w:rPr>
        <w:t xml:space="preserve">§ </w:t>
      </w:r>
      <w:r w:rsidRPr="00A251B6" w:rsidR="00FF75D6">
        <w:rPr>
          <w:rFonts w:ascii="Times New Roman" w:hAnsi="Times New Roman"/>
        </w:rPr>
        <w:t>11 ods. 4 písm. c))</w:t>
      </w:r>
      <w:r w:rsidRPr="00A251B6">
        <w:rPr>
          <w:rFonts w:ascii="Times New Roman" w:hAnsi="Times New Roman"/>
        </w:rPr>
        <w:t xml:space="preserve">. </w:t>
      </w:r>
    </w:p>
    <w:p w:rsidR="009F0FB9"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Pr="00A251B6" w:rsidR="00B42CA1">
        <w:rPr>
          <w:rFonts w:ascii="Times New Roman" w:hAnsi="Times New Roman"/>
          <w:b/>
          <w:bCs/>
        </w:rPr>
        <w:t>1</w:t>
      </w:r>
      <w:r w:rsidR="001940A4">
        <w:rPr>
          <w:rFonts w:ascii="Times New Roman" w:hAnsi="Times New Roman"/>
          <w:b/>
          <w:bCs/>
        </w:rPr>
        <w:t>6</w:t>
      </w:r>
    </w:p>
    <w:p w:rsidR="009F0FB9" w:rsidRPr="00A251B6" w:rsidP="009F0FB9">
      <w:pPr>
        <w:jc w:val="both"/>
        <w:rPr>
          <w:rFonts w:ascii="Times New Roman" w:hAnsi="Times New Roman"/>
        </w:rPr>
      </w:pPr>
      <w:r w:rsidRPr="00A251B6" w:rsidR="00FF75D6">
        <w:rPr>
          <w:rFonts w:ascii="Times New Roman" w:hAnsi="Times New Roman"/>
        </w:rPr>
        <w:t>Č</w:t>
      </w:r>
      <w:r w:rsidRPr="00A251B6">
        <w:rPr>
          <w:rFonts w:ascii="Times New Roman" w:hAnsi="Times New Roman"/>
        </w:rPr>
        <w:t>íselný kód zdravotníckej pomôcky podľa Spoločného colného sadzobníka</w:t>
      </w:r>
      <w:r w:rsidRPr="00A251B6" w:rsidR="00FF75D6">
        <w:rPr>
          <w:rFonts w:ascii="Times New Roman" w:hAnsi="Times New Roman"/>
        </w:rPr>
        <w:t xml:space="preserve"> slúži na vymedzenie tých tovarov, na ktoré sú podľa zákona č. 222/2004 Z. z. o dani z pridanej hodnoty v znení neskorších predpisov uplatňuje znížená sadzba DPH. Ide o analogické ustanovenie k § 13 ods. 2 písm. b) návrhu zákona.</w:t>
      </w:r>
    </w:p>
    <w:p w:rsidR="009F0FB9" w:rsidRPr="00A251B6" w:rsidP="009F0FB9">
      <w:pPr>
        <w:jc w:val="both"/>
        <w:rPr>
          <w:rFonts w:ascii="Times New Roman" w:hAnsi="Times New Roman"/>
        </w:rPr>
      </w:pPr>
    </w:p>
    <w:p w:rsidR="00B42CA1" w:rsidRPr="00A251B6" w:rsidP="009F0FB9">
      <w:pPr>
        <w:jc w:val="both"/>
        <w:rPr>
          <w:rFonts w:ascii="Times New Roman" w:hAnsi="Times New Roman"/>
          <w:b/>
        </w:rPr>
      </w:pPr>
      <w:r w:rsidRPr="00A251B6">
        <w:rPr>
          <w:rFonts w:ascii="Times New Roman" w:hAnsi="Times New Roman"/>
          <w:b/>
        </w:rPr>
        <w:t xml:space="preserve">K bodu </w:t>
      </w:r>
      <w:r w:rsidRPr="00A251B6" w:rsidR="00FF75D6">
        <w:rPr>
          <w:rFonts w:ascii="Times New Roman" w:hAnsi="Times New Roman"/>
          <w:b/>
        </w:rPr>
        <w:t>1</w:t>
      </w:r>
      <w:r w:rsidR="00EC48FC">
        <w:rPr>
          <w:rFonts w:ascii="Times New Roman" w:hAnsi="Times New Roman"/>
          <w:b/>
        </w:rPr>
        <w:t>7</w:t>
      </w:r>
    </w:p>
    <w:p w:rsidR="00B42CA1" w:rsidRPr="00A251B6" w:rsidP="009F0FB9">
      <w:pPr>
        <w:jc w:val="both"/>
        <w:rPr>
          <w:rFonts w:ascii="Times New Roman" w:hAnsi="Times New Roman"/>
        </w:rPr>
      </w:pPr>
      <w:r w:rsidRPr="00A251B6" w:rsidR="00A732F7">
        <w:rPr>
          <w:rFonts w:ascii="Times New Roman" w:hAnsi="Times New Roman"/>
        </w:rPr>
        <w:t>Spresňuje sa požiadavka na návod na použitie zdravotníckej pomôcky</w:t>
      </w:r>
      <w:r w:rsidRPr="00A251B6" w:rsidR="00FF75D6">
        <w:rPr>
          <w:rFonts w:ascii="Times New Roman" w:hAnsi="Times New Roman"/>
        </w:rPr>
        <w:t xml:space="preserve"> uvedením predpisov o technických požiadavkách a posudzovania zhody zdravotníckych pomôcok v podobe novej poznámky pod čiarou</w:t>
      </w:r>
    </w:p>
    <w:p w:rsidR="00A732F7"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Pr="00A251B6" w:rsidR="00FF75D6">
        <w:rPr>
          <w:rFonts w:ascii="Times New Roman" w:hAnsi="Times New Roman"/>
          <w:b/>
          <w:bCs/>
        </w:rPr>
        <w:t>1</w:t>
      </w:r>
      <w:r w:rsidR="00F75E55">
        <w:rPr>
          <w:rFonts w:ascii="Times New Roman" w:hAnsi="Times New Roman"/>
          <w:b/>
          <w:bCs/>
        </w:rPr>
        <w:t>8</w:t>
      </w:r>
    </w:p>
    <w:p w:rsidR="009F0FB9" w:rsidRPr="00A251B6" w:rsidP="009F0FB9">
      <w:pPr>
        <w:jc w:val="both"/>
        <w:rPr>
          <w:rFonts w:ascii="Times New Roman" w:hAnsi="Times New Roman"/>
        </w:rPr>
      </w:pPr>
      <w:r w:rsidRPr="00A251B6">
        <w:rPr>
          <w:rFonts w:ascii="Times New Roman" w:hAnsi="Times New Roman"/>
        </w:rPr>
        <w:t>V žiadosti o zaradenie zdravotníckej pomôcky do zoznamu zdravotníckych pomôcok sa spresňuje požiadavka na uvedenie ceny zdravotníckej pomôcky od výrobcu v štáte, v ktorom má sídlo výrobca zdravotníckej pomôcky</w:t>
      </w:r>
      <w:r w:rsidRPr="00A251B6" w:rsidR="00A732F7">
        <w:rPr>
          <w:rFonts w:ascii="Times New Roman" w:hAnsi="Times New Roman"/>
        </w:rPr>
        <w:t xml:space="preserve"> a vo všetkých členských štátoch EÚ</w:t>
      </w:r>
      <w:r w:rsidRPr="00A251B6">
        <w:rPr>
          <w:rFonts w:ascii="Times New Roman" w:hAnsi="Times New Roman"/>
        </w:rPr>
        <w:t>.</w:t>
      </w:r>
      <w:r w:rsidRPr="00A251B6" w:rsidR="00FF75D6">
        <w:rPr>
          <w:rFonts w:ascii="Times New Roman" w:hAnsi="Times New Roman"/>
        </w:rPr>
        <w:t xml:space="preserve"> Dôvody sú analogické ako v prípade žiadosti o zaradenie liekov (viď § 13 ods. 2 písm. g).</w:t>
      </w:r>
    </w:p>
    <w:p w:rsidR="009F0FB9"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Pr="00A251B6" w:rsidR="00A732F7">
        <w:rPr>
          <w:rFonts w:ascii="Times New Roman" w:hAnsi="Times New Roman"/>
          <w:b/>
          <w:bCs/>
        </w:rPr>
        <w:t>1</w:t>
      </w:r>
      <w:r w:rsidR="00F75E55">
        <w:rPr>
          <w:rFonts w:ascii="Times New Roman" w:hAnsi="Times New Roman"/>
          <w:b/>
          <w:bCs/>
        </w:rPr>
        <w:t>9</w:t>
      </w:r>
    </w:p>
    <w:p w:rsidR="00E20AC7" w:rsidRPr="00A251B6" w:rsidP="009F0FB9">
      <w:pPr>
        <w:jc w:val="both"/>
        <w:rPr>
          <w:rFonts w:ascii="Times New Roman" w:hAnsi="Times New Roman"/>
        </w:rPr>
      </w:pPr>
      <w:r w:rsidRPr="00A251B6" w:rsidR="009F0FB9">
        <w:rPr>
          <w:rFonts w:ascii="Times New Roman" w:hAnsi="Times New Roman"/>
        </w:rPr>
        <w:t>V žiadosti o zaradenie zdravotníckej pomôcky do zoznamu zdravotníckych pomôcok sa vyžaduje nová požiadavka predložiť medicínsko-ekonomický rozbor zdravotníckej pomôcky.</w:t>
      </w:r>
      <w:r w:rsidRPr="00A251B6">
        <w:rPr>
          <w:rFonts w:ascii="Times New Roman" w:hAnsi="Times New Roman"/>
        </w:rPr>
        <w:t xml:space="preserve"> Health technology assessment prispieva k efektivnej alokácii solidárnych zdrojov. Viď analogické ustanovenie v prípade liekov (§ 13 ods. 2 písm. p).</w:t>
      </w:r>
    </w:p>
    <w:p w:rsidR="009F0FB9"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00B7228A">
        <w:rPr>
          <w:rFonts w:ascii="Times New Roman" w:hAnsi="Times New Roman"/>
          <w:b/>
          <w:bCs/>
        </w:rPr>
        <w:t>20</w:t>
      </w:r>
    </w:p>
    <w:p w:rsidR="009F0FB9" w:rsidRPr="00A251B6" w:rsidP="009F0FB9">
      <w:pPr>
        <w:jc w:val="both"/>
        <w:rPr>
          <w:rFonts w:ascii="Times New Roman" w:hAnsi="Times New Roman"/>
        </w:rPr>
      </w:pPr>
      <w:r w:rsidRPr="00A251B6">
        <w:rPr>
          <w:rFonts w:ascii="Times New Roman" w:hAnsi="Times New Roman"/>
        </w:rPr>
        <w:t>V žiadosti o zaradenie zdravotníckej pomôcky do zoznamu zdravotníckych pomôcok sa spresňuj</w:t>
      </w:r>
      <w:r w:rsidRPr="00A251B6" w:rsidR="00CE0808">
        <w:rPr>
          <w:rFonts w:ascii="Times New Roman" w:hAnsi="Times New Roman"/>
        </w:rPr>
        <w:t>ú</w:t>
      </w:r>
      <w:r w:rsidRPr="00A251B6">
        <w:rPr>
          <w:rFonts w:ascii="Times New Roman" w:hAnsi="Times New Roman"/>
        </w:rPr>
        <w:t xml:space="preserve"> požiadavk</w:t>
      </w:r>
      <w:r w:rsidRPr="00A251B6" w:rsidR="00CE0808">
        <w:rPr>
          <w:rFonts w:ascii="Times New Roman" w:hAnsi="Times New Roman"/>
        </w:rPr>
        <w:t>y</w:t>
      </w:r>
      <w:r w:rsidRPr="00A251B6">
        <w:rPr>
          <w:rFonts w:ascii="Times New Roman" w:hAnsi="Times New Roman"/>
        </w:rPr>
        <w:t xml:space="preserve"> na </w:t>
      </w:r>
      <w:r w:rsidRPr="00A251B6" w:rsidR="00CE0808">
        <w:rPr>
          <w:rFonts w:ascii="Times New Roman" w:hAnsi="Times New Roman"/>
        </w:rPr>
        <w:t>náležitosti žiadosti o zaradenie zdravotníckej pomôcky do úhradového systému na základe aplikačnej praxe. Okrem toho sa tieto požiadavky rozišrujú o správu zo skúšok alebo klinického skúšania a o vyhlásenie výrobcu, či výrobok obsahuje ftaláty. Toto ustanovenie ma za cieľ skvalitniť podkladové materiály, potrebné pre kvalifikované rozhodnutie o žiadosti.</w:t>
      </w:r>
    </w:p>
    <w:p w:rsidR="009F0FB9" w:rsidP="009F0FB9">
      <w:pPr>
        <w:jc w:val="both"/>
        <w:rPr>
          <w:rFonts w:ascii="Times New Roman" w:hAnsi="Times New Roman"/>
        </w:rPr>
      </w:pPr>
    </w:p>
    <w:p w:rsidR="00E72172"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007D2B5E">
        <w:rPr>
          <w:rFonts w:ascii="Times New Roman" w:hAnsi="Times New Roman"/>
          <w:b/>
          <w:bCs/>
        </w:rPr>
        <w:t>21</w:t>
      </w:r>
    </w:p>
    <w:p w:rsidR="009F0FB9" w:rsidRPr="00A251B6" w:rsidP="009F0FB9">
      <w:pPr>
        <w:jc w:val="both"/>
        <w:rPr>
          <w:rFonts w:ascii="Times New Roman" w:hAnsi="Times New Roman"/>
        </w:rPr>
      </w:pPr>
      <w:r w:rsidRPr="00A251B6">
        <w:rPr>
          <w:rFonts w:ascii="Times New Roman" w:hAnsi="Times New Roman"/>
        </w:rPr>
        <w:t>Dopĺňa sa ustanovenie o vydaní všeobecne záväzného právneho predpisu o medicínsko-ekonomickom rozbore zdravotníckej pomôcky</w:t>
      </w:r>
      <w:r w:rsidRPr="00A251B6" w:rsidR="00CE0808">
        <w:rPr>
          <w:rFonts w:ascii="Times New Roman" w:hAnsi="Times New Roman"/>
        </w:rPr>
        <w:t>, ktorý sa stal v § 22 ods. 2 písm. o) návrhu povinnnou náležitosťou žiadosti o zaradenie zdravotníckej pomôcky do zoznamu zdravotníckych pomôcok.</w:t>
      </w:r>
    </w:p>
    <w:p w:rsidR="009F0FB9" w:rsidRPr="00A251B6" w:rsidP="009F0FB9">
      <w:pPr>
        <w:jc w:val="both"/>
        <w:rPr>
          <w:rFonts w:ascii="Times New Roman" w:hAnsi="Times New Roman"/>
        </w:rPr>
      </w:pPr>
    </w:p>
    <w:p w:rsidR="00540FA2" w:rsidRPr="00A251B6" w:rsidP="009F0FB9">
      <w:pPr>
        <w:jc w:val="both"/>
        <w:rPr>
          <w:rFonts w:ascii="Times New Roman" w:hAnsi="Times New Roman"/>
          <w:b/>
        </w:rPr>
      </w:pPr>
      <w:r w:rsidRPr="00A251B6">
        <w:rPr>
          <w:rFonts w:ascii="Times New Roman" w:hAnsi="Times New Roman"/>
          <w:b/>
        </w:rPr>
        <w:t xml:space="preserve">K bodu </w:t>
      </w:r>
      <w:r w:rsidR="00AD2ECB">
        <w:rPr>
          <w:rFonts w:ascii="Times New Roman" w:hAnsi="Times New Roman"/>
          <w:b/>
        </w:rPr>
        <w:t>2</w:t>
      </w:r>
      <w:r w:rsidR="00192297">
        <w:rPr>
          <w:rFonts w:ascii="Times New Roman" w:hAnsi="Times New Roman"/>
          <w:b/>
        </w:rPr>
        <w:t>2</w:t>
      </w:r>
    </w:p>
    <w:p w:rsidR="00540FA2" w:rsidP="009F0FB9">
      <w:pPr>
        <w:jc w:val="both"/>
        <w:rPr>
          <w:rFonts w:ascii="Times New Roman" w:hAnsi="Times New Roman"/>
        </w:rPr>
      </w:pPr>
      <w:r w:rsidRPr="00A251B6">
        <w:rPr>
          <w:rFonts w:ascii="Times New Roman" w:hAnsi="Times New Roman"/>
        </w:rPr>
        <w:t>Spresňuje sa formulácia textu vyjadrujúceho pôvod kódu zdravotníckej pomôcky.</w:t>
      </w:r>
    </w:p>
    <w:p w:rsidR="00E72172" w:rsidRPr="00A251B6" w:rsidP="009F0FB9">
      <w:pPr>
        <w:jc w:val="both"/>
        <w:rPr>
          <w:rFonts w:ascii="Times New Roman" w:hAnsi="Times New Roman"/>
        </w:rPr>
      </w:pPr>
    </w:p>
    <w:p w:rsidR="00540FA2"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Pr="00A251B6" w:rsidR="00FE7AEA">
        <w:rPr>
          <w:rFonts w:ascii="Times New Roman" w:hAnsi="Times New Roman"/>
          <w:b/>
          <w:bCs/>
        </w:rPr>
        <w:t>2</w:t>
      </w:r>
      <w:r w:rsidR="00192297">
        <w:rPr>
          <w:rFonts w:ascii="Times New Roman" w:hAnsi="Times New Roman"/>
          <w:b/>
          <w:bCs/>
        </w:rPr>
        <w:t>3</w:t>
      </w:r>
    </w:p>
    <w:p w:rsidR="009F0FB9" w:rsidP="009F0FB9">
      <w:pPr>
        <w:jc w:val="both"/>
        <w:rPr>
          <w:rFonts w:ascii="Times New Roman" w:hAnsi="Times New Roman"/>
        </w:rPr>
      </w:pPr>
      <w:r w:rsidRPr="00A251B6">
        <w:rPr>
          <w:rFonts w:ascii="Times New Roman" w:hAnsi="Times New Roman"/>
        </w:rPr>
        <w:t>Navrhuje sa nové znenie § 24</w:t>
      </w:r>
      <w:r w:rsidRPr="00A251B6" w:rsidR="00FE7AEA">
        <w:rPr>
          <w:rFonts w:ascii="Times New Roman" w:hAnsi="Times New Roman"/>
        </w:rPr>
        <w:t xml:space="preserve"> ods. 2, ktorý upresňuje náležitosti žiadosti o zmenu úradne</w:t>
      </w:r>
      <w:r w:rsidRPr="00A251B6">
        <w:rPr>
          <w:rFonts w:ascii="Times New Roman" w:hAnsi="Times New Roman"/>
        </w:rPr>
        <w:t xml:space="preserve"> </w:t>
      </w:r>
      <w:r w:rsidRPr="00A251B6" w:rsidR="00FE7AEA">
        <w:rPr>
          <w:rFonts w:ascii="Times New Roman" w:hAnsi="Times New Roman"/>
        </w:rPr>
        <w:t>určenej ceny zdravotníckej pomôcky.</w:t>
      </w:r>
    </w:p>
    <w:p w:rsidR="00810712" w:rsidRPr="00A251B6" w:rsidP="009F0FB9">
      <w:pPr>
        <w:jc w:val="both"/>
        <w:rPr>
          <w:rFonts w:ascii="Times New Roman" w:hAnsi="Times New Roman"/>
        </w:rPr>
      </w:pPr>
    </w:p>
    <w:p w:rsidR="009F0FB9" w:rsidRPr="00A251B6" w:rsidP="009F0FB9">
      <w:pPr>
        <w:jc w:val="both"/>
        <w:rPr>
          <w:rFonts w:ascii="Times New Roman" w:hAnsi="Times New Roman"/>
        </w:rPr>
      </w:pPr>
    </w:p>
    <w:p w:rsidR="00D10851" w:rsidRPr="00A251B6" w:rsidP="009F0FB9">
      <w:pPr>
        <w:jc w:val="both"/>
        <w:rPr>
          <w:rFonts w:ascii="Times New Roman" w:hAnsi="Times New Roman"/>
          <w:b/>
        </w:rPr>
      </w:pPr>
      <w:r w:rsidRPr="00A251B6">
        <w:rPr>
          <w:rFonts w:ascii="Times New Roman" w:hAnsi="Times New Roman"/>
          <w:b/>
        </w:rPr>
        <w:t xml:space="preserve">K bodu </w:t>
      </w:r>
      <w:r w:rsidRPr="00A251B6" w:rsidR="00FE7AEA">
        <w:rPr>
          <w:rFonts w:ascii="Times New Roman" w:hAnsi="Times New Roman"/>
          <w:b/>
        </w:rPr>
        <w:t>2</w:t>
      </w:r>
      <w:r w:rsidR="007948E4">
        <w:rPr>
          <w:rFonts w:ascii="Times New Roman" w:hAnsi="Times New Roman"/>
          <w:b/>
        </w:rPr>
        <w:t>4</w:t>
      </w:r>
    </w:p>
    <w:p w:rsidR="00FF3CA3" w:rsidRPr="00A251B6" w:rsidP="009F0FB9">
      <w:pPr>
        <w:jc w:val="both"/>
        <w:rPr>
          <w:rFonts w:ascii="Times New Roman" w:hAnsi="Times New Roman"/>
        </w:rPr>
      </w:pPr>
      <w:r w:rsidRPr="00A251B6" w:rsidR="00655768">
        <w:rPr>
          <w:rFonts w:ascii="Times New Roman" w:hAnsi="Times New Roman"/>
        </w:rPr>
        <w:t>Ustanovujú</w:t>
      </w:r>
      <w:r w:rsidRPr="00A251B6" w:rsidR="00160F62">
        <w:rPr>
          <w:rFonts w:ascii="Times New Roman" w:hAnsi="Times New Roman"/>
        </w:rPr>
        <w:t xml:space="preserve"> sa lehoty na rozhodnutie o žiadosti o zaradenie zdravotníckej pomôcky do zoznamu zdravotníckych pomôcok</w:t>
      </w:r>
      <w:r w:rsidRPr="00A251B6">
        <w:rPr>
          <w:rFonts w:ascii="Times New Roman" w:hAnsi="Times New Roman"/>
        </w:rPr>
        <w:t xml:space="preserve"> a postup pri nepredložení požadovaných dokladov.</w:t>
      </w:r>
      <w:r w:rsidRPr="00A251B6" w:rsidR="00FE7AEA">
        <w:rPr>
          <w:rFonts w:ascii="Times New Roman" w:hAnsi="Times New Roman"/>
        </w:rPr>
        <w:t xml:space="preserve"> </w:t>
      </w:r>
    </w:p>
    <w:p w:rsidR="0098748C" w:rsidP="009F0FB9">
      <w:pPr>
        <w:jc w:val="both"/>
        <w:rPr>
          <w:rFonts w:ascii="Times New Roman" w:hAnsi="Times New Roman"/>
          <w:b/>
          <w:bCs/>
        </w:rPr>
      </w:pPr>
    </w:p>
    <w:p w:rsidR="00E72172" w:rsidRPr="00A251B6" w:rsidP="009F0FB9">
      <w:pPr>
        <w:jc w:val="both"/>
        <w:rPr>
          <w:rFonts w:ascii="Times New Roman" w:hAnsi="Times New Roman"/>
          <w:b/>
          <w:bCs/>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Pr="00A251B6" w:rsidR="00FE7AEA">
        <w:rPr>
          <w:rFonts w:ascii="Times New Roman" w:hAnsi="Times New Roman"/>
          <w:b/>
          <w:bCs/>
        </w:rPr>
        <w:t>2</w:t>
      </w:r>
      <w:r w:rsidR="00525578">
        <w:rPr>
          <w:rFonts w:ascii="Times New Roman" w:hAnsi="Times New Roman"/>
          <w:b/>
          <w:bCs/>
        </w:rPr>
        <w:t>5</w:t>
      </w:r>
    </w:p>
    <w:p w:rsidR="009F0FB9" w:rsidP="009F0FB9">
      <w:pPr>
        <w:jc w:val="both"/>
        <w:rPr>
          <w:rFonts w:ascii="Times New Roman" w:hAnsi="Times New Roman"/>
        </w:rPr>
      </w:pPr>
      <w:r w:rsidRPr="00A251B6">
        <w:rPr>
          <w:rFonts w:ascii="Times New Roman" w:hAnsi="Times New Roman"/>
        </w:rPr>
        <w:t xml:space="preserve">Dopĺňajú </w:t>
      </w:r>
      <w:r w:rsidRPr="00A251B6" w:rsidR="00FF3CA3">
        <w:rPr>
          <w:rFonts w:ascii="Times New Roman" w:hAnsi="Times New Roman"/>
        </w:rPr>
        <w:t xml:space="preserve">sa </w:t>
      </w:r>
      <w:r w:rsidRPr="00A251B6">
        <w:rPr>
          <w:rFonts w:ascii="Times New Roman" w:hAnsi="Times New Roman"/>
        </w:rPr>
        <w:t>dôvody nezaradenia zdravotníckej pomôcky do zoznamu zdravotníckych pomôcok.</w:t>
      </w:r>
      <w:r w:rsidRPr="00A251B6" w:rsidR="00FE7AEA">
        <w:rPr>
          <w:rFonts w:ascii="Times New Roman" w:hAnsi="Times New Roman"/>
        </w:rPr>
        <w:t xml:space="preserve"> Umožní sa tak podporovanie nákladovo efektívnych postupov pred menej nákladovo efektívnymi.</w:t>
      </w:r>
    </w:p>
    <w:p w:rsidR="00E72172" w:rsidP="009F0FB9">
      <w:pPr>
        <w:jc w:val="both"/>
        <w:rPr>
          <w:rFonts w:ascii="Times New Roman" w:hAnsi="Times New Roman"/>
        </w:rPr>
      </w:pPr>
    </w:p>
    <w:p w:rsidR="00441304" w:rsidP="009F0FB9">
      <w:pPr>
        <w:jc w:val="both"/>
        <w:rPr>
          <w:rFonts w:ascii="Times New Roman" w:hAnsi="Times New Roman"/>
        </w:rPr>
      </w:pPr>
    </w:p>
    <w:p w:rsidR="00441304" w:rsidRPr="00441304" w:rsidP="009F0FB9">
      <w:pPr>
        <w:jc w:val="both"/>
        <w:rPr>
          <w:rFonts w:ascii="Times New Roman" w:hAnsi="Times New Roman"/>
          <w:b/>
          <w:bCs/>
        </w:rPr>
      </w:pPr>
      <w:r w:rsidRPr="00441304">
        <w:rPr>
          <w:rFonts w:ascii="Times New Roman" w:hAnsi="Times New Roman"/>
          <w:b/>
          <w:bCs/>
        </w:rPr>
        <w:t>K bodu 26</w:t>
      </w:r>
    </w:p>
    <w:p w:rsidR="009F0FB9" w:rsidP="009F0FB9">
      <w:pPr>
        <w:jc w:val="both"/>
        <w:rPr>
          <w:rFonts w:ascii="Times New Roman" w:hAnsi="Times New Roman"/>
        </w:rPr>
      </w:pPr>
      <w:r w:rsidR="00441304">
        <w:rPr>
          <w:rFonts w:ascii="Times New Roman" w:hAnsi="Times New Roman"/>
        </w:rPr>
        <w:t>Ustanovenie sa dopĺňa, že zo zoznamu sa vyradí zdravotnícka pomôcka ak obsahuje ftaláty.</w:t>
      </w:r>
    </w:p>
    <w:p w:rsidR="00441304" w:rsidP="009F0FB9">
      <w:pPr>
        <w:jc w:val="both"/>
        <w:rPr>
          <w:rFonts w:ascii="Times New Roman" w:hAnsi="Times New Roman"/>
        </w:rPr>
      </w:pPr>
    </w:p>
    <w:p w:rsidR="00441304"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Pr="00A251B6" w:rsidR="00FE7AEA">
        <w:rPr>
          <w:rFonts w:ascii="Times New Roman" w:hAnsi="Times New Roman"/>
          <w:b/>
          <w:bCs/>
        </w:rPr>
        <w:t>2</w:t>
      </w:r>
      <w:r w:rsidR="00441304">
        <w:rPr>
          <w:rFonts w:ascii="Times New Roman" w:hAnsi="Times New Roman"/>
          <w:b/>
          <w:bCs/>
        </w:rPr>
        <w:t>7</w:t>
      </w:r>
    </w:p>
    <w:p w:rsidR="009F0FB9" w:rsidP="009F0FB9">
      <w:pPr>
        <w:jc w:val="both"/>
        <w:rPr>
          <w:rFonts w:ascii="Times New Roman" w:hAnsi="Times New Roman"/>
        </w:rPr>
      </w:pPr>
      <w:r w:rsidRPr="00A251B6">
        <w:rPr>
          <w:rFonts w:ascii="Times New Roman" w:hAnsi="Times New Roman"/>
        </w:rPr>
        <w:t xml:space="preserve">Dopĺňajú </w:t>
      </w:r>
      <w:r w:rsidRPr="00A251B6" w:rsidR="00FF3CA3">
        <w:rPr>
          <w:rFonts w:ascii="Times New Roman" w:hAnsi="Times New Roman"/>
        </w:rPr>
        <w:t xml:space="preserve">sa </w:t>
      </w:r>
      <w:r w:rsidRPr="00A251B6">
        <w:rPr>
          <w:rFonts w:ascii="Times New Roman" w:hAnsi="Times New Roman"/>
        </w:rPr>
        <w:t>dôvody vyradenia zdravotníckej pomôcky zo zoznamu zdravotníckych pomôcok.</w:t>
      </w:r>
      <w:r w:rsidRPr="00A251B6" w:rsidR="00FE7AEA">
        <w:rPr>
          <w:rFonts w:ascii="Times New Roman" w:hAnsi="Times New Roman"/>
        </w:rPr>
        <w:t xml:space="preserve"> Cieľom ustanovení je umožniť sústredenie solidárnych zdrojov na účinnú a nákladovo efektívnu zdravotnú starostlivosť.</w:t>
      </w:r>
    </w:p>
    <w:p w:rsidR="00E72172" w:rsidRPr="00A251B6" w:rsidP="009F0FB9">
      <w:pPr>
        <w:jc w:val="both"/>
        <w:rPr>
          <w:rFonts w:ascii="Times New Roman" w:hAnsi="Times New Roman"/>
        </w:rPr>
      </w:pPr>
    </w:p>
    <w:p w:rsidR="009F0FB9"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Pr="00A251B6" w:rsidR="00FE7AEA">
        <w:rPr>
          <w:rFonts w:ascii="Times New Roman" w:hAnsi="Times New Roman"/>
          <w:b/>
          <w:bCs/>
        </w:rPr>
        <w:t>2</w:t>
      </w:r>
      <w:r w:rsidR="00C2754A">
        <w:rPr>
          <w:rFonts w:ascii="Times New Roman" w:hAnsi="Times New Roman"/>
          <w:b/>
          <w:bCs/>
        </w:rPr>
        <w:t>8</w:t>
      </w:r>
    </w:p>
    <w:p w:rsidR="009F0FB9" w:rsidP="009F0FB9">
      <w:pPr>
        <w:jc w:val="both"/>
        <w:rPr>
          <w:rFonts w:ascii="Times New Roman" w:hAnsi="Times New Roman"/>
        </w:rPr>
      </w:pPr>
      <w:r w:rsidRPr="00A251B6">
        <w:rPr>
          <w:rFonts w:ascii="Times New Roman" w:hAnsi="Times New Roman"/>
        </w:rPr>
        <w:t xml:space="preserve">Navrhuje sa nové znenie § 27, </w:t>
      </w:r>
      <w:r w:rsidRPr="00A251B6" w:rsidR="00FE7AEA">
        <w:rPr>
          <w:rFonts w:ascii="Times New Roman" w:hAnsi="Times New Roman"/>
        </w:rPr>
        <w:t>ktoré je analogické ku zneniu navrhovaného § 15. Ustanovujú sa podrobnosti rozhodovania o zmene úradne určenej ceny zdravotníckej pomôcky</w:t>
      </w:r>
      <w:r w:rsidRPr="00A251B6">
        <w:rPr>
          <w:rFonts w:ascii="Times New Roman" w:hAnsi="Times New Roman"/>
        </w:rPr>
        <w:t>.Navrhuje sa nové znenie § 28, ktorým sa ustanovuje rozsah údajov, ktoré má obsahovať zoznam zdravotníckych pomôcok.</w:t>
      </w:r>
    </w:p>
    <w:p w:rsidR="00E72172" w:rsidRPr="00A251B6" w:rsidP="009F0FB9">
      <w:pPr>
        <w:jc w:val="both"/>
        <w:rPr>
          <w:rFonts w:ascii="Times New Roman" w:hAnsi="Times New Roman"/>
        </w:rPr>
      </w:pPr>
    </w:p>
    <w:p w:rsidR="009F0FB9"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Pr="00A251B6" w:rsidR="00FE7AEA">
        <w:rPr>
          <w:rFonts w:ascii="Times New Roman" w:hAnsi="Times New Roman"/>
          <w:b/>
          <w:bCs/>
        </w:rPr>
        <w:t>2</w:t>
      </w:r>
      <w:r w:rsidR="00001698">
        <w:rPr>
          <w:rFonts w:ascii="Times New Roman" w:hAnsi="Times New Roman"/>
          <w:b/>
          <w:bCs/>
        </w:rPr>
        <w:t>9</w:t>
      </w:r>
    </w:p>
    <w:p w:rsidR="009F0FB9" w:rsidP="009F0FB9">
      <w:pPr>
        <w:jc w:val="both"/>
        <w:rPr>
          <w:rFonts w:ascii="Times New Roman" w:hAnsi="Times New Roman"/>
        </w:rPr>
      </w:pPr>
      <w:r w:rsidRPr="00A251B6" w:rsidR="00FE7AEA">
        <w:rPr>
          <w:rFonts w:ascii="Times New Roman" w:hAnsi="Times New Roman"/>
        </w:rPr>
        <w:t xml:space="preserve">V </w:t>
      </w:r>
      <w:r w:rsidRPr="00A251B6">
        <w:rPr>
          <w:rFonts w:ascii="Times New Roman" w:hAnsi="Times New Roman"/>
        </w:rPr>
        <w:t xml:space="preserve">§ 29 </w:t>
      </w:r>
      <w:r w:rsidRPr="00A251B6" w:rsidR="00FE7AEA">
        <w:rPr>
          <w:rFonts w:ascii="Times New Roman" w:hAnsi="Times New Roman"/>
        </w:rPr>
        <w:t xml:space="preserve">ods. 4 sa navrhuje doplnenie rozsahu kategorizácie dietetickej potraviny o možnosť podmieniť úhradu dietetickej potraviny predchádzajúcim súhlasom revízneho lekára zdravotnej poisťovne. Umožňuje to lepšiu kontrolu výdavkov verejného zdravotného poistenia, pričom </w:t>
      </w:r>
      <w:r w:rsidRPr="00A251B6" w:rsidR="00AA121C">
        <w:rPr>
          <w:rFonts w:ascii="Times New Roman" w:hAnsi="Times New Roman"/>
        </w:rPr>
        <w:t>tento nástroj zabezpečuje</w:t>
      </w:r>
      <w:r w:rsidRPr="00A251B6" w:rsidR="00FE7AEA">
        <w:rPr>
          <w:rFonts w:ascii="Times New Roman" w:hAnsi="Times New Roman"/>
        </w:rPr>
        <w:t>, aby v oprávnených prípadoch mal poistenec potrebnú zdravotnú starostlivosť uhradenú zo solidárnych zdrojov.</w:t>
      </w:r>
      <w:r w:rsidRPr="00A251B6">
        <w:rPr>
          <w:rFonts w:ascii="Times New Roman" w:hAnsi="Times New Roman"/>
        </w:rPr>
        <w:t xml:space="preserve"> </w:t>
      </w:r>
    </w:p>
    <w:p w:rsidR="00E72172" w:rsidP="009F0FB9">
      <w:pPr>
        <w:jc w:val="both"/>
        <w:rPr>
          <w:rFonts w:ascii="Times New Roman" w:hAnsi="Times New Roman"/>
        </w:rPr>
      </w:pPr>
    </w:p>
    <w:p w:rsidR="00E72172" w:rsidRPr="00A251B6" w:rsidP="009F0FB9">
      <w:pPr>
        <w:jc w:val="both"/>
        <w:rPr>
          <w:rFonts w:ascii="Times New Roman" w:hAnsi="Times New Roman"/>
        </w:rPr>
      </w:pPr>
    </w:p>
    <w:p w:rsidR="009F0FB9" w:rsidRPr="00A251B6" w:rsidP="009F0FB9">
      <w:pPr>
        <w:jc w:val="both"/>
        <w:rPr>
          <w:rFonts w:ascii="Times New Roman" w:hAnsi="Times New Roman"/>
        </w:rPr>
      </w:pPr>
    </w:p>
    <w:p w:rsidR="00AD2ECB" w:rsidP="009F0FB9">
      <w:pPr>
        <w:jc w:val="both"/>
        <w:rPr>
          <w:rFonts w:ascii="Times New Roman" w:hAnsi="Times New Roman"/>
          <w:b/>
          <w:bCs/>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008F18A4">
        <w:rPr>
          <w:rFonts w:ascii="Times New Roman" w:hAnsi="Times New Roman"/>
          <w:b/>
          <w:bCs/>
        </w:rPr>
        <w:t>30</w:t>
      </w:r>
    </w:p>
    <w:p w:rsidR="009F0FB9" w:rsidP="009F0FB9">
      <w:pPr>
        <w:jc w:val="both"/>
        <w:rPr>
          <w:rFonts w:ascii="Times New Roman" w:hAnsi="Times New Roman"/>
        </w:rPr>
      </w:pPr>
      <w:r w:rsidRPr="00A251B6">
        <w:rPr>
          <w:rFonts w:ascii="Times New Roman" w:hAnsi="Times New Roman"/>
        </w:rPr>
        <w:t xml:space="preserve">Vypúšťa sa ustanovenie o určovaní </w:t>
        <w:tab/>
        <w:t>maximálnej výšky úhrady zdravotnej poisťovne za dietetickú potravinu Ide o komplikovaný výpočet, ktorý sa v praxi ťažko realizuje.</w:t>
      </w:r>
    </w:p>
    <w:p w:rsidR="00E72172" w:rsidRPr="00A251B6" w:rsidP="009F0FB9">
      <w:pPr>
        <w:jc w:val="both"/>
        <w:rPr>
          <w:rFonts w:ascii="Times New Roman" w:hAnsi="Times New Roman"/>
        </w:rPr>
      </w:pPr>
    </w:p>
    <w:p w:rsidR="009F0FB9"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006F3CCF">
        <w:rPr>
          <w:rFonts w:ascii="Times New Roman" w:hAnsi="Times New Roman"/>
          <w:b/>
          <w:bCs/>
        </w:rPr>
        <w:t>31</w:t>
      </w:r>
    </w:p>
    <w:p w:rsidR="009F0FB9" w:rsidP="009F0FB9">
      <w:pPr>
        <w:jc w:val="both"/>
        <w:rPr>
          <w:rFonts w:ascii="Times New Roman" w:hAnsi="Times New Roman"/>
        </w:rPr>
      </w:pPr>
      <w:r w:rsidRPr="00A251B6">
        <w:rPr>
          <w:rFonts w:ascii="Times New Roman" w:hAnsi="Times New Roman"/>
        </w:rPr>
        <w:t>Rozširujú sa požiadavky na náležitosti žiadosti o zaradenie dietetickej potraviny do zoznamu dietetických potravín obdobným spôsobom ako pri liekoch a zdravotníckych pomôckach.</w:t>
      </w:r>
    </w:p>
    <w:p w:rsidR="00E72172" w:rsidRPr="00A251B6" w:rsidP="009F0FB9">
      <w:pPr>
        <w:jc w:val="both"/>
        <w:rPr>
          <w:rFonts w:ascii="Times New Roman" w:hAnsi="Times New Roman"/>
        </w:rPr>
      </w:pPr>
    </w:p>
    <w:p w:rsidR="009F0FB9"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00AD2ECB">
        <w:rPr>
          <w:rFonts w:ascii="Times New Roman" w:hAnsi="Times New Roman"/>
          <w:b/>
          <w:bCs/>
        </w:rPr>
        <w:t>3</w:t>
      </w:r>
      <w:r w:rsidR="007E1428">
        <w:rPr>
          <w:rFonts w:ascii="Times New Roman" w:hAnsi="Times New Roman"/>
          <w:b/>
          <w:bCs/>
        </w:rPr>
        <w:t>2</w:t>
      </w:r>
    </w:p>
    <w:p w:rsidR="009F0FB9" w:rsidRPr="00A251B6" w:rsidP="009F0FB9">
      <w:pPr>
        <w:jc w:val="both"/>
        <w:rPr>
          <w:rFonts w:ascii="Times New Roman" w:hAnsi="Times New Roman"/>
        </w:rPr>
      </w:pPr>
      <w:r w:rsidRPr="00A251B6">
        <w:rPr>
          <w:rFonts w:ascii="Times New Roman" w:hAnsi="Times New Roman"/>
        </w:rPr>
        <w:t>Upresňuje sa, že správny poplatok za podanie žiadosti o zaradenie dietetickej potraviny do zoznamu dietetických potravín sa zaplatí formou kolkovej známky.</w:t>
      </w:r>
    </w:p>
    <w:p w:rsidR="00242E92"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K bodu 3</w:t>
      </w:r>
      <w:r w:rsidR="00CA6755">
        <w:rPr>
          <w:rFonts w:ascii="Times New Roman" w:hAnsi="Times New Roman"/>
          <w:b/>
          <w:bCs/>
        </w:rPr>
        <w:t>3</w:t>
      </w:r>
    </w:p>
    <w:p w:rsidR="009F0FB9" w:rsidRPr="00A251B6" w:rsidP="009F0FB9">
      <w:pPr>
        <w:jc w:val="both"/>
        <w:rPr>
          <w:rFonts w:ascii="Times New Roman" w:hAnsi="Times New Roman"/>
        </w:rPr>
      </w:pPr>
      <w:r w:rsidRPr="00A251B6">
        <w:rPr>
          <w:rFonts w:ascii="Times New Roman" w:hAnsi="Times New Roman"/>
        </w:rPr>
        <w:t>Navrhuje sa nové znenie § 33. Ustanovuje sa možnosť podávania žiadosti o zmenu zaradenia zdravotníckej pomôcky v zozname zdravotníckych pomôcok. Týmto ustanovením sa zvyšuje právna istota žiadateľov o zmenu zaradenia dietetickej potraviny v zozname dietetických potravín tým, že sa budú môcť odvolať voči rozhodnutiu ministerstva o zmene zaradenia dietetickej potraviny v zozname dietetických potravín.</w:t>
      </w:r>
    </w:p>
    <w:p w:rsidR="009F0FB9" w:rsidRPr="00A251B6" w:rsidP="009F0FB9">
      <w:pPr>
        <w:jc w:val="both"/>
        <w:rPr>
          <w:rFonts w:ascii="Times New Roman" w:hAnsi="Times New Roman"/>
        </w:rPr>
      </w:pPr>
      <w:r w:rsidRPr="00A251B6">
        <w:rPr>
          <w:rFonts w:ascii="Times New Roman" w:hAnsi="Times New Roman"/>
        </w:rPr>
        <w:t>Navrhuje sa nové znenie § 34, na základe ktorého sa rozhoduje o zmene zaradenia dietetickej potraviny v zozname dietetických potravín a o zmene úradne určenej ceny dietetickej potraviny. Ustanovujú sa dôvody na nezaradenie dietetickej potraviny do zoznamu dietetických potravín Ďalej sa dopĺňajú lehoty na vybavenie žiadosti.</w:t>
      </w:r>
    </w:p>
    <w:p w:rsidR="009F0FB9" w:rsidRPr="00A251B6" w:rsidP="009F0FB9">
      <w:pPr>
        <w:jc w:val="both"/>
        <w:rPr>
          <w:rFonts w:ascii="Times New Roman" w:hAnsi="Times New Roman"/>
        </w:rPr>
      </w:pPr>
    </w:p>
    <w:p w:rsidR="009F0FB9" w:rsidRPr="00A251B6" w:rsidP="009F0FB9">
      <w:pPr>
        <w:jc w:val="both"/>
        <w:rPr>
          <w:rFonts w:ascii="Times New Roman" w:hAnsi="Times New Roman"/>
        </w:rPr>
      </w:pPr>
    </w:p>
    <w:p w:rsidR="009F0FB9" w:rsidRPr="00A251B6" w:rsidP="009F0FB9">
      <w:pPr>
        <w:jc w:val="both"/>
        <w:rPr>
          <w:rFonts w:ascii="Times New Roman" w:hAnsi="Times New Roman"/>
          <w:b/>
          <w:bCs/>
        </w:rPr>
      </w:pPr>
      <w:r w:rsidRPr="00A251B6">
        <w:rPr>
          <w:rFonts w:ascii="Times New Roman" w:hAnsi="Times New Roman"/>
          <w:b/>
          <w:bCs/>
        </w:rPr>
        <w:t xml:space="preserve">K bodu </w:t>
      </w:r>
      <w:r w:rsidRPr="00A251B6" w:rsidR="00D615A9">
        <w:rPr>
          <w:rFonts w:ascii="Times New Roman" w:hAnsi="Times New Roman"/>
          <w:b/>
          <w:bCs/>
        </w:rPr>
        <w:t>3</w:t>
      </w:r>
      <w:r w:rsidR="00C06AB4">
        <w:rPr>
          <w:rFonts w:ascii="Times New Roman" w:hAnsi="Times New Roman"/>
          <w:b/>
          <w:bCs/>
        </w:rPr>
        <w:t>4</w:t>
      </w:r>
    </w:p>
    <w:p w:rsidR="009F0FB9" w:rsidRPr="00A251B6" w:rsidP="009F0FB9">
      <w:pPr>
        <w:jc w:val="both"/>
        <w:rPr>
          <w:rFonts w:ascii="Times New Roman" w:hAnsi="Times New Roman"/>
        </w:rPr>
      </w:pPr>
      <w:r w:rsidRPr="00A251B6">
        <w:rPr>
          <w:rFonts w:ascii="Times New Roman" w:hAnsi="Times New Roman"/>
        </w:rPr>
        <w:t>Navrhuje sa nové znenie § 36, na základe ktorého sa rozhoduje o zmene zaradenia dietetickej potraviny v zozname dietetických potravín a o zmene úradne určenej ceny dietetickej potraviny. Ďalej sa dopĺňajú lehoty na vybavenie žiadosti.</w:t>
      </w:r>
    </w:p>
    <w:p w:rsidR="009F0FB9" w:rsidRPr="00A251B6" w:rsidP="00D615A9">
      <w:pPr>
        <w:jc w:val="both"/>
        <w:rPr>
          <w:rFonts w:ascii="Times New Roman" w:hAnsi="Times New Roman"/>
        </w:rPr>
      </w:pPr>
      <w:r w:rsidRPr="00A251B6">
        <w:rPr>
          <w:rFonts w:ascii="Times New Roman" w:hAnsi="Times New Roman"/>
        </w:rPr>
        <w:t>Navrhuje sa nové znenie § 37, ktorým sa ustanovuje rozsah údajov, ktoré má obsahovať zoznam dietetických potravín.</w:t>
      </w:r>
    </w:p>
    <w:p w:rsidR="009F0FB9" w:rsidP="009F0FB9">
      <w:pPr>
        <w:rPr>
          <w:rFonts w:ascii="Times New Roman" w:hAnsi="Times New Roman"/>
        </w:rPr>
      </w:pPr>
    </w:p>
    <w:p w:rsidR="00524261" w:rsidRPr="00937093" w:rsidP="009F0FB9">
      <w:pPr>
        <w:rPr>
          <w:rFonts w:ascii="Times New Roman" w:hAnsi="Times New Roman"/>
          <w:b/>
          <w:bCs/>
        </w:rPr>
      </w:pPr>
      <w:r w:rsidRPr="00937093">
        <w:rPr>
          <w:rFonts w:ascii="Times New Roman" w:hAnsi="Times New Roman"/>
          <w:b/>
          <w:bCs/>
        </w:rPr>
        <w:t>K bod</w:t>
      </w:r>
      <w:r w:rsidRPr="00937093" w:rsidR="00937093">
        <w:rPr>
          <w:rFonts w:ascii="Times New Roman" w:hAnsi="Times New Roman"/>
          <w:b/>
          <w:bCs/>
        </w:rPr>
        <w:t>om</w:t>
      </w:r>
      <w:r w:rsidRPr="00937093">
        <w:rPr>
          <w:rFonts w:ascii="Times New Roman" w:hAnsi="Times New Roman"/>
          <w:b/>
          <w:bCs/>
        </w:rPr>
        <w:t xml:space="preserve"> </w:t>
      </w:r>
      <w:r w:rsidRPr="00937093" w:rsidR="00937093">
        <w:rPr>
          <w:rFonts w:ascii="Times New Roman" w:hAnsi="Times New Roman"/>
          <w:b/>
          <w:bCs/>
        </w:rPr>
        <w:t>35-38</w:t>
      </w:r>
    </w:p>
    <w:p w:rsidR="00524261" w:rsidP="00524261">
      <w:pPr>
        <w:jc w:val="both"/>
        <w:rPr>
          <w:rFonts w:ascii="Times New Roman" w:hAnsi="Times New Roman"/>
          <w:lang w:eastAsia="cs-CZ"/>
        </w:rPr>
      </w:pPr>
      <w:r>
        <w:rPr>
          <w:rFonts w:ascii="Times New Roman" w:hAnsi="Times New Roman"/>
          <w:lang w:eastAsia="cs-CZ"/>
        </w:rPr>
        <w:t>Vypustenie uvedených ustanovení navrhujeme z dôvodu zrušenia povinnej vojenskej služby (základnej, náhradnej a zdokonaľovacej služby) a nahradenia civilnej služby alternatívnou službou, ktorá bude aktuálna len v čase vojnového stavu alebo vojny s tým, že občania pri výkone alternatívnej služby budú mať postavenie zamestnanca.</w:t>
      </w:r>
    </w:p>
    <w:p w:rsidR="00524261" w:rsidP="00524261">
      <w:pPr>
        <w:rPr>
          <w:rFonts w:ascii="Times New Roman" w:hAnsi="Times New Roman"/>
        </w:rPr>
      </w:pPr>
    </w:p>
    <w:p w:rsidR="00524261" w:rsidP="009F0FB9">
      <w:pPr>
        <w:rPr>
          <w:rFonts w:ascii="Times New Roman" w:hAnsi="Times New Roman"/>
        </w:rPr>
      </w:pPr>
    </w:p>
    <w:p w:rsidR="009F0FB9" w:rsidRPr="00A251B6" w:rsidP="009F0FB9">
      <w:pPr>
        <w:rPr>
          <w:rFonts w:ascii="Times New Roman" w:hAnsi="Times New Roman"/>
          <w:b/>
          <w:bCs/>
        </w:rPr>
      </w:pPr>
      <w:r w:rsidRPr="00A251B6">
        <w:rPr>
          <w:rFonts w:ascii="Times New Roman" w:hAnsi="Times New Roman"/>
          <w:b/>
          <w:bCs/>
        </w:rPr>
        <w:t xml:space="preserve">K bodu </w:t>
      </w:r>
      <w:r w:rsidRPr="00A251B6" w:rsidR="00D615A9">
        <w:rPr>
          <w:rFonts w:ascii="Times New Roman" w:hAnsi="Times New Roman"/>
          <w:b/>
          <w:bCs/>
        </w:rPr>
        <w:t>3</w:t>
      </w:r>
      <w:r w:rsidR="00646D7D">
        <w:rPr>
          <w:rFonts w:ascii="Times New Roman" w:hAnsi="Times New Roman"/>
          <w:b/>
          <w:bCs/>
        </w:rPr>
        <w:t>9</w:t>
      </w:r>
      <w:r w:rsidRPr="00A251B6">
        <w:rPr>
          <w:rFonts w:ascii="Times New Roman" w:hAnsi="Times New Roman"/>
          <w:b/>
          <w:bCs/>
        </w:rPr>
        <w:t xml:space="preserve"> </w:t>
      </w:r>
    </w:p>
    <w:p w:rsidR="00340936" w:rsidRPr="00A251B6" w:rsidP="009F0FB9">
      <w:pPr>
        <w:jc w:val="both"/>
        <w:rPr>
          <w:rFonts w:ascii="Times New Roman" w:hAnsi="Times New Roman"/>
        </w:rPr>
      </w:pPr>
      <w:r w:rsidRPr="00A251B6" w:rsidR="009F0FB9">
        <w:rPr>
          <w:rFonts w:ascii="Times New Roman" w:hAnsi="Times New Roman"/>
        </w:rPr>
        <w:t>Na základe negatívnych skúseností z praxe (účtovali sa rozdielne až neúmerne vysoké finančné čiastky)  sa upravuje maximálna výška finančnej úhrady za poskytnutie výpisu zo zdravotnej dokumentácie</w:t>
      </w:r>
      <w:r w:rsidRPr="00A251B6" w:rsidR="00242E92">
        <w:rPr>
          <w:rFonts w:ascii="Times New Roman" w:hAnsi="Times New Roman"/>
        </w:rPr>
        <w:t>.</w:t>
      </w:r>
    </w:p>
    <w:p w:rsidR="00340936" w:rsidRPr="00A251B6" w:rsidP="009F0FB9">
      <w:pPr>
        <w:jc w:val="both"/>
        <w:rPr>
          <w:rFonts w:ascii="Times New Roman" w:hAnsi="Times New Roman"/>
        </w:rPr>
      </w:pPr>
    </w:p>
    <w:p w:rsidR="009F0FB9" w:rsidRPr="00A251B6" w:rsidP="00340936">
      <w:pPr>
        <w:jc w:val="both"/>
        <w:rPr>
          <w:rFonts w:ascii="Times New Roman" w:hAnsi="Times New Roman"/>
        </w:rPr>
      </w:pPr>
    </w:p>
    <w:p w:rsidR="00D615A9" w:rsidRPr="00A251B6" w:rsidP="009F0FB9">
      <w:pPr>
        <w:rPr>
          <w:rFonts w:ascii="Times New Roman" w:hAnsi="Times New Roman"/>
          <w:b/>
        </w:rPr>
      </w:pPr>
      <w:r w:rsidRPr="00A251B6">
        <w:rPr>
          <w:rFonts w:ascii="Times New Roman" w:hAnsi="Times New Roman"/>
          <w:b/>
        </w:rPr>
        <w:t xml:space="preserve">K bodu </w:t>
      </w:r>
      <w:r w:rsidR="00AD2ECB">
        <w:rPr>
          <w:rFonts w:ascii="Times New Roman" w:hAnsi="Times New Roman"/>
          <w:b/>
        </w:rPr>
        <w:t>4</w:t>
      </w:r>
      <w:r w:rsidR="00994D21">
        <w:rPr>
          <w:rFonts w:ascii="Times New Roman" w:hAnsi="Times New Roman"/>
          <w:b/>
        </w:rPr>
        <w:t>0</w:t>
      </w:r>
    </w:p>
    <w:p w:rsidR="00D615A9" w:rsidP="00967762">
      <w:pPr>
        <w:jc w:val="both"/>
        <w:rPr>
          <w:rFonts w:ascii="Times New Roman" w:hAnsi="Times New Roman"/>
        </w:rPr>
      </w:pPr>
      <w:r w:rsidRPr="00A251B6">
        <w:rPr>
          <w:rFonts w:ascii="Times New Roman" w:hAnsi="Times New Roman"/>
        </w:rPr>
        <w:t>Ustanovuje sa rozsah rozhodovaní, ktoré podliehajú pod zákon o správnom konaní.</w:t>
      </w:r>
      <w:r w:rsidRPr="00A251B6" w:rsidR="00340936">
        <w:rPr>
          <w:rFonts w:ascii="Times New Roman" w:hAnsi="Times New Roman"/>
        </w:rPr>
        <w:t xml:space="preserve"> Rozkladová komisia má názov Kategorizačná rada (pre liečivá a lieky, pre zdravotnícke pomôcky, pre dietetické potraviny). Úprava rozkladovej komisie v návrhu zákona nad rámec zákona o správnom konaní má za cieľ zabezpečiť maximálnu mieru transparentnosti procesov rozhodovania tak, aby boli v súlade so smernicou Rady o transparentnosti (89/105/EHS).</w:t>
      </w:r>
    </w:p>
    <w:p w:rsidR="00E72172" w:rsidRPr="00A251B6" w:rsidP="00967762">
      <w:pPr>
        <w:jc w:val="both"/>
        <w:rPr>
          <w:rFonts w:ascii="Times New Roman" w:hAnsi="Times New Roman"/>
        </w:rPr>
      </w:pPr>
    </w:p>
    <w:p w:rsidR="00D615A9" w:rsidRPr="00A251B6" w:rsidP="009F0FB9">
      <w:pPr>
        <w:rPr>
          <w:rFonts w:ascii="Times New Roman" w:hAnsi="Times New Roman"/>
        </w:rPr>
      </w:pPr>
    </w:p>
    <w:p w:rsidR="009F0FB9" w:rsidRPr="00A251B6" w:rsidP="009F0FB9">
      <w:pPr>
        <w:rPr>
          <w:rFonts w:ascii="Times New Roman" w:hAnsi="Times New Roman"/>
          <w:b/>
          <w:bCs/>
        </w:rPr>
      </w:pPr>
      <w:r w:rsidRPr="00A251B6">
        <w:rPr>
          <w:rFonts w:ascii="Times New Roman" w:hAnsi="Times New Roman"/>
          <w:b/>
          <w:bCs/>
        </w:rPr>
        <w:t xml:space="preserve">K bodu </w:t>
      </w:r>
      <w:r w:rsidR="00950911">
        <w:rPr>
          <w:rFonts w:ascii="Times New Roman" w:hAnsi="Times New Roman"/>
          <w:b/>
          <w:bCs/>
        </w:rPr>
        <w:t>41</w:t>
      </w:r>
      <w:r w:rsidRPr="00A251B6" w:rsidR="00340936">
        <w:rPr>
          <w:rFonts w:ascii="Times New Roman" w:hAnsi="Times New Roman"/>
          <w:b/>
          <w:bCs/>
        </w:rPr>
        <w:t xml:space="preserve"> </w:t>
      </w:r>
    </w:p>
    <w:p w:rsidR="009F0FB9" w:rsidRPr="00A251B6" w:rsidP="009F0FB9">
      <w:pPr>
        <w:jc w:val="both"/>
        <w:rPr>
          <w:rFonts w:ascii="Times New Roman" w:hAnsi="Times New Roman"/>
        </w:rPr>
      </w:pPr>
      <w:r w:rsidRPr="00A251B6">
        <w:rPr>
          <w:rFonts w:ascii="Times New Roman" w:hAnsi="Times New Roman"/>
        </w:rPr>
        <w:t>Ustanovuje sa počet členov kategorizačných rád a spôsob ich nominácie a menovania rovnakým spôsobom ako počet členov kategorizačných komisií.</w:t>
      </w:r>
      <w:r w:rsidRPr="00A251B6" w:rsidR="00340936">
        <w:rPr>
          <w:rFonts w:ascii="Times New Roman" w:hAnsi="Times New Roman"/>
        </w:rPr>
        <w:t xml:space="preserve"> Dôvod je rovnaký ako v predchádzajúcom bode: súlad so smernicou o transparentnosti.</w:t>
      </w:r>
    </w:p>
    <w:p w:rsidR="009F0FB9" w:rsidP="009F0FB9">
      <w:pPr>
        <w:jc w:val="both"/>
        <w:rPr>
          <w:rFonts w:ascii="Times New Roman" w:hAnsi="Times New Roman"/>
        </w:rPr>
      </w:pPr>
    </w:p>
    <w:p w:rsidR="00AD2ECB" w:rsidRPr="00A251B6" w:rsidP="009F0FB9">
      <w:pPr>
        <w:jc w:val="both"/>
        <w:rPr>
          <w:rFonts w:ascii="Times New Roman" w:hAnsi="Times New Roman"/>
        </w:rPr>
      </w:pPr>
    </w:p>
    <w:p w:rsidR="009F0FB9" w:rsidRPr="00A251B6" w:rsidP="009F0FB9">
      <w:pPr>
        <w:rPr>
          <w:rFonts w:ascii="Times New Roman" w:hAnsi="Times New Roman"/>
          <w:b/>
          <w:bCs/>
        </w:rPr>
      </w:pPr>
      <w:r w:rsidRPr="00A251B6">
        <w:rPr>
          <w:rFonts w:ascii="Times New Roman" w:hAnsi="Times New Roman"/>
          <w:b/>
          <w:bCs/>
        </w:rPr>
        <w:t>K</w:t>
      </w:r>
      <w:r w:rsidRPr="00A251B6" w:rsidR="00EB224E">
        <w:rPr>
          <w:rFonts w:ascii="Times New Roman" w:hAnsi="Times New Roman"/>
          <w:b/>
          <w:bCs/>
        </w:rPr>
        <w:t> </w:t>
      </w:r>
      <w:r w:rsidRPr="00A251B6">
        <w:rPr>
          <w:rFonts w:ascii="Times New Roman" w:hAnsi="Times New Roman"/>
          <w:b/>
          <w:bCs/>
        </w:rPr>
        <w:t>bod</w:t>
      </w:r>
      <w:r w:rsidRPr="00A251B6" w:rsidR="00EB224E">
        <w:rPr>
          <w:rFonts w:ascii="Times New Roman" w:hAnsi="Times New Roman"/>
          <w:b/>
          <w:bCs/>
        </w:rPr>
        <w:t xml:space="preserve">om </w:t>
      </w:r>
      <w:r w:rsidR="00BC2F4E">
        <w:rPr>
          <w:rFonts w:ascii="Times New Roman" w:hAnsi="Times New Roman"/>
          <w:b/>
          <w:bCs/>
        </w:rPr>
        <w:t>42</w:t>
      </w:r>
    </w:p>
    <w:p w:rsidR="009F0FB9" w:rsidRPr="00A251B6" w:rsidP="009F0FB9">
      <w:pPr>
        <w:jc w:val="both"/>
        <w:rPr>
          <w:rFonts w:ascii="Times New Roman" w:hAnsi="Times New Roman"/>
        </w:rPr>
      </w:pPr>
      <w:r w:rsidRPr="00A251B6">
        <w:rPr>
          <w:rFonts w:ascii="Times New Roman" w:hAnsi="Times New Roman"/>
        </w:rPr>
        <w:t xml:space="preserve">Ustanovuje sa, že sa </w:t>
      </w:r>
      <w:r w:rsidRPr="00A251B6" w:rsidR="00EB224E">
        <w:rPr>
          <w:rFonts w:ascii="Times New Roman" w:hAnsi="Times New Roman"/>
        </w:rPr>
        <w:t xml:space="preserve">rozsah materiálov súvisiacich s kategorizáciou, ktoré bude </w:t>
      </w:r>
      <w:r w:rsidRPr="00A251B6">
        <w:rPr>
          <w:rFonts w:ascii="Times New Roman" w:hAnsi="Times New Roman"/>
        </w:rPr>
        <w:t xml:space="preserve">ministerstvo </w:t>
      </w:r>
      <w:r w:rsidRPr="00A251B6" w:rsidR="00EB224E">
        <w:rPr>
          <w:rFonts w:ascii="Times New Roman" w:hAnsi="Times New Roman"/>
        </w:rPr>
        <w:t xml:space="preserve">zverejňovať </w:t>
      </w:r>
      <w:r w:rsidRPr="00A251B6">
        <w:rPr>
          <w:rFonts w:ascii="Times New Roman" w:hAnsi="Times New Roman"/>
        </w:rPr>
        <w:t>na internete</w:t>
      </w:r>
      <w:r w:rsidRPr="00A251B6" w:rsidR="00EB224E">
        <w:rPr>
          <w:rFonts w:ascii="Times New Roman" w:hAnsi="Times New Roman"/>
        </w:rPr>
        <w:t>.</w:t>
      </w:r>
      <w:r w:rsidRPr="00A251B6">
        <w:rPr>
          <w:rFonts w:ascii="Times New Roman" w:hAnsi="Times New Roman"/>
        </w:rPr>
        <w:t xml:space="preserve"> </w:t>
      </w:r>
    </w:p>
    <w:p w:rsidR="00D96A09" w:rsidRPr="00A251B6" w:rsidP="009F0FB9">
      <w:pPr>
        <w:rPr>
          <w:rFonts w:ascii="Times New Roman" w:hAnsi="Times New Roman"/>
        </w:rPr>
      </w:pPr>
    </w:p>
    <w:p w:rsidR="009F0FB9" w:rsidRPr="00A251B6" w:rsidP="009F0FB9">
      <w:pPr>
        <w:rPr>
          <w:rFonts w:ascii="Times New Roman" w:hAnsi="Times New Roman"/>
        </w:rPr>
      </w:pPr>
    </w:p>
    <w:p w:rsidR="009F0FB9" w:rsidRPr="00A251B6" w:rsidP="00B91FD2">
      <w:pPr>
        <w:jc w:val="both"/>
        <w:rPr>
          <w:rFonts w:ascii="Times New Roman" w:hAnsi="Times New Roman"/>
          <w:b/>
          <w:bCs/>
        </w:rPr>
      </w:pPr>
      <w:r w:rsidRPr="00A251B6">
        <w:rPr>
          <w:rFonts w:ascii="Times New Roman" w:hAnsi="Times New Roman"/>
          <w:b/>
          <w:bCs/>
        </w:rPr>
        <w:t>K bod</w:t>
      </w:r>
      <w:r w:rsidRPr="00A251B6" w:rsidR="00242E92">
        <w:rPr>
          <w:rFonts w:ascii="Times New Roman" w:hAnsi="Times New Roman"/>
          <w:b/>
          <w:bCs/>
        </w:rPr>
        <w:t>om</w:t>
      </w:r>
      <w:r w:rsidRPr="00A251B6">
        <w:rPr>
          <w:rFonts w:ascii="Times New Roman" w:hAnsi="Times New Roman"/>
          <w:b/>
          <w:bCs/>
        </w:rPr>
        <w:t xml:space="preserve"> </w:t>
      </w:r>
      <w:r w:rsidR="00B80EB0">
        <w:rPr>
          <w:rFonts w:ascii="Times New Roman" w:hAnsi="Times New Roman"/>
          <w:b/>
          <w:bCs/>
        </w:rPr>
        <w:t>43-51</w:t>
      </w:r>
    </w:p>
    <w:p w:rsidR="009F0FB9" w:rsidP="00B91FD2">
      <w:pPr>
        <w:jc w:val="both"/>
        <w:rPr>
          <w:rFonts w:ascii="Times New Roman" w:hAnsi="Times New Roman"/>
        </w:rPr>
      </w:pPr>
      <w:r w:rsidRPr="00A251B6" w:rsidR="00B91FD2">
        <w:rPr>
          <w:rFonts w:ascii="Times New Roman" w:hAnsi="Times New Roman"/>
        </w:rPr>
        <w:t>V</w:t>
      </w:r>
      <w:r w:rsidRPr="00A251B6" w:rsidR="00242E92">
        <w:rPr>
          <w:rFonts w:ascii="Times New Roman" w:hAnsi="Times New Roman"/>
        </w:rPr>
        <w:t xml:space="preserve"> príloh</w:t>
      </w:r>
      <w:r w:rsidRPr="00A251B6" w:rsidR="00B91FD2">
        <w:rPr>
          <w:rFonts w:ascii="Times New Roman" w:hAnsi="Times New Roman"/>
        </w:rPr>
        <w:t>e</w:t>
      </w:r>
      <w:r w:rsidRPr="00A251B6" w:rsidR="00242E92">
        <w:rPr>
          <w:rFonts w:ascii="Times New Roman" w:hAnsi="Times New Roman"/>
        </w:rPr>
        <w:t xml:space="preserve"> č.</w:t>
      </w:r>
      <w:r w:rsidRPr="00A251B6" w:rsidR="00B91FD2">
        <w:rPr>
          <w:rFonts w:ascii="Times New Roman" w:hAnsi="Times New Roman"/>
        </w:rPr>
        <w:t xml:space="preserve"> </w:t>
      </w:r>
      <w:r w:rsidRPr="00A251B6" w:rsidR="00242E92">
        <w:rPr>
          <w:rFonts w:ascii="Times New Roman" w:hAnsi="Times New Roman"/>
        </w:rPr>
        <w:t>2</w:t>
      </w:r>
      <w:r w:rsidRPr="00A251B6" w:rsidR="00B91FD2">
        <w:rPr>
          <w:rFonts w:ascii="Times New Roman" w:hAnsi="Times New Roman"/>
        </w:rPr>
        <w:t xml:space="preserve"> sa zo všetkých preventívnych prehliadok vypúšťa</w:t>
      </w:r>
      <w:r w:rsidRPr="00A251B6" w:rsidR="00650776">
        <w:rPr>
          <w:rFonts w:ascii="Times New Roman" w:hAnsi="Times New Roman"/>
        </w:rPr>
        <w:t>jú</w:t>
      </w:r>
      <w:r w:rsidRPr="00A251B6" w:rsidR="00B91FD2">
        <w:rPr>
          <w:rFonts w:ascii="Times New Roman" w:hAnsi="Times New Roman"/>
        </w:rPr>
        <w:t xml:space="preserve"> slovné formulácie</w:t>
      </w:r>
      <w:r w:rsidRPr="00A251B6" w:rsidR="00650776">
        <w:rPr>
          <w:rFonts w:ascii="Times New Roman" w:hAnsi="Times New Roman"/>
        </w:rPr>
        <w:t>, ktoré sa</w:t>
      </w:r>
      <w:r w:rsidRPr="00A251B6" w:rsidR="00B91FD2">
        <w:rPr>
          <w:rFonts w:ascii="Times New Roman" w:hAnsi="Times New Roman"/>
        </w:rPr>
        <w:t xml:space="preserve"> týkajú očkovania. Rozsah a očkovaciu schému povinného očkovania určí Úrad verejného zdravotníctva Slovenskej republiky v súlade s novým zákonom o ochrane, rozvoji a podpore verejného zdravia, ktorý bol prijatý Národnou radou Slovenskej republiky, samostatným všeobecne záväzným predpisom, preto je nevyhnutné vypustiť jednotlivé očkovania z prílohy č. 2 o rozsahu preventívnej starostlivosti uhrádzanej z verejného zdravotného poistenia a riešiť ich úhradu v textovej časti zákona. </w:t>
      </w:r>
      <w:r w:rsidRPr="00A251B6" w:rsidR="00E80051">
        <w:rPr>
          <w:rFonts w:ascii="Times New Roman" w:hAnsi="Times New Roman"/>
        </w:rPr>
        <w:t>Preto j</w:t>
      </w:r>
      <w:r w:rsidRPr="00A251B6" w:rsidR="00B91FD2">
        <w:rPr>
          <w:rFonts w:ascii="Times New Roman" w:hAnsi="Times New Roman"/>
        </w:rPr>
        <w:t xml:space="preserve">e potrebné všetky povinné očkovania vyňať z obsahu preventívnych prehliadok a zaradiť ich ako samostatne uhrádzané preventívne výkony. </w:t>
      </w:r>
    </w:p>
    <w:p w:rsidR="0032700E" w:rsidP="00B91FD2">
      <w:pPr>
        <w:jc w:val="both"/>
        <w:rPr>
          <w:rFonts w:ascii="Times New Roman" w:hAnsi="Times New Roman"/>
        </w:rPr>
      </w:pPr>
    </w:p>
    <w:p w:rsidR="00536E14" w:rsidRPr="00536E14" w:rsidP="00B91FD2">
      <w:pPr>
        <w:jc w:val="both"/>
        <w:rPr>
          <w:rFonts w:ascii="Times New Roman" w:hAnsi="Times New Roman"/>
          <w:b/>
          <w:bCs/>
        </w:rPr>
      </w:pPr>
      <w:r w:rsidRPr="00536E14">
        <w:rPr>
          <w:rFonts w:ascii="Times New Roman" w:hAnsi="Times New Roman"/>
          <w:b/>
          <w:bCs/>
        </w:rPr>
        <w:t>K bodu 52</w:t>
      </w:r>
    </w:p>
    <w:p w:rsidR="00536E14" w:rsidRPr="006F69B3" w:rsidP="00B91FD2">
      <w:pPr>
        <w:jc w:val="both"/>
        <w:rPr>
          <w:rFonts w:ascii="Times New Roman" w:hAnsi="Times New Roman"/>
        </w:rPr>
      </w:pPr>
      <w:r w:rsidRPr="006F69B3" w:rsidR="006F69B3">
        <w:rPr>
          <w:rFonts w:ascii="Times New Roman" w:hAnsi="Times New Roman"/>
        </w:rPr>
        <w:t>V súvislosti s</w:t>
      </w:r>
      <w:r w:rsidR="006F69B3">
        <w:rPr>
          <w:rFonts w:ascii="Times New Roman" w:hAnsi="Times New Roman"/>
        </w:rPr>
        <w:t> bodmi 43 až 51 sa vypúšťajú  vety, ktoré upravovali postup pri očkovaní.</w:t>
      </w:r>
    </w:p>
    <w:p w:rsidR="006F69B3" w:rsidRPr="006F69B3" w:rsidP="00B91FD2">
      <w:pPr>
        <w:jc w:val="both"/>
        <w:rPr>
          <w:rFonts w:ascii="Times New Roman" w:hAnsi="Times New Roman"/>
        </w:rPr>
      </w:pPr>
    </w:p>
    <w:p w:rsidR="00536E14" w:rsidRPr="00536E14" w:rsidP="00B91FD2">
      <w:pPr>
        <w:jc w:val="both"/>
        <w:rPr>
          <w:rFonts w:ascii="Times New Roman" w:hAnsi="Times New Roman"/>
          <w:b/>
          <w:bCs/>
        </w:rPr>
      </w:pPr>
      <w:r w:rsidRPr="00536E14">
        <w:rPr>
          <w:rFonts w:ascii="Times New Roman" w:hAnsi="Times New Roman"/>
          <w:b/>
          <w:bCs/>
        </w:rPr>
        <w:t>K bodu 53 - 54</w:t>
      </w:r>
    </w:p>
    <w:p w:rsidR="00536E14" w:rsidRPr="006F69B3" w:rsidP="00B91FD2">
      <w:pPr>
        <w:jc w:val="both"/>
        <w:rPr>
          <w:rFonts w:ascii="Times New Roman" w:hAnsi="Times New Roman"/>
        </w:rPr>
      </w:pPr>
      <w:r w:rsidRPr="006F69B3" w:rsidR="006F69B3">
        <w:rPr>
          <w:rFonts w:ascii="Times New Roman" w:hAnsi="Times New Roman"/>
        </w:rPr>
        <w:t xml:space="preserve">Upravuje </w:t>
      </w:r>
      <w:r w:rsidR="006F69B3">
        <w:rPr>
          <w:rFonts w:ascii="Times New Roman" w:hAnsi="Times New Roman"/>
        </w:rPr>
        <w:t>sa vykonávanie stomatologických prehliadok.</w:t>
      </w:r>
    </w:p>
    <w:p w:rsidR="00536E14" w:rsidP="00B91FD2">
      <w:pPr>
        <w:jc w:val="both"/>
        <w:rPr>
          <w:rFonts w:ascii="Times New Roman" w:hAnsi="Times New Roman"/>
        </w:rPr>
      </w:pPr>
    </w:p>
    <w:p w:rsidR="0032700E" w:rsidP="0032700E">
      <w:pPr>
        <w:rPr>
          <w:rFonts w:ascii="Times New Roman" w:hAnsi="Times New Roman"/>
          <w:b/>
          <w:bCs/>
        </w:rPr>
      </w:pPr>
      <w:r w:rsidRPr="00A251B6">
        <w:rPr>
          <w:rFonts w:ascii="Times New Roman" w:hAnsi="Times New Roman"/>
          <w:b/>
          <w:bCs/>
        </w:rPr>
        <w:t xml:space="preserve">K bodu </w:t>
      </w:r>
      <w:r>
        <w:rPr>
          <w:rFonts w:ascii="Times New Roman" w:hAnsi="Times New Roman"/>
          <w:b/>
          <w:bCs/>
        </w:rPr>
        <w:t>5</w:t>
      </w:r>
      <w:r w:rsidR="00536E14">
        <w:rPr>
          <w:rFonts w:ascii="Times New Roman" w:hAnsi="Times New Roman"/>
          <w:b/>
          <w:bCs/>
        </w:rPr>
        <w:t>5</w:t>
      </w:r>
    </w:p>
    <w:p w:rsidR="0032700E" w:rsidRPr="0032700E" w:rsidP="00D13E6D">
      <w:pPr>
        <w:jc w:val="both"/>
        <w:rPr>
          <w:rFonts w:ascii="Times New Roman" w:hAnsi="Times New Roman"/>
          <w:bCs/>
        </w:rPr>
      </w:pPr>
      <w:r>
        <w:rPr>
          <w:rFonts w:ascii="Times New Roman" w:hAnsi="Times New Roman"/>
          <w:bCs/>
        </w:rPr>
        <w:t xml:space="preserve">Prepracovanie </w:t>
      </w:r>
      <w:r w:rsidR="00E615BB">
        <w:rPr>
          <w:rFonts w:ascii="Times New Roman" w:hAnsi="Times New Roman"/>
          <w:bCs/>
        </w:rPr>
        <w:t>preventívnej prehliadky v gynekológii sa uskutočnilo na základe medicíny dôkazov tak, že účelná gynekologická prevencia</w:t>
      </w:r>
      <w:r w:rsidR="00B41B5F">
        <w:rPr>
          <w:rFonts w:ascii="Times New Roman" w:hAnsi="Times New Roman"/>
          <w:bCs/>
        </w:rPr>
        <w:t xml:space="preserve"> je možná a účinná u nádorových ochorení prsníka a krčka maternice, ktorá je v dnešnej dobe už exaktne prepracovaná aj s možnosťou očkovania 12 ročných dievčat v prevencii HPV infekcie, kde je dokázaný kauzálny vzťah niektorých kmeňov s výskytom rakoviny krčka maternice.</w:t>
      </w:r>
    </w:p>
    <w:p w:rsidR="0032700E" w:rsidP="00D13E6D">
      <w:pPr>
        <w:jc w:val="both"/>
        <w:rPr>
          <w:rFonts w:ascii="Times New Roman" w:hAnsi="Times New Roman"/>
          <w:bCs/>
        </w:rPr>
      </w:pPr>
      <w:r w:rsidR="00B41B5F">
        <w:rPr>
          <w:rFonts w:ascii="Times New Roman" w:hAnsi="Times New Roman"/>
          <w:bCs/>
        </w:rPr>
        <w:t>Takto organizovaná prevencia je vysoko efektívna a zároveň má nižší finančný dopad ako je to v súčasnosti kde prevláda vykazovanie hlavne SVALZ výkonov</w:t>
      </w:r>
      <w:r w:rsidR="00ED4725">
        <w:rPr>
          <w:rFonts w:ascii="Times New Roman" w:hAnsi="Times New Roman"/>
          <w:bCs/>
        </w:rPr>
        <w:t>.</w:t>
      </w:r>
    </w:p>
    <w:p w:rsidR="00ED4725" w:rsidRPr="00B41B5F" w:rsidP="00D13E6D">
      <w:pPr>
        <w:jc w:val="both"/>
        <w:rPr>
          <w:rFonts w:ascii="Times New Roman" w:hAnsi="Times New Roman"/>
          <w:bCs/>
        </w:rPr>
      </w:pPr>
    </w:p>
    <w:p w:rsidR="009F0FB9" w:rsidRPr="00A251B6" w:rsidP="00D13E6D">
      <w:pPr>
        <w:jc w:val="both"/>
        <w:rPr>
          <w:rFonts w:ascii="Times New Roman" w:hAnsi="Times New Roman"/>
        </w:rPr>
      </w:pPr>
    </w:p>
    <w:p w:rsidR="009F0FB9" w:rsidRPr="00A251B6" w:rsidP="009F0FB9">
      <w:pPr>
        <w:rPr>
          <w:rFonts w:ascii="Times New Roman" w:hAnsi="Times New Roman"/>
          <w:b/>
          <w:bCs/>
        </w:rPr>
      </w:pPr>
      <w:r w:rsidRPr="00A251B6">
        <w:rPr>
          <w:rFonts w:ascii="Times New Roman" w:hAnsi="Times New Roman"/>
          <w:b/>
          <w:bCs/>
        </w:rPr>
        <w:t>K bod</w:t>
      </w:r>
      <w:r w:rsidRPr="00A251B6" w:rsidR="00427683">
        <w:rPr>
          <w:rFonts w:ascii="Times New Roman" w:hAnsi="Times New Roman"/>
          <w:b/>
          <w:bCs/>
        </w:rPr>
        <w:t>om</w:t>
      </w:r>
      <w:r w:rsidRPr="00A251B6">
        <w:rPr>
          <w:rFonts w:ascii="Times New Roman" w:hAnsi="Times New Roman"/>
          <w:b/>
          <w:bCs/>
        </w:rPr>
        <w:t xml:space="preserve"> </w:t>
      </w:r>
      <w:r w:rsidRPr="00A251B6" w:rsidR="00427683">
        <w:rPr>
          <w:rFonts w:ascii="Times New Roman" w:hAnsi="Times New Roman"/>
          <w:b/>
          <w:bCs/>
        </w:rPr>
        <w:t>5</w:t>
      </w:r>
      <w:r w:rsidR="00536E14">
        <w:rPr>
          <w:rFonts w:ascii="Times New Roman" w:hAnsi="Times New Roman"/>
          <w:b/>
          <w:bCs/>
        </w:rPr>
        <w:t>6</w:t>
      </w:r>
      <w:r w:rsidRPr="00A251B6" w:rsidR="00242E92">
        <w:rPr>
          <w:rFonts w:ascii="Times New Roman" w:hAnsi="Times New Roman"/>
          <w:b/>
          <w:bCs/>
        </w:rPr>
        <w:t xml:space="preserve"> a </w:t>
      </w:r>
      <w:r w:rsidR="00AD2ECB">
        <w:rPr>
          <w:rFonts w:ascii="Times New Roman" w:hAnsi="Times New Roman"/>
          <w:b/>
          <w:bCs/>
        </w:rPr>
        <w:t>5</w:t>
      </w:r>
      <w:r w:rsidR="00536E14">
        <w:rPr>
          <w:rFonts w:ascii="Times New Roman" w:hAnsi="Times New Roman"/>
          <w:b/>
          <w:bCs/>
        </w:rPr>
        <w:t>7</w:t>
      </w:r>
    </w:p>
    <w:p w:rsidR="00242E92" w:rsidP="00427683">
      <w:pPr>
        <w:jc w:val="both"/>
        <w:rPr>
          <w:rFonts w:ascii="Times New Roman" w:hAnsi="Times New Roman"/>
        </w:rPr>
      </w:pPr>
      <w:r w:rsidRPr="00A251B6" w:rsidR="00B91FD2">
        <w:rPr>
          <w:rFonts w:ascii="Times New Roman" w:hAnsi="Times New Roman"/>
        </w:rPr>
        <w:t xml:space="preserve">V </w:t>
      </w:r>
      <w:r w:rsidRPr="00A251B6">
        <w:rPr>
          <w:rFonts w:ascii="Times New Roman" w:hAnsi="Times New Roman"/>
        </w:rPr>
        <w:t>príloh</w:t>
      </w:r>
      <w:r w:rsidRPr="00A251B6" w:rsidR="00B91FD2">
        <w:rPr>
          <w:rFonts w:ascii="Times New Roman" w:hAnsi="Times New Roman"/>
        </w:rPr>
        <w:t>e</w:t>
      </w:r>
      <w:r w:rsidRPr="00A251B6">
        <w:rPr>
          <w:rFonts w:ascii="Times New Roman" w:hAnsi="Times New Roman"/>
        </w:rPr>
        <w:t xml:space="preserve"> č.4</w:t>
      </w:r>
      <w:r w:rsidRPr="00A251B6" w:rsidR="00B91FD2">
        <w:rPr>
          <w:rFonts w:ascii="Times New Roman" w:hAnsi="Times New Roman"/>
        </w:rPr>
        <w:t xml:space="preserve">  v zozname anatomicko-terapeuticko-chemických </w:t>
      </w:r>
      <w:r w:rsidRPr="00A251B6" w:rsidR="00427683">
        <w:rPr>
          <w:rFonts w:ascii="Times New Roman" w:hAnsi="Times New Roman"/>
        </w:rPr>
        <w:t xml:space="preserve">(ATC) </w:t>
      </w:r>
      <w:r w:rsidRPr="00A251B6" w:rsidR="00B91FD2">
        <w:rPr>
          <w:rFonts w:ascii="Times New Roman" w:hAnsi="Times New Roman"/>
        </w:rPr>
        <w:t xml:space="preserve">skupín liečiv </w:t>
      </w:r>
      <w:r w:rsidRPr="00A251B6" w:rsidR="00AE62B6">
        <w:rPr>
          <w:rFonts w:ascii="Times New Roman" w:hAnsi="Times New Roman"/>
        </w:rPr>
        <w:t xml:space="preserve">sa </w:t>
      </w:r>
      <w:r w:rsidRPr="00A251B6" w:rsidR="00B91FD2">
        <w:rPr>
          <w:rFonts w:ascii="Times New Roman" w:hAnsi="Times New Roman"/>
        </w:rPr>
        <w:t>dopĺňa</w:t>
      </w:r>
      <w:r w:rsidRPr="00A251B6" w:rsidR="00AE62B6">
        <w:rPr>
          <w:rFonts w:ascii="Times New Roman" w:hAnsi="Times New Roman"/>
        </w:rPr>
        <w:t>jú</w:t>
      </w:r>
      <w:r w:rsidRPr="00A251B6" w:rsidR="00B91FD2">
        <w:rPr>
          <w:rFonts w:ascii="Times New Roman" w:hAnsi="Times New Roman"/>
        </w:rPr>
        <w:t xml:space="preserve"> a vypúšťajú niektoré </w:t>
      </w:r>
      <w:r w:rsidRPr="00A251B6" w:rsidR="00427683">
        <w:rPr>
          <w:rFonts w:ascii="Times New Roman" w:hAnsi="Times New Roman"/>
        </w:rPr>
        <w:t xml:space="preserve">ATC </w:t>
      </w:r>
      <w:r w:rsidRPr="00A251B6" w:rsidR="00B91FD2">
        <w:rPr>
          <w:rFonts w:ascii="Times New Roman" w:hAnsi="Times New Roman"/>
        </w:rPr>
        <w:t>skupiny</w:t>
      </w:r>
      <w:r w:rsidRPr="00A251B6" w:rsidR="00427683">
        <w:rPr>
          <w:rFonts w:ascii="Times New Roman" w:hAnsi="Times New Roman"/>
        </w:rPr>
        <w:t xml:space="preserve"> liečiv, z ktorých najmenej jedno musí byť plne uhrádzané na základe verejného zdravotného poistenia.</w:t>
      </w:r>
    </w:p>
    <w:p w:rsidR="00E72172" w:rsidP="00427683">
      <w:pPr>
        <w:jc w:val="both"/>
        <w:rPr>
          <w:rFonts w:ascii="Times New Roman" w:hAnsi="Times New Roman"/>
        </w:rPr>
      </w:pPr>
    </w:p>
    <w:p w:rsidR="00E72172" w:rsidP="00427683">
      <w:pPr>
        <w:jc w:val="both"/>
        <w:rPr>
          <w:rFonts w:ascii="Times New Roman" w:hAnsi="Times New Roman"/>
        </w:rPr>
      </w:pPr>
    </w:p>
    <w:p w:rsidR="00E72172" w:rsidRPr="00A251B6" w:rsidP="00427683">
      <w:pPr>
        <w:jc w:val="both"/>
        <w:rPr>
          <w:rFonts w:ascii="Times New Roman" w:hAnsi="Times New Roman"/>
        </w:rPr>
      </w:pPr>
    </w:p>
    <w:p w:rsidR="009F0FB9" w:rsidRPr="00A251B6" w:rsidP="009F0FB9">
      <w:pPr>
        <w:rPr>
          <w:rFonts w:ascii="Times New Roman" w:hAnsi="Times New Roman"/>
        </w:rPr>
      </w:pPr>
    </w:p>
    <w:p w:rsidR="009F0FB9" w:rsidRPr="00A251B6" w:rsidP="009F0FB9">
      <w:pPr>
        <w:rPr>
          <w:rFonts w:ascii="Times New Roman" w:hAnsi="Times New Roman"/>
          <w:b/>
          <w:bCs/>
        </w:rPr>
      </w:pPr>
      <w:r w:rsidRPr="00A251B6">
        <w:rPr>
          <w:rFonts w:ascii="Times New Roman" w:hAnsi="Times New Roman"/>
          <w:b/>
          <w:bCs/>
        </w:rPr>
        <w:t xml:space="preserve">K bodu </w:t>
      </w:r>
      <w:r w:rsidR="00AD2ECB">
        <w:rPr>
          <w:rFonts w:ascii="Times New Roman" w:hAnsi="Times New Roman"/>
          <w:b/>
          <w:bCs/>
        </w:rPr>
        <w:t>5</w:t>
      </w:r>
      <w:r w:rsidR="00536E14">
        <w:rPr>
          <w:rFonts w:ascii="Times New Roman" w:hAnsi="Times New Roman"/>
          <w:b/>
          <w:bCs/>
        </w:rPr>
        <w:t>8</w:t>
      </w:r>
    </w:p>
    <w:p w:rsidR="008F3C31" w:rsidP="008F3C31">
      <w:pPr>
        <w:jc w:val="both"/>
        <w:rPr>
          <w:rFonts w:ascii="Times New Roman" w:hAnsi="Times New Roman"/>
        </w:rPr>
      </w:pPr>
      <w:r w:rsidRPr="00A251B6">
        <w:rPr>
          <w:rFonts w:ascii="Times New Roman" w:hAnsi="Times New Roman"/>
        </w:rPr>
        <w:t xml:space="preserve">V </w:t>
      </w:r>
      <w:r w:rsidRPr="00A251B6" w:rsidR="005E2C23">
        <w:rPr>
          <w:rFonts w:ascii="Times New Roman" w:hAnsi="Times New Roman"/>
        </w:rPr>
        <w:t>návrh</w:t>
      </w:r>
      <w:r w:rsidRPr="00A251B6">
        <w:rPr>
          <w:rFonts w:ascii="Times New Roman" w:hAnsi="Times New Roman"/>
        </w:rPr>
        <w:t>u</w:t>
      </w:r>
      <w:r w:rsidRPr="00A251B6" w:rsidR="005E2C23">
        <w:rPr>
          <w:rFonts w:ascii="Times New Roman" w:hAnsi="Times New Roman"/>
        </w:rPr>
        <w:t xml:space="preserve"> novej</w:t>
      </w:r>
      <w:r w:rsidRPr="00A251B6" w:rsidR="0081573F">
        <w:rPr>
          <w:rFonts w:ascii="Times New Roman" w:hAnsi="Times New Roman"/>
        </w:rPr>
        <w:t xml:space="preserve"> príloh</w:t>
      </w:r>
      <w:r w:rsidRPr="00A251B6" w:rsidR="005E2C23">
        <w:rPr>
          <w:rFonts w:ascii="Times New Roman" w:hAnsi="Times New Roman"/>
        </w:rPr>
        <w:t>y</w:t>
      </w:r>
      <w:r w:rsidRPr="00A251B6" w:rsidR="0081573F">
        <w:rPr>
          <w:rFonts w:ascii="Times New Roman" w:hAnsi="Times New Roman"/>
        </w:rPr>
        <w:t xml:space="preserve"> č.</w:t>
      </w:r>
      <w:r w:rsidRPr="00A251B6">
        <w:rPr>
          <w:rFonts w:ascii="Times New Roman" w:hAnsi="Times New Roman"/>
        </w:rPr>
        <w:t xml:space="preserve"> </w:t>
      </w:r>
      <w:r w:rsidRPr="00A251B6" w:rsidR="0081573F">
        <w:rPr>
          <w:rFonts w:ascii="Times New Roman" w:hAnsi="Times New Roman"/>
        </w:rPr>
        <w:t>6</w:t>
      </w:r>
      <w:r w:rsidRPr="00A251B6">
        <w:rPr>
          <w:rFonts w:ascii="Times New Roman" w:hAnsi="Times New Roman"/>
        </w:rPr>
        <w:t xml:space="preserve">  sa zjednodušuje  spôsob určenia lekára, ktorý vypisuje návrh na kúpeľnú starostlivosť a</w:t>
      </w:r>
      <w:r w:rsidRPr="00A251B6" w:rsidR="00E80051">
        <w:rPr>
          <w:rFonts w:ascii="Times New Roman" w:hAnsi="Times New Roman"/>
        </w:rPr>
        <w:t xml:space="preserve"> zjednodušuje sa </w:t>
      </w:r>
      <w:r w:rsidRPr="00A251B6">
        <w:rPr>
          <w:rFonts w:ascii="Times New Roman" w:hAnsi="Times New Roman"/>
        </w:rPr>
        <w:t xml:space="preserve">spôsob splnenia podmienok na vypísanie návrhu na kúpeľnú starostlivosť. </w:t>
      </w:r>
    </w:p>
    <w:p w:rsidR="00677148" w:rsidRPr="00A251B6" w:rsidP="008F3C31">
      <w:pPr>
        <w:jc w:val="both"/>
        <w:rPr>
          <w:rFonts w:ascii="Times New Roman" w:hAnsi="Times New Roman"/>
          <w:b/>
          <w:bCs/>
          <w:i/>
          <w:iCs/>
        </w:rPr>
      </w:pPr>
      <w:r>
        <w:rPr>
          <w:rFonts w:ascii="Times New Roman" w:hAnsi="Times New Roman"/>
        </w:rPr>
        <w:t>Spresňuje sa spôsob vypisovania návrhu na kúpeľnú starostlivosť a stanovuje sa povinné interné vyšetrenie u pacientov nad 70 rokov veku.</w:t>
      </w:r>
    </w:p>
    <w:p w:rsidR="008F3C31" w:rsidRPr="00A251B6" w:rsidP="008F3C31">
      <w:pPr>
        <w:jc w:val="both"/>
        <w:rPr>
          <w:rFonts w:ascii="Times New Roman" w:hAnsi="Times New Roman"/>
        </w:rPr>
      </w:pPr>
      <w:r w:rsidRPr="00A251B6">
        <w:rPr>
          <w:rFonts w:ascii="Times New Roman" w:hAnsi="Times New Roman"/>
        </w:rPr>
        <w:t xml:space="preserve">Zjednodušením sa odstráni zbytočné šikanovanie poistenca, pretože pri nástupe na kúpeľnú starostlivosť ošetrujúci lekár </w:t>
      </w:r>
      <w:r w:rsidRPr="00A251B6" w:rsidR="00E80051">
        <w:rPr>
          <w:rFonts w:ascii="Times New Roman" w:hAnsi="Times New Roman"/>
        </w:rPr>
        <w:t>kúpeľnej starostlivosti</w:t>
      </w:r>
      <w:r w:rsidRPr="00A251B6">
        <w:rPr>
          <w:rFonts w:ascii="Times New Roman" w:hAnsi="Times New Roman"/>
        </w:rPr>
        <w:t xml:space="preserve"> pri vstupnom vyšetrení pacienta zisťuje len </w:t>
      </w:r>
      <w:r w:rsidRPr="00A251B6" w:rsidR="00E80051">
        <w:rPr>
          <w:rFonts w:ascii="Times New Roman" w:hAnsi="Times New Roman"/>
        </w:rPr>
        <w:t xml:space="preserve"> jeho </w:t>
      </w:r>
      <w:r w:rsidRPr="00A251B6">
        <w:rPr>
          <w:rFonts w:ascii="Times New Roman" w:hAnsi="Times New Roman"/>
        </w:rPr>
        <w:t>aktuálny zdravotný stav.</w:t>
      </w:r>
    </w:p>
    <w:p w:rsidR="008F3C31" w:rsidRPr="00A251B6" w:rsidP="008F3C31">
      <w:pPr>
        <w:jc w:val="both"/>
        <w:rPr>
          <w:rFonts w:ascii="Times New Roman" w:hAnsi="Times New Roman"/>
        </w:rPr>
      </w:pPr>
    </w:p>
    <w:p w:rsidR="008F3C31" w:rsidRPr="00A251B6" w:rsidP="008F3C31">
      <w:pPr>
        <w:jc w:val="both"/>
        <w:rPr>
          <w:rFonts w:ascii="Times New Roman" w:hAnsi="Times New Roman"/>
        </w:rPr>
      </w:pPr>
      <w:r w:rsidRPr="00A251B6">
        <w:rPr>
          <w:rFonts w:ascii="Times New Roman" w:hAnsi="Times New Roman"/>
        </w:rPr>
        <w:t>K tabuľkovej časti prílohy č. 6.</w:t>
      </w:r>
    </w:p>
    <w:p w:rsidR="008F3C31" w:rsidRPr="00A251B6" w:rsidP="008F3C31">
      <w:pPr>
        <w:jc w:val="both"/>
        <w:rPr>
          <w:rFonts w:ascii="Times New Roman" w:hAnsi="Times New Roman"/>
        </w:rPr>
      </w:pPr>
      <w:r w:rsidRPr="00A251B6">
        <w:rPr>
          <w:rFonts w:ascii="Times New Roman" w:hAnsi="Times New Roman"/>
        </w:rPr>
        <w:t>Predložený návrh prílohy č. 6 rozširuje oblasť kúpeľnej starostlivosti</w:t>
      </w:r>
      <w:r w:rsidRPr="009C3F88" w:rsidR="009C3F88">
        <w:rPr>
          <w:rFonts w:ascii="Times New Roman" w:hAnsi="Times New Roman"/>
        </w:rPr>
        <w:t xml:space="preserve"> </w:t>
      </w:r>
      <w:r w:rsidRPr="00A251B6" w:rsidR="009C3F88">
        <w:rPr>
          <w:rFonts w:ascii="Times New Roman" w:hAnsi="Times New Roman"/>
        </w:rPr>
        <w:t xml:space="preserve">presunom </w:t>
      </w:r>
      <w:r w:rsidR="009C3F88">
        <w:rPr>
          <w:rFonts w:ascii="Times New Roman" w:hAnsi="Times New Roman"/>
        </w:rPr>
        <w:t xml:space="preserve">niektorých </w:t>
      </w:r>
      <w:r w:rsidRPr="00A251B6" w:rsidR="009C3F88">
        <w:rPr>
          <w:rFonts w:ascii="Times New Roman" w:hAnsi="Times New Roman"/>
        </w:rPr>
        <w:t>diagnóz zo skupiny B</w:t>
      </w:r>
      <w:r w:rsidRPr="00A251B6">
        <w:rPr>
          <w:rFonts w:ascii="Times New Roman" w:hAnsi="Times New Roman"/>
        </w:rPr>
        <w:t xml:space="preserve"> </w:t>
      </w:r>
      <w:r w:rsidR="009C3F88">
        <w:rPr>
          <w:rFonts w:ascii="Times New Roman" w:hAnsi="Times New Roman"/>
        </w:rPr>
        <w:t>do</w:t>
      </w:r>
      <w:r w:rsidRPr="00A251B6">
        <w:rPr>
          <w:rFonts w:ascii="Times New Roman" w:hAnsi="Times New Roman"/>
        </w:rPr>
        <w:t> indikačnej skupin</w:t>
      </w:r>
      <w:r w:rsidR="009C3F88">
        <w:rPr>
          <w:rFonts w:ascii="Times New Roman" w:hAnsi="Times New Roman"/>
        </w:rPr>
        <w:t>y</w:t>
      </w:r>
      <w:r w:rsidRPr="00A251B6">
        <w:rPr>
          <w:rFonts w:ascii="Times New Roman" w:hAnsi="Times New Roman"/>
        </w:rPr>
        <w:t xml:space="preserve"> A, v ktorej je </w:t>
      </w:r>
      <w:r w:rsidR="009C3F88">
        <w:rPr>
          <w:rFonts w:ascii="Times New Roman" w:hAnsi="Times New Roman"/>
        </w:rPr>
        <w:t xml:space="preserve">spoluúčasť pacienta podstatne menšia ako v skupine B </w:t>
      </w:r>
      <w:r w:rsidRPr="00A251B6">
        <w:rPr>
          <w:rFonts w:ascii="Times New Roman" w:hAnsi="Times New Roman"/>
        </w:rPr>
        <w:t>s dôrazom na jej účinnosť a efektívnosť, na kvalitu života a zdravotný stav pacienta s cieľom sprístup</w:t>
      </w:r>
      <w:r w:rsidRPr="00A251B6" w:rsidR="00E80051">
        <w:rPr>
          <w:rFonts w:ascii="Times New Roman" w:hAnsi="Times New Roman"/>
        </w:rPr>
        <w:t>niť</w:t>
      </w:r>
      <w:r w:rsidRPr="00A251B6">
        <w:rPr>
          <w:rFonts w:ascii="Times New Roman" w:hAnsi="Times New Roman"/>
        </w:rPr>
        <w:t xml:space="preserve"> kúpeľn</w:t>
      </w:r>
      <w:r w:rsidRPr="00A251B6" w:rsidR="00E80051">
        <w:rPr>
          <w:rFonts w:ascii="Times New Roman" w:hAnsi="Times New Roman"/>
        </w:rPr>
        <w:t>ú</w:t>
      </w:r>
      <w:r w:rsidRPr="00A251B6">
        <w:rPr>
          <w:rFonts w:ascii="Times New Roman" w:hAnsi="Times New Roman"/>
        </w:rPr>
        <w:t xml:space="preserve"> starostlivos</w:t>
      </w:r>
      <w:r w:rsidRPr="00A251B6" w:rsidR="00E80051">
        <w:rPr>
          <w:rFonts w:ascii="Times New Roman" w:hAnsi="Times New Roman"/>
        </w:rPr>
        <w:t>ť</w:t>
      </w:r>
      <w:r w:rsidRPr="00A251B6">
        <w:rPr>
          <w:rFonts w:ascii="Times New Roman" w:hAnsi="Times New Roman"/>
        </w:rPr>
        <w:t xml:space="preserve"> </w:t>
      </w:r>
      <w:r w:rsidRPr="00A251B6" w:rsidR="00E80051">
        <w:rPr>
          <w:rFonts w:ascii="Times New Roman" w:hAnsi="Times New Roman"/>
        </w:rPr>
        <w:t>poistencom</w:t>
      </w:r>
      <w:r w:rsidRPr="00A251B6">
        <w:rPr>
          <w:rFonts w:ascii="Times New Roman" w:hAnsi="Times New Roman"/>
        </w:rPr>
        <w:t>, ktorí ju najviac potrebujú.</w:t>
      </w:r>
    </w:p>
    <w:p w:rsidR="008F3C31" w:rsidP="008F3C31">
      <w:pPr>
        <w:jc w:val="both"/>
        <w:rPr>
          <w:rFonts w:ascii="Times New Roman" w:hAnsi="Times New Roman"/>
        </w:rPr>
      </w:pPr>
      <w:r w:rsidRPr="00A251B6">
        <w:rPr>
          <w:rFonts w:ascii="Times New Roman" w:hAnsi="Times New Roman"/>
        </w:rPr>
        <w:t xml:space="preserve">Predložený </w:t>
      </w:r>
      <w:r w:rsidRPr="00A251B6" w:rsidR="00E80051">
        <w:rPr>
          <w:rFonts w:ascii="Times New Roman" w:hAnsi="Times New Roman"/>
        </w:rPr>
        <w:t xml:space="preserve">návrh </w:t>
      </w:r>
      <w:r w:rsidRPr="00A251B6">
        <w:rPr>
          <w:rFonts w:ascii="Times New Roman" w:hAnsi="Times New Roman"/>
        </w:rPr>
        <w:t xml:space="preserve">rozširuje oblasť kúpeľnej starostlivosti </w:t>
      </w:r>
      <w:r w:rsidR="009C3F88">
        <w:rPr>
          <w:rFonts w:ascii="Times New Roman" w:hAnsi="Times New Roman"/>
        </w:rPr>
        <w:t xml:space="preserve">rušením indikačnej skupiny C a presunom jej diagnóz do </w:t>
      </w:r>
      <w:r w:rsidRPr="00A251B6">
        <w:rPr>
          <w:rFonts w:ascii="Times New Roman" w:hAnsi="Times New Roman"/>
        </w:rPr>
        <w:t>indikačnej skupin</w:t>
      </w:r>
      <w:r w:rsidR="009C3F88">
        <w:rPr>
          <w:rFonts w:ascii="Times New Roman" w:hAnsi="Times New Roman"/>
        </w:rPr>
        <w:t>y</w:t>
      </w:r>
      <w:r w:rsidRPr="00A251B6">
        <w:rPr>
          <w:rFonts w:ascii="Times New Roman" w:hAnsi="Times New Roman"/>
        </w:rPr>
        <w:t xml:space="preserve"> B, </w:t>
      </w:r>
      <w:r w:rsidR="009C3F88">
        <w:rPr>
          <w:rFonts w:ascii="Times New Roman" w:hAnsi="Times New Roman"/>
        </w:rPr>
        <w:t xml:space="preserve">čo oproti súčasne existujúcej indikačnej skupine C znamená výrazné zvýšenie dostupnosti kúpeľnej starostlivosti. </w:t>
      </w:r>
    </w:p>
    <w:p w:rsidR="001420DF" w:rsidP="008F3C31">
      <w:pPr>
        <w:jc w:val="both"/>
        <w:rPr>
          <w:rFonts w:ascii="Times New Roman" w:hAnsi="Times New Roman"/>
        </w:rPr>
      </w:pPr>
    </w:p>
    <w:p w:rsidR="001420DF" w:rsidP="008F3C31">
      <w:pPr>
        <w:jc w:val="both"/>
        <w:rPr>
          <w:rFonts w:ascii="Times New Roman" w:hAnsi="Times New Roman"/>
        </w:rPr>
      </w:pPr>
    </w:p>
    <w:p w:rsidR="001420DF" w:rsidP="008F3C31">
      <w:pPr>
        <w:jc w:val="both"/>
        <w:rPr>
          <w:rFonts w:ascii="Times New Roman" w:hAnsi="Times New Roman"/>
        </w:rPr>
      </w:pPr>
    </w:p>
    <w:p w:rsidR="001420DF" w:rsidRPr="00A251B6" w:rsidP="008F3C31">
      <w:pPr>
        <w:jc w:val="both"/>
        <w:rPr>
          <w:rFonts w:ascii="Times New Roman" w:hAnsi="Times New Roman"/>
        </w:rPr>
      </w:pPr>
    </w:p>
    <w:p w:rsidR="00577460" w:rsidRPr="00A251B6" w:rsidP="00577460">
      <w:pPr>
        <w:rPr>
          <w:rFonts w:ascii="Times New Roman" w:hAnsi="Times New Roman"/>
        </w:rPr>
      </w:pPr>
    </w:p>
    <w:p w:rsidR="00577460" w:rsidRPr="00A251B6" w:rsidP="00577460">
      <w:pPr>
        <w:rPr>
          <w:rFonts w:ascii="Times New Roman" w:hAnsi="Times New Roman"/>
          <w:b/>
          <w:bCs/>
        </w:rPr>
      </w:pPr>
      <w:r w:rsidRPr="00A251B6">
        <w:rPr>
          <w:rFonts w:ascii="Times New Roman" w:hAnsi="Times New Roman"/>
          <w:b/>
          <w:bCs/>
        </w:rPr>
        <w:t>K Čl. II</w:t>
      </w:r>
    </w:p>
    <w:p w:rsidR="00577460" w:rsidRPr="00A251B6" w:rsidP="00577460">
      <w:pPr>
        <w:rPr>
          <w:rFonts w:ascii="Times New Roman" w:hAnsi="Times New Roman"/>
          <w:b/>
          <w:bCs/>
        </w:rPr>
      </w:pPr>
    </w:p>
    <w:p w:rsidR="00577460" w:rsidRPr="00A251B6" w:rsidP="00577460">
      <w:pPr>
        <w:rPr>
          <w:rFonts w:ascii="Times New Roman" w:hAnsi="Times New Roman"/>
          <w:b/>
          <w:bCs/>
        </w:rPr>
      </w:pPr>
      <w:r w:rsidRPr="00A251B6">
        <w:rPr>
          <w:rFonts w:ascii="Times New Roman" w:hAnsi="Times New Roman"/>
          <w:b/>
          <w:bCs/>
        </w:rPr>
        <w:t>K bodu 1</w:t>
      </w:r>
    </w:p>
    <w:p w:rsidR="00577460" w:rsidP="00577460">
      <w:pPr>
        <w:jc w:val="both"/>
        <w:rPr>
          <w:rFonts w:ascii="Times New Roman" w:hAnsi="Times New Roman"/>
        </w:rPr>
      </w:pPr>
      <w:r w:rsidRPr="00A251B6">
        <w:rPr>
          <w:rFonts w:ascii="Times New Roman" w:hAnsi="Times New Roman"/>
        </w:rPr>
        <w:t>Zvyšujú sa správne poplatky z doterajších 1 000 Sk na 4 000 Sk za podanie žiadosti o zaradenie liečiva a lieku, zdravotníckej pomôcky a dietetickej potraviny do príslušného zoznamu. Zavádzajú sa nové správne poplatky za podanie žiadosti o zmenu zaradenia liečiva a lieku, zdravotníckej pomôcky a dietetickej potraviny do príslušného zoznamu.</w:t>
      </w:r>
    </w:p>
    <w:p w:rsidR="00D13E6D" w:rsidP="00577460">
      <w:pPr>
        <w:jc w:val="both"/>
        <w:rPr>
          <w:rFonts w:ascii="Times New Roman" w:hAnsi="Times New Roman"/>
        </w:rPr>
      </w:pPr>
    </w:p>
    <w:p w:rsidR="00D13E6D" w:rsidRPr="00A251B6" w:rsidP="00577460">
      <w:pPr>
        <w:jc w:val="both"/>
        <w:rPr>
          <w:rFonts w:ascii="Times New Roman" w:hAnsi="Times New Roman"/>
        </w:rPr>
      </w:pPr>
    </w:p>
    <w:p w:rsidR="00577460" w:rsidRPr="00A251B6" w:rsidP="00577460">
      <w:pPr>
        <w:rPr>
          <w:rFonts w:ascii="Times New Roman" w:hAnsi="Times New Roman"/>
        </w:rPr>
      </w:pPr>
    </w:p>
    <w:p w:rsidR="00577460" w:rsidRPr="00A251B6" w:rsidP="00577460">
      <w:pPr>
        <w:rPr>
          <w:rFonts w:ascii="Times New Roman" w:hAnsi="Times New Roman"/>
          <w:b/>
          <w:bCs/>
        </w:rPr>
      </w:pPr>
      <w:r w:rsidRPr="00A251B6">
        <w:rPr>
          <w:rFonts w:ascii="Times New Roman" w:hAnsi="Times New Roman"/>
          <w:b/>
          <w:bCs/>
        </w:rPr>
        <w:t>K Čl. III</w:t>
      </w:r>
    </w:p>
    <w:p w:rsidR="00577460" w:rsidRPr="00A251B6" w:rsidP="00577460">
      <w:pPr>
        <w:rPr>
          <w:rFonts w:ascii="Times New Roman" w:hAnsi="Times New Roman"/>
          <w:b/>
          <w:bCs/>
        </w:rPr>
      </w:pPr>
    </w:p>
    <w:p w:rsidR="00577460" w:rsidRPr="00A251B6" w:rsidP="00577460">
      <w:pPr>
        <w:rPr>
          <w:rFonts w:ascii="Times New Roman" w:hAnsi="Times New Roman"/>
          <w:b/>
          <w:bCs/>
        </w:rPr>
      </w:pPr>
      <w:r w:rsidRPr="00A251B6">
        <w:rPr>
          <w:rFonts w:ascii="Times New Roman" w:hAnsi="Times New Roman"/>
          <w:b/>
          <w:bCs/>
        </w:rPr>
        <w:t>K bodu 1</w:t>
      </w:r>
    </w:p>
    <w:p w:rsidR="00577460" w:rsidRPr="00A251B6" w:rsidP="00577460">
      <w:pPr>
        <w:jc w:val="both"/>
        <w:rPr>
          <w:rFonts w:ascii="Times New Roman" w:hAnsi="Times New Roman"/>
        </w:rPr>
      </w:pPr>
      <w:r w:rsidRPr="00A251B6">
        <w:rPr>
          <w:rFonts w:ascii="Times New Roman" w:hAnsi="Times New Roman"/>
        </w:rPr>
        <w:t>Ustanovuje sa povinnosť držiteľovi povolenia na poskytovanie lekárenskej starostlivosti vyberať doplatok pacienta v ustanovenej výške podľa § 45 zákona č. 577/2004 Z. z. v znení neskorších predpisov.</w:t>
      </w:r>
    </w:p>
    <w:p w:rsidR="00577460" w:rsidRPr="00A251B6" w:rsidP="00577460">
      <w:pPr>
        <w:rPr>
          <w:rFonts w:ascii="Times New Roman" w:hAnsi="Times New Roman"/>
          <w:b/>
          <w:bCs/>
        </w:rPr>
      </w:pPr>
    </w:p>
    <w:p w:rsidR="00577460" w:rsidRPr="00A251B6" w:rsidP="00577460">
      <w:pPr>
        <w:rPr>
          <w:rFonts w:ascii="Times New Roman" w:hAnsi="Times New Roman"/>
          <w:b/>
          <w:bCs/>
        </w:rPr>
      </w:pPr>
      <w:r w:rsidRPr="00A251B6">
        <w:rPr>
          <w:rFonts w:ascii="Times New Roman" w:hAnsi="Times New Roman"/>
          <w:b/>
          <w:bCs/>
        </w:rPr>
        <w:t>K bodu 2</w:t>
      </w:r>
    </w:p>
    <w:p w:rsidR="00577460" w:rsidRPr="00A251B6" w:rsidP="00577460">
      <w:pPr>
        <w:rPr>
          <w:rFonts w:ascii="Times New Roman" w:hAnsi="Times New Roman"/>
        </w:rPr>
      </w:pPr>
      <w:r w:rsidRPr="00A251B6">
        <w:rPr>
          <w:rFonts w:ascii="Times New Roman" w:hAnsi="Times New Roman"/>
        </w:rPr>
        <w:t>V nadväznosti na bod 1 sa určuje sankcia za nedodržanie ustanovenia § 36 ods. 2 písm. y).</w:t>
      </w:r>
    </w:p>
    <w:p w:rsidR="00577460" w:rsidRPr="00A251B6" w:rsidP="00577460">
      <w:pPr>
        <w:rPr>
          <w:rFonts w:ascii="Times New Roman" w:hAnsi="Times New Roman"/>
        </w:rPr>
      </w:pPr>
    </w:p>
    <w:p w:rsidR="00577460" w:rsidRPr="00A251B6" w:rsidP="00577460">
      <w:pPr>
        <w:rPr>
          <w:rFonts w:ascii="Times New Roman" w:hAnsi="Times New Roman"/>
          <w:b/>
          <w:bCs/>
        </w:rPr>
      </w:pPr>
      <w:r w:rsidRPr="00A251B6">
        <w:rPr>
          <w:rFonts w:ascii="Times New Roman" w:hAnsi="Times New Roman"/>
          <w:b/>
          <w:bCs/>
        </w:rPr>
        <w:t>K bodu 3</w:t>
      </w:r>
    </w:p>
    <w:p w:rsidR="00577460" w:rsidP="00577460">
      <w:pPr>
        <w:jc w:val="both"/>
        <w:rPr>
          <w:rFonts w:ascii="Times New Roman" w:hAnsi="Times New Roman"/>
        </w:rPr>
      </w:pPr>
      <w:r w:rsidRPr="00A251B6">
        <w:rPr>
          <w:rFonts w:ascii="Times New Roman" w:hAnsi="Times New Roman"/>
        </w:rPr>
        <w:t>Vypúšťa sa ustanovenie o tom, že lekárnik vydá poistencovi potvrdenie o výdaji náhradného generického lieku a povinnosti informovať o výdaji náhradného generického lieku lekára, ktorý liek predpísal.</w:t>
      </w:r>
    </w:p>
    <w:p w:rsidR="00E72172" w:rsidRPr="00A251B6" w:rsidP="00577460">
      <w:pPr>
        <w:jc w:val="both"/>
        <w:rPr>
          <w:rFonts w:ascii="Times New Roman" w:hAnsi="Times New Roman"/>
        </w:rPr>
      </w:pPr>
    </w:p>
    <w:p w:rsidR="00577460" w:rsidRPr="00A251B6" w:rsidP="00577460">
      <w:pPr>
        <w:rPr>
          <w:rFonts w:ascii="Times New Roman" w:hAnsi="Times New Roman"/>
        </w:rPr>
      </w:pPr>
    </w:p>
    <w:p w:rsidR="00577460" w:rsidRPr="00A251B6" w:rsidP="00577460">
      <w:pPr>
        <w:rPr>
          <w:rFonts w:ascii="Times New Roman" w:hAnsi="Times New Roman"/>
          <w:b/>
          <w:bCs/>
        </w:rPr>
      </w:pPr>
      <w:r w:rsidRPr="00A251B6">
        <w:rPr>
          <w:rFonts w:ascii="Times New Roman" w:hAnsi="Times New Roman"/>
          <w:b/>
          <w:bCs/>
        </w:rPr>
        <w:t>K bodu 4</w:t>
      </w:r>
    </w:p>
    <w:p w:rsidR="00577460" w:rsidP="00577460">
      <w:pPr>
        <w:jc w:val="both"/>
        <w:rPr>
          <w:rFonts w:ascii="Times New Roman" w:hAnsi="Times New Roman"/>
        </w:rPr>
      </w:pPr>
      <w:r w:rsidRPr="00A251B6">
        <w:rPr>
          <w:rFonts w:ascii="Times New Roman" w:hAnsi="Times New Roman"/>
        </w:rPr>
        <w:t>Mení sa splnomocňovacie ustanovenie v tom zmysle, že vyhláškou sa vydá zoznam ATC skupín liečiv, na ktoré sa nebude vzťahovať generická substitúcia.</w:t>
      </w:r>
    </w:p>
    <w:p w:rsidR="007C43BA" w:rsidRPr="00A251B6" w:rsidP="00577460">
      <w:pPr>
        <w:jc w:val="both"/>
        <w:rPr>
          <w:rFonts w:ascii="Times New Roman" w:hAnsi="Times New Roman"/>
        </w:rPr>
      </w:pPr>
    </w:p>
    <w:p w:rsidR="00577460" w:rsidRPr="00A251B6" w:rsidP="00577460">
      <w:pPr>
        <w:ind w:left="360"/>
        <w:jc w:val="both"/>
        <w:rPr>
          <w:rFonts w:ascii="Times New Roman" w:hAnsi="Times New Roman"/>
        </w:rPr>
      </w:pPr>
    </w:p>
    <w:p w:rsidR="00577460" w:rsidRPr="00A251B6" w:rsidP="00577460">
      <w:pPr>
        <w:rPr>
          <w:rFonts w:ascii="Times New Roman" w:hAnsi="Times New Roman"/>
          <w:b/>
          <w:bCs/>
        </w:rPr>
      </w:pPr>
      <w:r w:rsidRPr="00A251B6">
        <w:rPr>
          <w:rFonts w:ascii="Times New Roman" w:hAnsi="Times New Roman"/>
          <w:b/>
          <w:bCs/>
        </w:rPr>
        <w:t>K bodu 5</w:t>
      </w:r>
    </w:p>
    <w:p w:rsidR="00577460" w:rsidRPr="00A251B6" w:rsidP="00577460">
      <w:pPr>
        <w:jc w:val="both"/>
        <w:rPr>
          <w:rFonts w:ascii="Times New Roman" w:hAnsi="Times New Roman"/>
        </w:rPr>
      </w:pPr>
      <w:r w:rsidRPr="00A251B6">
        <w:rPr>
          <w:rFonts w:ascii="Times New Roman" w:hAnsi="Times New Roman"/>
        </w:rPr>
        <w:t>Ustanovuje sa nové znenie § 39 a § 40, pretože sa aktualizuje terminológia a postupy predpisovania liekov uhrádzaných na základe verejného zdravotného poistenia</w:t>
      </w:r>
      <w:r w:rsidRPr="00A251B6">
        <w:rPr>
          <w:rFonts w:ascii="Times New Roman" w:hAnsi="Times New Roman"/>
          <w:bCs/>
          <w:szCs w:val="19"/>
          <w:lang w:eastAsia="cs-CZ"/>
        </w:rPr>
        <w:t>. Navrhujú sa zmeny v ustanoveniach o oprávnení predpisovať lieky, zdravotnícke pomôcky a dietetické potraviny a v náležitostiach lekárskeho predpisu a lekárskeho poukazu v nadväznosti na ostatné pripravované novely zdravotníckych zákonov.</w:t>
      </w:r>
    </w:p>
    <w:p w:rsidR="00577460" w:rsidRPr="00A251B6" w:rsidP="00577460">
      <w:pPr>
        <w:ind w:left="360" w:hanging="360"/>
        <w:rPr>
          <w:rFonts w:ascii="Times New Roman" w:hAnsi="Times New Roman"/>
        </w:rPr>
      </w:pPr>
    </w:p>
    <w:p w:rsidR="00577460" w:rsidRPr="00A251B6" w:rsidP="00577460">
      <w:pPr>
        <w:ind w:left="360" w:hanging="360"/>
        <w:rPr>
          <w:rFonts w:ascii="Times New Roman" w:hAnsi="Times New Roman"/>
          <w:b/>
        </w:rPr>
      </w:pPr>
      <w:r w:rsidRPr="00A251B6">
        <w:rPr>
          <w:rFonts w:ascii="Times New Roman" w:hAnsi="Times New Roman"/>
          <w:b/>
        </w:rPr>
        <w:t>K bodu 6</w:t>
      </w:r>
    </w:p>
    <w:p w:rsidR="00577460" w:rsidRPr="00A251B6" w:rsidP="00577460">
      <w:pPr>
        <w:ind w:left="360" w:hanging="360"/>
        <w:rPr>
          <w:rFonts w:ascii="Times New Roman" w:hAnsi="Times New Roman"/>
        </w:rPr>
      </w:pPr>
      <w:r w:rsidRPr="00A251B6">
        <w:rPr>
          <w:rFonts w:ascii="Times New Roman" w:hAnsi="Times New Roman"/>
        </w:rPr>
        <w:t>Spresňuje sa ustanovenie § 46 odseku 2 v súlade so smernicou 89/105/EHS.</w:t>
      </w:r>
    </w:p>
    <w:p w:rsidR="009F0FB9" w:rsidRPr="00A251B6" w:rsidP="008F3C31">
      <w:pPr>
        <w:jc w:val="both"/>
        <w:rPr>
          <w:rFonts w:ascii="Times New Roman" w:hAnsi="Times New Roman"/>
        </w:rPr>
      </w:pPr>
    </w:p>
    <w:p w:rsidR="009F0FB9" w:rsidRPr="00A251B6" w:rsidP="009F0FB9">
      <w:pPr>
        <w:rPr>
          <w:rFonts w:ascii="Times New Roman" w:hAnsi="Times New Roman"/>
        </w:rPr>
      </w:pPr>
    </w:p>
    <w:p w:rsidR="005E2C23" w:rsidRPr="00A251B6" w:rsidP="009F0FB9">
      <w:pPr>
        <w:ind w:left="360" w:hanging="360"/>
        <w:rPr>
          <w:rFonts w:ascii="Times New Roman" w:hAnsi="Times New Roman"/>
          <w:b/>
          <w:bCs/>
        </w:rPr>
      </w:pPr>
      <w:r w:rsidRPr="00A251B6">
        <w:rPr>
          <w:rFonts w:ascii="Times New Roman" w:hAnsi="Times New Roman"/>
          <w:b/>
          <w:bCs/>
        </w:rPr>
        <w:t>K čl. IV</w:t>
      </w:r>
    </w:p>
    <w:p w:rsidR="005E2C23" w:rsidRPr="00A251B6" w:rsidP="009F0FB9">
      <w:pPr>
        <w:ind w:left="360" w:hanging="360"/>
        <w:rPr>
          <w:rFonts w:ascii="Times New Roman" w:hAnsi="Times New Roman"/>
        </w:rPr>
      </w:pPr>
      <w:r w:rsidR="00DA667A">
        <w:rPr>
          <w:rFonts w:ascii="Times New Roman" w:hAnsi="Times New Roman"/>
        </w:rPr>
        <w:t xml:space="preserve">Navrhuje sa dátum </w:t>
      </w:r>
      <w:r w:rsidR="00B67CCD">
        <w:rPr>
          <w:rFonts w:ascii="Times New Roman" w:hAnsi="Times New Roman"/>
        </w:rPr>
        <w:t xml:space="preserve"> nadob</w:t>
      </w:r>
      <w:r w:rsidR="00DA667A">
        <w:rPr>
          <w:rFonts w:ascii="Times New Roman" w:hAnsi="Times New Roman"/>
        </w:rPr>
        <w:t>udnutia</w:t>
      </w:r>
      <w:r w:rsidR="00B67CCD">
        <w:rPr>
          <w:rFonts w:ascii="Times New Roman" w:hAnsi="Times New Roman"/>
        </w:rPr>
        <w:t xml:space="preserve"> účinnos</w:t>
      </w:r>
      <w:r w:rsidR="00DA667A">
        <w:rPr>
          <w:rFonts w:ascii="Times New Roman" w:hAnsi="Times New Roman"/>
        </w:rPr>
        <w:t>ti zákona.</w:t>
      </w:r>
    </w:p>
    <w:p w:rsidR="00F73EDE" w:rsidP="00B67CCD">
      <w:pPr>
        <w:tabs>
          <w:tab w:val="left" w:pos="4995"/>
        </w:tabs>
        <w:rPr>
          <w:rFonts w:ascii="Times New Roman" w:hAnsi="Times New Roman"/>
        </w:rPr>
      </w:pPr>
    </w:p>
    <w:p w:rsidR="00F73EDE" w:rsidP="00B67CCD">
      <w:pPr>
        <w:tabs>
          <w:tab w:val="left" w:pos="4995"/>
        </w:tabs>
        <w:rPr>
          <w:rFonts w:ascii="Times New Roman" w:hAnsi="Times New Roman"/>
        </w:rPr>
      </w:pPr>
    </w:p>
    <w:p w:rsidR="00F73EDE" w:rsidP="00B67CCD">
      <w:pPr>
        <w:tabs>
          <w:tab w:val="left" w:pos="4995"/>
        </w:tabs>
        <w:rPr>
          <w:rFonts w:ascii="Times New Roman" w:hAnsi="Times New Roman"/>
        </w:rPr>
      </w:pPr>
    </w:p>
    <w:p w:rsidR="00F73EDE" w:rsidP="00B67CCD">
      <w:pPr>
        <w:tabs>
          <w:tab w:val="left" w:pos="4995"/>
        </w:tabs>
        <w:rPr>
          <w:rFonts w:ascii="Times New Roman" w:hAnsi="Times New Roman"/>
        </w:rPr>
      </w:pPr>
    </w:p>
    <w:p w:rsidR="00F73EDE" w:rsidP="00B67CCD">
      <w:pPr>
        <w:tabs>
          <w:tab w:val="left" w:pos="4995"/>
        </w:tabs>
        <w:rPr>
          <w:rFonts w:ascii="Times New Roman" w:hAnsi="Times New Roman"/>
        </w:rPr>
      </w:pPr>
    </w:p>
    <w:p w:rsidR="00F73EDE" w:rsidP="00B67CCD">
      <w:pPr>
        <w:tabs>
          <w:tab w:val="left" w:pos="4995"/>
        </w:tabs>
        <w:rPr>
          <w:rFonts w:ascii="Times New Roman" w:hAnsi="Times New Roman"/>
        </w:rPr>
      </w:pPr>
    </w:p>
    <w:p w:rsidR="00F73EDE" w:rsidP="00B67CCD">
      <w:pPr>
        <w:tabs>
          <w:tab w:val="left" w:pos="4995"/>
        </w:tabs>
        <w:rPr>
          <w:rFonts w:ascii="Times New Roman" w:hAnsi="Times New Roman"/>
        </w:rPr>
      </w:pPr>
    </w:p>
    <w:p w:rsidR="00F73EDE" w:rsidP="00B67CCD">
      <w:pPr>
        <w:tabs>
          <w:tab w:val="left" w:pos="4995"/>
        </w:tabs>
        <w:rPr>
          <w:rFonts w:ascii="Times New Roman" w:hAnsi="Times New Roman"/>
        </w:rPr>
      </w:pPr>
    </w:p>
    <w:p w:rsidR="00F73EDE" w:rsidP="00B67CCD">
      <w:pPr>
        <w:tabs>
          <w:tab w:val="left" w:pos="4995"/>
        </w:tabs>
        <w:rPr>
          <w:rFonts w:ascii="Times New Roman" w:hAnsi="Times New Roman"/>
        </w:rPr>
      </w:pPr>
    </w:p>
    <w:p w:rsidR="00F73EDE" w:rsidP="00B67CCD">
      <w:pPr>
        <w:tabs>
          <w:tab w:val="left" w:pos="4995"/>
        </w:tabs>
        <w:rPr>
          <w:rFonts w:ascii="Times New Roman" w:hAnsi="Times New Roman"/>
        </w:rPr>
      </w:pPr>
      <w:r>
        <w:rPr>
          <w:rFonts w:ascii="Times New Roman" w:hAnsi="Times New Roman"/>
        </w:rPr>
        <w:t>V Bratislave 19. septembra 2007</w:t>
      </w:r>
    </w:p>
    <w:p w:rsidR="00F73EDE" w:rsidP="00B67CCD">
      <w:pPr>
        <w:tabs>
          <w:tab w:val="left" w:pos="4995"/>
        </w:tabs>
        <w:rPr>
          <w:rFonts w:ascii="Times New Roman" w:hAnsi="Times New Roman"/>
        </w:rPr>
      </w:pPr>
    </w:p>
    <w:p w:rsidR="00F73EDE" w:rsidP="00B67CCD">
      <w:pPr>
        <w:tabs>
          <w:tab w:val="left" w:pos="4995"/>
        </w:tabs>
        <w:rPr>
          <w:rFonts w:ascii="Times New Roman" w:hAnsi="Times New Roman"/>
        </w:rPr>
      </w:pPr>
    </w:p>
    <w:p w:rsidR="00F73EDE" w:rsidP="00B67CCD">
      <w:pPr>
        <w:tabs>
          <w:tab w:val="left" w:pos="4995"/>
        </w:tabs>
        <w:rPr>
          <w:rFonts w:ascii="Times New Roman" w:hAnsi="Times New Roman"/>
        </w:rPr>
      </w:pPr>
    </w:p>
    <w:p w:rsidR="00F73EDE" w:rsidP="00B67CCD">
      <w:pPr>
        <w:tabs>
          <w:tab w:val="left" w:pos="4995"/>
        </w:tabs>
        <w:rPr>
          <w:rFonts w:ascii="Times New Roman" w:hAnsi="Times New Roman"/>
          <w:b/>
          <w:bCs/>
        </w:rPr>
      </w:pPr>
      <w:r>
        <w:rPr>
          <w:rFonts w:ascii="Times New Roman" w:hAnsi="Times New Roman"/>
          <w:b/>
          <w:bCs/>
        </w:rPr>
        <w:t xml:space="preserve">                                                                       Robert   F i c o</w:t>
      </w:r>
      <w:r w:rsidR="00203EE1">
        <w:rPr>
          <w:rFonts w:ascii="Times New Roman" w:hAnsi="Times New Roman"/>
          <w:b/>
          <w:bCs/>
        </w:rPr>
        <w:t>, v. r.</w:t>
      </w:r>
    </w:p>
    <w:p w:rsidR="00F73EDE" w:rsidP="00B67CCD">
      <w:pPr>
        <w:tabs>
          <w:tab w:val="left" w:pos="4995"/>
        </w:tabs>
        <w:rPr>
          <w:rFonts w:ascii="Times New Roman" w:hAnsi="Times New Roman"/>
        </w:rPr>
      </w:pPr>
      <w:r>
        <w:rPr>
          <w:rFonts w:ascii="Times New Roman" w:hAnsi="Times New Roman"/>
        </w:rPr>
        <w:t xml:space="preserve">                                                                       predseda vlády</w:t>
      </w:r>
    </w:p>
    <w:p w:rsidR="00F73EDE" w:rsidP="00B67CCD">
      <w:pPr>
        <w:tabs>
          <w:tab w:val="left" w:pos="4995"/>
        </w:tabs>
        <w:rPr>
          <w:rFonts w:ascii="Times New Roman" w:hAnsi="Times New Roman"/>
        </w:rPr>
      </w:pPr>
      <w:r>
        <w:rPr>
          <w:rFonts w:ascii="Times New Roman" w:hAnsi="Times New Roman"/>
        </w:rPr>
        <w:t xml:space="preserve">                                                                       Slovenskej republiky</w:t>
      </w:r>
    </w:p>
    <w:p w:rsidR="00F73EDE" w:rsidP="00B67CCD">
      <w:pPr>
        <w:tabs>
          <w:tab w:val="left" w:pos="4995"/>
        </w:tabs>
        <w:rPr>
          <w:rFonts w:ascii="Times New Roman" w:hAnsi="Times New Roman"/>
        </w:rPr>
      </w:pPr>
    </w:p>
    <w:p w:rsidR="00F73EDE" w:rsidP="00B67CCD">
      <w:pPr>
        <w:tabs>
          <w:tab w:val="left" w:pos="4995"/>
        </w:tabs>
        <w:rPr>
          <w:rFonts w:ascii="Times New Roman" w:hAnsi="Times New Roman"/>
        </w:rPr>
      </w:pPr>
    </w:p>
    <w:p w:rsidR="00F73EDE" w:rsidP="00B67CCD">
      <w:pPr>
        <w:tabs>
          <w:tab w:val="left" w:pos="4995"/>
        </w:tabs>
        <w:rPr>
          <w:rFonts w:ascii="Times New Roman" w:hAnsi="Times New Roman"/>
        </w:rPr>
      </w:pPr>
    </w:p>
    <w:p w:rsidR="00F73EDE" w:rsidRPr="00F73EDE" w:rsidP="00B67CCD">
      <w:pPr>
        <w:tabs>
          <w:tab w:val="left" w:pos="4995"/>
        </w:tabs>
        <w:rPr>
          <w:rFonts w:ascii="Times New Roman" w:hAnsi="Times New Roman"/>
          <w:b/>
          <w:bCs/>
        </w:rPr>
      </w:pPr>
      <w:r>
        <w:rPr>
          <w:rFonts w:ascii="Times New Roman" w:hAnsi="Times New Roman"/>
          <w:b/>
          <w:bCs/>
        </w:rPr>
        <w:t xml:space="preserve">                                                                       </w:t>
      </w:r>
      <w:r w:rsidRPr="00F73EDE">
        <w:rPr>
          <w:rFonts w:ascii="Times New Roman" w:hAnsi="Times New Roman"/>
          <w:b/>
          <w:bCs/>
        </w:rPr>
        <w:t xml:space="preserve">Ivan </w:t>
      </w:r>
      <w:r w:rsidR="00E52DDE">
        <w:rPr>
          <w:rFonts w:ascii="Times New Roman" w:hAnsi="Times New Roman"/>
          <w:b/>
          <w:bCs/>
        </w:rPr>
        <w:t xml:space="preserve"> V </w:t>
      </w:r>
      <w:r w:rsidRPr="00F73EDE">
        <w:rPr>
          <w:rFonts w:ascii="Times New Roman" w:hAnsi="Times New Roman"/>
          <w:b/>
          <w:bCs/>
        </w:rPr>
        <w:t>a</w:t>
      </w:r>
      <w:r w:rsidR="00E52DDE">
        <w:rPr>
          <w:rFonts w:ascii="Times New Roman" w:hAnsi="Times New Roman"/>
          <w:b/>
          <w:bCs/>
        </w:rPr>
        <w:t> </w:t>
      </w:r>
      <w:r w:rsidRPr="00F73EDE">
        <w:rPr>
          <w:rFonts w:ascii="Times New Roman" w:hAnsi="Times New Roman"/>
          <w:b/>
          <w:bCs/>
        </w:rPr>
        <w:t>l</w:t>
      </w:r>
      <w:r w:rsidR="00E52DDE">
        <w:rPr>
          <w:rFonts w:ascii="Times New Roman" w:hAnsi="Times New Roman"/>
          <w:b/>
          <w:bCs/>
        </w:rPr>
        <w:t xml:space="preserve"> </w:t>
      </w:r>
      <w:r w:rsidRPr="00F73EDE">
        <w:rPr>
          <w:rFonts w:ascii="Times New Roman" w:hAnsi="Times New Roman"/>
          <w:b/>
          <w:bCs/>
        </w:rPr>
        <w:t>e</w:t>
      </w:r>
      <w:r w:rsidR="00E52DDE">
        <w:rPr>
          <w:rFonts w:ascii="Times New Roman" w:hAnsi="Times New Roman"/>
          <w:b/>
          <w:bCs/>
        </w:rPr>
        <w:t xml:space="preserve"> </w:t>
      </w:r>
      <w:r w:rsidRPr="00F73EDE">
        <w:rPr>
          <w:rFonts w:ascii="Times New Roman" w:hAnsi="Times New Roman"/>
          <w:b/>
          <w:bCs/>
        </w:rPr>
        <w:t>n</w:t>
      </w:r>
      <w:r w:rsidR="00E52DDE">
        <w:rPr>
          <w:rFonts w:ascii="Times New Roman" w:hAnsi="Times New Roman"/>
          <w:b/>
          <w:bCs/>
        </w:rPr>
        <w:t xml:space="preserve"> </w:t>
      </w:r>
      <w:r w:rsidRPr="00F73EDE">
        <w:rPr>
          <w:rFonts w:ascii="Times New Roman" w:hAnsi="Times New Roman"/>
          <w:b/>
          <w:bCs/>
        </w:rPr>
        <w:t>t</w:t>
      </w:r>
      <w:r w:rsidR="00E52DDE">
        <w:rPr>
          <w:rFonts w:ascii="Times New Roman" w:hAnsi="Times New Roman"/>
          <w:b/>
          <w:bCs/>
        </w:rPr>
        <w:t xml:space="preserve"> </w:t>
      </w:r>
      <w:r w:rsidRPr="00F73EDE">
        <w:rPr>
          <w:rFonts w:ascii="Times New Roman" w:hAnsi="Times New Roman"/>
          <w:b/>
          <w:bCs/>
        </w:rPr>
        <w:t>o</w:t>
      </w:r>
      <w:r w:rsidR="00E52DDE">
        <w:rPr>
          <w:rFonts w:ascii="Times New Roman" w:hAnsi="Times New Roman"/>
          <w:b/>
          <w:bCs/>
        </w:rPr>
        <w:t> </w:t>
      </w:r>
      <w:r w:rsidRPr="00F73EDE">
        <w:rPr>
          <w:rFonts w:ascii="Times New Roman" w:hAnsi="Times New Roman"/>
          <w:b/>
          <w:bCs/>
        </w:rPr>
        <w:t>v</w:t>
      </w:r>
      <w:r w:rsidR="00E52DDE">
        <w:rPr>
          <w:rFonts w:ascii="Times New Roman" w:hAnsi="Times New Roman"/>
          <w:b/>
          <w:bCs/>
        </w:rPr>
        <w:t> </w:t>
      </w:r>
      <w:r w:rsidRPr="00F73EDE">
        <w:rPr>
          <w:rFonts w:ascii="Times New Roman" w:hAnsi="Times New Roman"/>
          <w:b/>
          <w:bCs/>
        </w:rPr>
        <w:t>i</w:t>
      </w:r>
      <w:r w:rsidR="00203EE1">
        <w:rPr>
          <w:rFonts w:ascii="Times New Roman" w:hAnsi="Times New Roman"/>
          <w:b/>
          <w:bCs/>
        </w:rPr>
        <w:t> </w:t>
      </w:r>
      <w:r w:rsidRPr="00F73EDE">
        <w:rPr>
          <w:rFonts w:ascii="Times New Roman" w:hAnsi="Times New Roman"/>
          <w:b/>
          <w:bCs/>
        </w:rPr>
        <w:t>č</w:t>
      </w:r>
      <w:r w:rsidR="00203EE1">
        <w:rPr>
          <w:rFonts w:ascii="Times New Roman" w:hAnsi="Times New Roman"/>
          <w:b/>
          <w:bCs/>
        </w:rPr>
        <w:t>, v. r.</w:t>
      </w:r>
    </w:p>
    <w:p w:rsidR="00F73EDE" w:rsidP="00B67CCD">
      <w:pPr>
        <w:tabs>
          <w:tab w:val="left" w:pos="4995"/>
        </w:tabs>
        <w:rPr>
          <w:rFonts w:ascii="Times New Roman" w:hAnsi="Times New Roman"/>
        </w:rPr>
      </w:pPr>
      <w:r>
        <w:rPr>
          <w:rFonts w:ascii="Times New Roman" w:hAnsi="Times New Roman"/>
        </w:rPr>
        <w:t xml:space="preserve">                                                                       minister zdravotníctva</w:t>
      </w:r>
    </w:p>
    <w:p w:rsidR="009F0FB9" w:rsidRPr="00A251B6" w:rsidP="00B67CCD">
      <w:pPr>
        <w:tabs>
          <w:tab w:val="left" w:pos="4995"/>
        </w:tabs>
        <w:rPr>
          <w:rFonts w:ascii="Times New Roman" w:hAnsi="Times New Roman"/>
        </w:rPr>
      </w:pPr>
      <w:r w:rsidR="00F73EDE">
        <w:rPr>
          <w:rFonts w:ascii="Times New Roman" w:hAnsi="Times New Roman"/>
        </w:rPr>
        <w:t xml:space="preserve">                                                                       Slovenskej republiky</w:t>
      </w:r>
      <w:r w:rsidR="00B67CCD">
        <w:rPr>
          <w:rFonts w:ascii="Times New Roman" w:hAnsi="Times New Roman"/>
        </w:rPr>
        <w:tab/>
      </w:r>
    </w:p>
    <w:sectPr w:rsidSect="00E02C6B">
      <w:footerReference w:type="default" r:id="rId4"/>
      <w:pgSz w:w="11906" w:h="16838"/>
      <w:pgMar w:top="1417" w:right="1417" w:bottom="1417" w:left="1417" w:header="708" w:footer="708"/>
      <w:lnNumType w:distance="0"/>
      <w:pgNumType w:start="1"/>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 w:name="Arial Unicode MS">
    <w:altName w:val="Times New Roman"/>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06C" w:rsidRPr="008F30F3" w:rsidP="00092CC0">
    <w:pPr>
      <w:pStyle w:val="Footer"/>
      <w:framePr w:vAnchor="text" w:hAnchor="margin" w:xAlign="center"/>
      <w:rPr>
        <w:rStyle w:val="PageNumber"/>
        <w:rFonts w:ascii="Times New Roman" w:hAnsi="Times New Roman"/>
        <w:sz w:val="20"/>
        <w:szCs w:val="20"/>
      </w:rPr>
    </w:pPr>
    <w:r w:rsidRPr="008F30F3">
      <w:rPr>
        <w:rStyle w:val="PageNumber"/>
        <w:rFonts w:ascii="Times New Roman" w:hAnsi="Times New Roman"/>
        <w:sz w:val="20"/>
        <w:szCs w:val="20"/>
      </w:rPr>
      <w:fldChar w:fldCharType="begin"/>
    </w:r>
    <w:r w:rsidRPr="008F30F3">
      <w:rPr>
        <w:rStyle w:val="PageNumber"/>
        <w:rFonts w:ascii="Times New Roman" w:hAnsi="Times New Roman"/>
        <w:sz w:val="20"/>
        <w:szCs w:val="20"/>
      </w:rPr>
      <w:instrText xml:space="preserve">PAGE  </w:instrText>
    </w:r>
    <w:r w:rsidRPr="008F30F3">
      <w:rPr>
        <w:rStyle w:val="PageNumber"/>
        <w:rFonts w:ascii="Times New Roman" w:hAnsi="Times New Roman"/>
        <w:sz w:val="20"/>
        <w:szCs w:val="20"/>
      </w:rPr>
      <w:fldChar w:fldCharType="separate"/>
    </w:r>
    <w:r w:rsidR="00203EE1">
      <w:rPr>
        <w:rStyle w:val="PageNumber"/>
        <w:rFonts w:ascii="Times New Roman" w:hAnsi="Times New Roman"/>
        <w:noProof/>
        <w:sz w:val="20"/>
        <w:szCs w:val="20"/>
      </w:rPr>
      <w:t>13</w:t>
    </w:r>
    <w:r w:rsidRPr="008F30F3">
      <w:rPr>
        <w:rStyle w:val="PageNumber"/>
        <w:rFonts w:ascii="Times New Roman" w:hAnsi="Times New Roman"/>
        <w:sz w:val="20"/>
        <w:szCs w:val="20"/>
      </w:rPr>
      <w:fldChar w:fldCharType="end"/>
    </w:r>
  </w:p>
  <w:p w:rsidR="0022006C">
    <w:pPr>
      <w:pStyle w:val="Footer"/>
      <w:rPr>
        <w:rFonts w:ascii="Times New Roman" w:hAnsi="Times New Roman"/>
      </w:rPr>
    </w:pPr>
    <w:r>
      <w:rPr>
        <w:rFonts w:ascii="Times New Roman" w:hAnsi="Times New Roman"/>
      </w:rPr>
      <w:tab/>
      <w:tab/>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45B3F"/>
    <w:multiLevelType w:val="hybridMultilevel"/>
    <w:tmpl w:val="84A4E620"/>
    <w:lvl w:ilvl="0">
      <w:start w:val="1"/>
      <w:numFmt w:val="decimal"/>
      <w:lvlText w:val="%1."/>
      <w:lvlJc w:val="left"/>
      <w:pPr>
        <w:tabs>
          <w:tab w:val="num" w:pos="540"/>
        </w:tabs>
        <w:ind w:left="540" w:hanging="360"/>
      </w:pPr>
      <w:rPr>
        <w:rFonts w:cs="Times New Roman" w:hint="default"/>
        <w:cs w:val="0"/>
      </w:rPr>
    </w:lvl>
    <w:lvl w:ilvl="1">
      <w:start w:val="1"/>
      <w:numFmt w:val="lowerLetter"/>
      <w:lvlText w:val="%2."/>
      <w:lvlJc w:val="left"/>
      <w:pPr>
        <w:tabs>
          <w:tab w:val="num" w:pos="1260"/>
        </w:tabs>
        <w:ind w:left="1260" w:hanging="360"/>
      </w:pPr>
      <w:rPr>
        <w:rFonts w:cs="Times New Roman"/>
        <w:cs w:val="0"/>
      </w:rPr>
    </w:lvl>
    <w:lvl w:ilvl="2">
      <w:start w:val="1"/>
      <w:numFmt w:val="lowerRoman"/>
      <w:lvlText w:val="%3."/>
      <w:lvlJc w:val="right"/>
      <w:pPr>
        <w:tabs>
          <w:tab w:val="num" w:pos="1980"/>
        </w:tabs>
        <w:ind w:left="1980" w:hanging="180"/>
      </w:pPr>
      <w:rPr>
        <w:rFonts w:cs="Times New Roman"/>
        <w:cs w:val="0"/>
      </w:rPr>
    </w:lvl>
    <w:lvl w:ilvl="3">
      <w:start w:val="1"/>
      <w:numFmt w:val="decimal"/>
      <w:lvlText w:val="%4."/>
      <w:lvlJc w:val="left"/>
      <w:pPr>
        <w:tabs>
          <w:tab w:val="num" w:pos="2700"/>
        </w:tabs>
        <w:ind w:left="2700" w:hanging="360"/>
      </w:pPr>
      <w:rPr>
        <w:rFonts w:cs="Times New Roman"/>
        <w:cs w:val="0"/>
      </w:rPr>
    </w:lvl>
    <w:lvl w:ilvl="4">
      <w:start w:val="1"/>
      <w:numFmt w:val="lowerLetter"/>
      <w:lvlText w:val="%5."/>
      <w:lvlJc w:val="left"/>
      <w:pPr>
        <w:tabs>
          <w:tab w:val="num" w:pos="3420"/>
        </w:tabs>
        <w:ind w:left="3420" w:hanging="360"/>
      </w:pPr>
      <w:rPr>
        <w:rFonts w:cs="Times New Roman"/>
        <w:cs w:val="0"/>
      </w:rPr>
    </w:lvl>
    <w:lvl w:ilvl="5">
      <w:start w:val="1"/>
      <w:numFmt w:val="lowerRoman"/>
      <w:lvlText w:val="%6."/>
      <w:lvlJc w:val="right"/>
      <w:pPr>
        <w:tabs>
          <w:tab w:val="num" w:pos="4140"/>
        </w:tabs>
        <w:ind w:left="4140" w:hanging="180"/>
      </w:pPr>
      <w:rPr>
        <w:rFonts w:cs="Times New Roman"/>
        <w:cs w:val="0"/>
      </w:rPr>
    </w:lvl>
    <w:lvl w:ilvl="6">
      <w:start w:val="1"/>
      <w:numFmt w:val="decimal"/>
      <w:lvlText w:val="%7."/>
      <w:lvlJc w:val="left"/>
      <w:pPr>
        <w:tabs>
          <w:tab w:val="num" w:pos="4860"/>
        </w:tabs>
        <w:ind w:left="4860" w:hanging="360"/>
      </w:pPr>
      <w:rPr>
        <w:rFonts w:cs="Times New Roman"/>
        <w:cs w:val="0"/>
      </w:rPr>
    </w:lvl>
    <w:lvl w:ilvl="7">
      <w:start w:val="1"/>
      <w:numFmt w:val="lowerLetter"/>
      <w:lvlText w:val="%8."/>
      <w:lvlJc w:val="left"/>
      <w:pPr>
        <w:tabs>
          <w:tab w:val="num" w:pos="5580"/>
        </w:tabs>
        <w:ind w:left="5580" w:hanging="360"/>
      </w:pPr>
      <w:rPr>
        <w:rFonts w:cs="Times New Roman"/>
        <w:cs w:val="0"/>
      </w:rPr>
    </w:lvl>
    <w:lvl w:ilvl="8">
      <w:start w:val="1"/>
      <w:numFmt w:val="lowerRoman"/>
      <w:lvlText w:val="%9."/>
      <w:lvlJc w:val="right"/>
      <w:pPr>
        <w:tabs>
          <w:tab w:val="num" w:pos="6300"/>
        </w:tabs>
        <w:ind w:left="6300" w:hanging="180"/>
      </w:pPr>
      <w:rPr>
        <w:rFonts w:cs="Times New Roman"/>
        <w:cs w:val="0"/>
      </w:rPr>
    </w:lvl>
  </w:abstractNum>
  <w:abstractNum w:abstractNumId="1">
    <w:nsid w:val="4342037A"/>
    <w:multiLevelType w:val="hybridMultilevel"/>
    <w:tmpl w:val="8CA64998"/>
    <w:lvl w:ilvl="0">
      <w:start w:val="3"/>
      <w:numFmt w:val="decimal"/>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
    <w:nsid w:val="461965B1"/>
    <w:multiLevelType w:val="hybridMultilevel"/>
    <w:tmpl w:val="FEA004CC"/>
    <w:lvl w:ilvl="0">
      <w:start w:val="1"/>
      <w:numFmt w:val="decimal"/>
      <w:lvlText w:val="%1."/>
      <w:lvlJc w:val="left"/>
      <w:pPr>
        <w:tabs>
          <w:tab w:val="num" w:pos="360"/>
        </w:tabs>
        <w:ind w:left="340" w:hanging="340"/>
      </w:pPr>
      <w:rPr>
        <w:rFonts w:cs="Times New Roman"/>
        <w:b/>
        <w:i w:val="0"/>
        <w:cs w:val="0"/>
      </w:rPr>
    </w:lvl>
    <w:lvl w:ilvl="1">
      <w:start w:val="1"/>
      <w:numFmt w:val="decimal"/>
      <w:lvlText w:val="%2."/>
      <w:lvlJc w:val="left"/>
      <w:pPr>
        <w:tabs>
          <w:tab w:val="num" w:pos="1440"/>
        </w:tabs>
        <w:ind w:left="1440" w:hanging="360"/>
      </w:pPr>
      <w:rPr>
        <w:rFonts w:cs="Times New Roman"/>
        <w:cs w:val="0"/>
      </w:rPr>
    </w:lvl>
    <w:lvl w:ilvl="2">
      <w:start w:val="1"/>
      <w:numFmt w:val="decimal"/>
      <w:lvlText w:val="%3."/>
      <w:lvlJc w:val="left"/>
      <w:pPr>
        <w:tabs>
          <w:tab w:val="num" w:pos="2160"/>
        </w:tabs>
        <w:ind w:left="2160" w:hanging="36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decimal"/>
      <w:lvlText w:val="%5."/>
      <w:lvlJc w:val="left"/>
      <w:pPr>
        <w:tabs>
          <w:tab w:val="num" w:pos="3600"/>
        </w:tabs>
        <w:ind w:left="3600" w:hanging="360"/>
      </w:pPr>
      <w:rPr>
        <w:rFonts w:cs="Times New Roman"/>
        <w:cs w:val="0"/>
      </w:rPr>
    </w:lvl>
    <w:lvl w:ilvl="5">
      <w:start w:val="1"/>
      <w:numFmt w:val="decimal"/>
      <w:lvlText w:val="%6."/>
      <w:lvlJc w:val="left"/>
      <w:pPr>
        <w:tabs>
          <w:tab w:val="num" w:pos="4320"/>
        </w:tabs>
        <w:ind w:left="4320" w:hanging="36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decimal"/>
      <w:lvlText w:val="%8."/>
      <w:lvlJc w:val="left"/>
      <w:pPr>
        <w:tabs>
          <w:tab w:val="num" w:pos="5760"/>
        </w:tabs>
        <w:ind w:left="5760" w:hanging="360"/>
      </w:pPr>
      <w:rPr>
        <w:rFonts w:cs="Times New Roman"/>
        <w:cs w:val="0"/>
      </w:rPr>
    </w:lvl>
    <w:lvl w:ilvl="8">
      <w:start w:val="1"/>
      <w:numFmt w:val="decimal"/>
      <w:lvlText w:val="%9."/>
      <w:lvlJc w:val="left"/>
      <w:pPr>
        <w:tabs>
          <w:tab w:val="num" w:pos="6480"/>
        </w:tabs>
        <w:ind w:left="6480" w:hanging="360"/>
      </w:pPr>
      <w:rPr>
        <w:rFonts w:cs="Times New Roman"/>
        <w:cs w:val="0"/>
      </w:rPr>
    </w:lvl>
  </w:abstractNum>
  <w:abstractNum w:abstractNumId="3">
    <w:nsid w:val="4F2044F0"/>
    <w:multiLevelType w:val="hybridMultilevel"/>
    <w:tmpl w:val="C49624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306532"/>
    <w:rsid w:val="00001220"/>
    <w:rsid w:val="00001698"/>
    <w:rsid w:val="00003C2B"/>
    <w:rsid w:val="000058B9"/>
    <w:rsid w:val="00013008"/>
    <w:rsid w:val="00023A8F"/>
    <w:rsid w:val="000854E5"/>
    <w:rsid w:val="00092CC0"/>
    <w:rsid w:val="000B12F8"/>
    <w:rsid w:val="000B199C"/>
    <w:rsid w:val="000E3714"/>
    <w:rsid w:val="0010520D"/>
    <w:rsid w:val="00114D8B"/>
    <w:rsid w:val="00122112"/>
    <w:rsid w:val="00137167"/>
    <w:rsid w:val="001420DF"/>
    <w:rsid w:val="001441BD"/>
    <w:rsid w:val="0015191D"/>
    <w:rsid w:val="00160F62"/>
    <w:rsid w:val="00163210"/>
    <w:rsid w:val="00163328"/>
    <w:rsid w:val="00165622"/>
    <w:rsid w:val="00192297"/>
    <w:rsid w:val="001940A4"/>
    <w:rsid w:val="00195CDF"/>
    <w:rsid w:val="001D5252"/>
    <w:rsid w:val="00203EE1"/>
    <w:rsid w:val="0022006C"/>
    <w:rsid w:val="00223B53"/>
    <w:rsid w:val="00242486"/>
    <w:rsid w:val="00242E92"/>
    <w:rsid w:val="002573B7"/>
    <w:rsid w:val="0026684F"/>
    <w:rsid w:val="00274265"/>
    <w:rsid w:val="00295A95"/>
    <w:rsid w:val="002960E0"/>
    <w:rsid w:val="002B7A38"/>
    <w:rsid w:val="002C1FBB"/>
    <w:rsid w:val="002C7F7E"/>
    <w:rsid w:val="0030359B"/>
    <w:rsid w:val="00306532"/>
    <w:rsid w:val="00317CBB"/>
    <w:rsid w:val="00321D3A"/>
    <w:rsid w:val="0032700E"/>
    <w:rsid w:val="00340936"/>
    <w:rsid w:val="00360411"/>
    <w:rsid w:val="00371CA0"/>
    <w:rsid w:val="003E3FAA"/>
    <w:rsid w:val="00427683"/>
    <w:rsid w:val="0043526A"/>
    <w:rsid w:val="00441304"/>
    <w:rsid w:val="004500AA"/>
    <w:rsid w:val="004522B3"/>
    <w:rsid w:val="004532EA"/>
    <w:rsid w:val="004649ED"/>
    <w:rsid w:val="00493283"/>
    <w:rsid w:val="00496C0A"/>
    <w:rsid w:val="004A25D5"/>
    <w:rsid w:val="004D5805"/>
    <w:rsid w:val="004F4220"/>
    <w:rsid w:val="00524261"/>
    <w:rsid w:val="00525578"/>
    <w:rsid w:val="005327A0"/>
    <w:rsid w:val="00536E14"/>
    <w:rsid w:val="00540FA2"/>
    <w:rsid w:val="00577460"/>
    <w:rsid w:val="00586B36"/>
    <w:rsid w:val="005A08B6"/>
    <w:rsid w:val="005D4351"/>
    <w:rsid w:val="005E2C23"/>
    <w:rsid w:val="005F62B4"/>
    <w:rsid w:val="0060705D"/>
    <w:rsid w:val="00636531"/>
    <w:rsid w:val="0064085F"/>
    <w:rsid w:val="0064476C"/>
    <w:rsid w:val="00646D7D"/>
    <w:rsid w:val="0064740B"/>
    <w:rsid w:val="00650776"/>
    <w:rsid w:val="00655768"/>
    <w:rsid w:val="00677148"/>
    <w:rsid w:val="006814C7"/>
    <w:rsid w:val="00681BA6"/>
    <w:rsid w:val="00697A28"/>
    <w:rsid w:val="006C7656"/>
    <w:rsid w:val="006E1E5C"/>
    <w:rsid w:val="006F1CA9"/>
    <w:rsid w:val="006F3CCF"/>
    <w:rsid w:val="006F69B3"/>
    <w:rsid w:val="00714919"/>
    <w:rsid w:val="00720D92"/>
    <w:rsid w:val="00720DFD"/>
    <w:rsid w:val="00751B82"/>
    <w:rsid w:val="0075760A"/>
    <w:rsid w:val="0079122F"/>
    <w:rsid w:val="007932E7"/>
    <w:rsid w:val="007948E4"/>
    <w:rsid w:val="00794FD8"/>
    <w:rsid w:val="007A7EB6"/>
    <w:rsid w:val="007B00E7"/>
    <w:rsid w:val="007C43BA"/>
    <w:rsid w:val="007D2B5E"/>
    <w:rsid w:val="007D63AF"/>
    <w:rsid w:val="007E1428"/>
    <w:rsid w:val="007E5377"/>
    <w:rsid w:val="00810712"/>
    <w:rsid w:val="0081573F"/>
    <w:rsid w:val="00815F86"/>
    <w:rsid w:val="008334D2"/>
    <w:rsid w:val="0084223C"/>
    <w:rsid w:val="00850254"/>
    <w:rsid w:val="00856FA2"/>
    <w:rsid w:val="00885A5C"/>
    <w:rsid w:val="00886750"/>
    <w:rsid w:val="00886E85"/>
    <w:rsid w:val="008A4739"/>
    <w:rsid w:val="008B0425"/>
    <w:rsid w:val="008D2C05"/>
    <w:rsid w:val="008F18A4"/>
    <w:rsid w:val="008F30F3"/>
    <w:rsid w:val="008F3C31"/>
    <w:rsid w:val="00915B59"/>
    <w:rsid w:val="00937093"/>
    <w:rsid w:val="009457D7"/>
    <w:rsid w:val="00950911"/>
    <w:rsid w:val="00965C39"/>
    <w:rsid w:val="00967762"/>
    <w:rsid w:val="009768F0"/>
    <w:rsid w:val="009844BF"/>
    <w:rsid w:val="00984A7E"/>
    <w:rsid w:val="0098748C"/>
    <w:rsid w:val="00994D21"/>
    <w:rsid w:val="009A4303"/>
    <w:rsid w:val="009C00F5"/>
    <w:rsid w:val="009C0C8B"/>
    <w:rsid w:val="009C3F88"/>
    <w:rsid w:val="009C7C93"/>
    <w:rsid w:val="009D4352"/>
    <w:rsid w:val="009E4056"/>
    <w:rsid w:val="009E5F76"/>
    <w:rsid w:val="009F0FB9"/>
    <w:rsid w:val="009F394F"/>
    <w:rsid w:val="00A12B7A"/>
    <w:rsid w:val="00A217ED"/>
    <w:rsid w:val="00A251B6"/>
    <w:rsid w:val="00A32A8F"/>
    <w:rsid w:val="00A51FB5"/>
    <w:rsid w:val="00A65D36"/>
    <w:rsid w:val="00A7213E"/>
    <w:rsid w:val="00A732F7"/>
    <w:rsid w:val="00AA121C"/>
    <w:rsid w:val="00AB77C0"/>
    <w:rsid w:val="00AC6838"/>
    <w:rsid w:val="00AD2662"/>
    <w:rsid w:val="00AD2ECB"/>
    <w:rsid w:val="00AD7D92"/>
    <w:rsid w:val="00AE62B6"/>
    <w:rsid w:val="00AE6678"/>
    <w:rsid w:val="00B10512"/>
    <w:rsid w:val="00B335BB"/>
    <w:rsid w:val="00B35AE5"/>
    <w:rsid w:val="00B41B5F"/>
    <w:rsid w:val="00B42CA1"/>
    <w:rsid w:val="00B56DCD"/>
    <w:rsid w:val="00B67CCD"/>
    <w:rsid w:val="00B7228A"/>
    <w:rsid w:val="00B80EB0"/>
    <w:rsid w:val="00B91FD2"/>
    <w:rsid w:val="00BA7962"/>
    <w:rsid w:val="00BB4794"/>
    <w:rsid w:val="00BC2F4E"/>
    <w:rsid w:val="00BD149B"/>
    <w:rsid w:val="00BE6928"/>
    <w:rsid w:val="00C01FB3"/>
    <w:rsid w:val="00C06AB4"/>
    <w:rsid w:val="00C075A7"/>
    <w:rsid w:val="00C118B0"/>
    <w:rsid w:val="00C2754A"/>
    <w:rsid w:val="00C45BB3"/>
    <w:rsid w:val="00C547EB"/>
    <w:rsid w:val="00C56226"/>
    <w:rsid w:val="00C62F6A"/>
    <w:rsid w:val="00C91047"/>
    <w:rsid w:val="00CA6755"/>
    <w:rsid w:val="00CC6829"/>
    <w:rsid w:val="00CC6AE2"/>
    <w:rsid w:val="00CC76B5"/>
    <w:rsid w:val="00CE0808"/>
    <w:rsid w:val="00D10851"/>
    <w:rsid w:val="00D13E6D"/>
    <w:rsid w:val="00D176D6"/>
    <w:rsid w:val="00D30A9E"/>
    <w:rsid w:val="00D4767F"/>
    <w:rsid w:val="00D615A9"/>
    <w:rsid w:val="00D71C06"/>
    <w:rsid w:val="00D7595C"/>
    <w:rsid w:val="00D96A09"/>
    <w:rsid w:val="00D97EDF"/>
    <w:rsid w:val="00DA532F"/>
    <w:rsid w:val="00DA667A"/>
    <w:rsid w:val="00DB2E01"/>
    <w:rsid w:val="00DC5343"/>
    <w:rsid w:val="00DD3F39"/>
    <w:rsid w:val="00DE44D4"/>
    <w:rsid w:val="00DE49EA"/>
    <w:rsid w:val="00DF296E"/>
    <w:rsid w:val="00E02C6B"/>
    <w:rsid w:val="00E20AC7"/>
    <w:rsid w:val="00E277A9"/>
    <w:rsid w:val="00E52DDE"/>
    <w:rsid w:val="00E57310"/>
    <w:rsid w:val="00E615BB"/>
    <w:rsid w:val="00E72172"/>
    <w:rsid w:val="00E80051"/>
    <w:rsid w:val="00E9131A"/>
    <w:rsid w:val="00E97A12"/>
    <w:rsid w:val="00EB051E"/>
    <w:rsid w:val="00EB224E"/>
    <w:rsid w:val="00EC3BDF"/>
    <w:rsid w:val="00EC43A8"/>
    <w:rsid w:val="00EC48FC"/>
    <w:rsid w:val="00EC5ADF"/>
    <w:rsid w:val="00ED4725"/>
    <w:rsid w:val="00EE0A25"/>
    <w:rsid w:val="00EE0DD3"/>
    <w:rsid w:val="00EF202B"/>
    <w:rsid w:val="00EF48C4"/>
    <w:rsid w:val="00F000B2"/>
    <w:rsid w:val="00F148E8"/>
    <w:rsid w:val="00F157E3"/>
    <w:rsid w:val="00F203D2"/>
    <w:rsid w:val="00F214C2"/>
    <w:rsid w:val="00F217F8"/>
    <w:rsid w:val="00F239EC"/>
    <w:rsid w:val="00F565CA"/>
    <w:rsid w:val="00F616CB"/>
    <w:rsid w:val="00F73EDE"/>
    <w:rsid w:val="00F75E55"/>
    <w:rsid w:val="00FA318A"/>
    <w:rsid w:val="00FA6B97"/>
    <w:rsid w:val="00FB1382"/>
    <w:rsid w:val="00FD0093"/>
    <w:rsid w:val="00FE2591"/>
    <w:rsid w:val="00FE67BA"/>
    <w:rsid w:val="00FE7AEA"/>
    <w:rsid w:val="00FF3CA3"/>
    <w:rsid w:val="00FF4E01"/>
    <w:rsid w:val="00FF6DEA"/>
    <w:rsid w:val="00FF75D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163328"/>
    <w:pPr>
      <w:widowControl/>
      <w:autoSpaceDE/>
      <w:autoSpaceDN/>
      <w:adjustRightInd/>
      <w:ind w:left="0" w:right="0"/>
      <w:jc w:val="left"/>
      <w:textAlignment w:val="auto"/>
    </w:pPr>
    <w:rPr>
      <w:rFonts w:cs="Times New Roman"/>
      <w:sz w:val="24"/>
      <w:szCs w:val="24"/>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customStyle="1" w:styleId="BodyTextIndent1">
    <w:name w:val="Body Text Indent1"/>
    <w:basedOn w:val="Normal"/>
    <w:uiPriority w:val="99"/>
    <w:rsid w:val="00163328"/>
    <w:pPr>
      <w:ind w:left="360"/>
      <w:jc w:val="center"/>
    </w:pPr>
  </w:style>
  <w:style w:type="paragraph" w:styleId="BodyText">
    <w:name w:val="Body Text"/>
    <w:basedOn w:val="Normal"/>
    <w:uiPriority w:val="99"/>
    <w:rsid w:val="00163328"/>
    <w:pPr>
      <w:spacing w:line="360" w:lineRule="auto"/>
      <w:jc w:val="both"/>
    </w:pPr>
  </w:style>
  <w:style w:type="paragraph" w:styleId="Footer">
    <w:name w:val="footer"/>
    <w:basedOn w:val="Normal"/>
    <w:uiPriority w:val="99"/>
    <w:rsid w:val="00163328"/>
    <w:pPr>
      <w:tabs>
        <w:tab w:val="center" w:pos="4536"/>
        <w:tab w:val="right" w:pos="9072"/>
      </w:tabs>
      <w:jc w:val="left"/>
    </w:pPr>
  </w:style>
  <w:style w:type="paragraph" w:styleId="Title">
    <w:name w:val="Title"/>
    <w:basedOn w:val="Normal"/>
    <w:uiPriority w:val="99"/>
    <w:rsid w:val="00163328"/>
    <w:pPr>
      <w:spacing w:line="360" w:lineRule="auto"/>
      <w:jc w:val="center"/>
    </w:pPr>
    <w:rPr>
      <w:rFonts w:ascii="Arial" w:hAnsi="Arial" w:cs="Arial"/>
      <w:b/>
      <w:bCs/>
    </w:rPr>
  </w:style>
  <w:style w:type="paragraph" w:styleId="Subtitle">
    <w:name w:val="Subtitle"/>
    <w:basedOn w:val="Normal"/>
    <w:uiPriority w:val="99"/>
    <w:rsid w:val="00163328"/>
    <w:pPr>
      <w:autoSpaceDE w:val="0"/>
      <w:autoSpaceDN w:val="0"/>
      <w:adjustRightInd w:val="0"/>
      <w:spacing w:line="360" w:lineRule="auto"/>
      <w:jc w:val="left"/>
    </w:pPr>
    <w:rPr>
      <w:b/>
      <w:bCs/>
      <w:lang w:val="cs-CZ"/>
    </w:rPr>
  </w:style>
  <w:style w:type="table" w:styleId="TableGrid">
    <w:name w:val="Table Grid"/>
    <w:basedOn w:val="TableNormal"/>
    <w:uiPriority w:val="99"/>
    <w:rsid w:val="00BD149B"/>
    <w:rPr>
      <w:lang w:bidi="si-L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rsid w:val="00C56226"/>
    <w:pPr>
      <w:tabs>
        <w:tab w:val="center" w:pos="4536"/>
        <w:tab w:val="right" w:pos="9072"/>
      </w:tabs>
      <w:jc w:val="left"/>
    </w:pPr>
  </w:style>
  <w:style w:type="paragraph" w:styleId="BodyTextIndent2">
    <w:name w:val="Body Text Indent 2"/>
    <w:basedOn w:val="Normal"/>
    <w:uiPriority w:val="99"/>
    <w:rsid w:val="00223B53"/>
    <w:pPr>
      <w:spacing w:after="120" w:line="480" w:lineRule="auto"/>
      <w:ind w:left="283"/>
      <w:jc w:val="left"/>
    </w:pPr>
    <w:rPr>
      <w:sz w:val="20"/>
      <w:szCs w:val="20"/>
      <w:lang w:eastAsia="cs-CZ"/>
    </w:rPr>
  </w:style>
  <w:style w:type="paragraph" w:styleId="BodyText3">
    <w:name w:val="Body Text 3"/>
    <w:basedOn w:val="Normal"/>
    <w:uiPriority w:val="99"/>
    <w:rsid w:val="00EB051E"/>
    <w:pPr>
      <w:spacing w:after="120"/>
      <w:jc w:val="both"/>
    </w:pPr>
    <w:rPr>
      <w:b/>
      <w:color w:val="000000"/>
      <w:sz w:val="16"/>
      <w:szCs w:val="16"/>
    </w:rPr>
  </w:style>
  <w:style w:type="character" w:styleId="PageNumber">
    <w:name w:val="page number"/>
    <w:basedOn w:val="DefaultParagraphFont"/>
    <w:uiPriority w:val="99"/>
    <w:rsid w:val="00E02C6B"/>
    <w:rPr>
      <w:rFonts w:cs="Times New Roman"/>
      <w:cs w:val="0"/>
    </w:rPr>
  </w:style>
  <w:style w:type="paragraph" w:styleId="BalloonText">
    <w:name w:val="Balloon Text"/>
    <w:basedOn w:val="Normal"/>
    <w:uiPriority w:val="99"/>
    <w:semiHidden/>
    <w:rsid w:val="009C0C8B"/>
    <w:pPr>
      <w:jc w:val="left"/>
    </w:pPr>
    <w:rPr>
      <w:rFonts w:ascii="Tahoma" w:hAnsi="Tahoma" w:cs="Tahoma"/>
      <w:sz w:val="16"/>
      <w:szCs w:val="16"/>
    </w:rPr>
  </w:style>
  <w:style w:type="paragraph" w:styleId="BodyTextIndent3">
    <w:name w:val="Body Text Indent 3"/>
    <w:basedOn w:val="Normal"/>
    <w:uiPriority w:val="99"/>
    <w:rsid w:val="0084223C"/>
    <w:pPr>
      <w:spacing w:after="120"/>
      <w:ind w:left="283"/>
      <w:jc w:val="left"/>
    </w:pPr>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13</Pages>
  <Words>4331</Words>
  <Characters>25559</Characters>
  <Application>Microsoft Office Word</Application>
  <DocSecurity>0</DocSecurity>
  <Lines>0</Lines>
  <Paragraphs>0</Paragraphs>
  <ScaleCrop>false</ScaleCrop>
  <Company>MZ SR</Company>
  <LinksUpToDate>false</LinksUpToDate>
  <CharactersWithSpaces>29831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Peter Valúch</dc:creator>
  <cp:lastModifiedBy>Magdaléna Lacová</cp:lastModifiedBy>
  <cp:revision>3</cp:revision>
  <cp:lastPrinted>2007-09-13T11:50:00Z</cp:lastPrinted>
  <dcterms:created xsi:type="dcterms:W3CDTF">2007-09-19T18:27:00Z</dcterms:created>
  <dcterms:modified xsi:type="dcterms:W3CDTF">2007-09-19T18:27:00Z</dcterms:modified>
</cp:coreProperties>
</file>