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Title"/>
        <w:rPr>
          <w:rFonts w:ascii="Times New Roman" w:hAnsi="Times New Roman" w:cs="Times New Roman"/>
        </w:rPr>
      </w:pPr>
      <w:r>
        <w:rPr>
          <w:rFonts w:ascii="Times New Roman" w:hAnsi="Times New Roman" w:cs="Times New Roman"/>
        </w:rPr>
        <w:t>Dôvodová správa</w:t>
      </w:r>
    </w:p>
    <w:p>
      <w:pPr>
        <w:jc w:val="center"/>
        <w:rPr>
          <w:rFonts w:ascii="Times New Roman" w:hAnsi="Times New Roman" w:cs="Times New Roman"/>
          <w:b/>
          <w:bCs/>
        </w:rPr>
      </w:pPr>
    </w:p>
    <w:p>
      <w:pPr>
        <w:jc w:val="center"/>
        <w:rPr>
          <w:rFonts w:ascii="Times New Roman" w:hAnsi="Times New Roman" w:cs="Times New Roman"/>
          <w:b/>
          <w:bCs/>
        </w:rPr>
      </w:pPr>
    </w:p>
    <w:p>
      <w:pPr>
        <w:pStyle w:val="Heading1"/>
        <w:rPr>
          <w:rFonts w:ascii="Times New Roman" w:hAnsi="Times New Roman" w:cs="Times New Roman"/>
        </w:rPr>
      </w:pPr>
      <w:r>
        <w:rPr>
          <w:rFonts w:ascii="Times New Roman" w:hAnsi="Times New Roman" w:cs="Times New Roman"/>
        </w:rPr>
        <w:t xml:space="preserve">Všeobecná časť </w:t>
      </w:r>
    </w:p>
    <w:p>
      <w:pPr>
        <w:jc w:val="both"/>
        <w:rPr>
          <w:rFonts w:ascii="Times New Roman" w:hAnsi="Times New Roman" w:cs="Times New Roman"/>
          <w:b/>
          <w:bCs/>
        </w:rPr>
      </w:pPr>
    </w:p>
    <w:p>
      <w:pPr>
        <w:jc w:val="both"/>
        <w:rPr>
          <w:rFonts w:ascii="Times New Roman" w:hAnsi="Times New Roman" w:cs="Times New Roman"/>
          <w:b/>
          <w:bCs/>
        </w:rPr>
      </w:pPr>
    </w:p>
    <w:p>
      <w:pPr>
        <w:ind w:firstLine="708"/>
        <w:jc w:val="both"/>
        <w:rPr>
          <w:rFonts w:ascii="Times New Roman" w:hAnsi="Times New Roman" w:cs="Times New Roman"/>
        </w:rPr>
      </w:pPr>
      <w:r>
        <w:rPr>
          <w:rFonts w:ascii="Times New Roman" w:hAnsi="Times New Roman" w:cs="Times New Roman"/>
        </w:rPr>
        <w:t>Národná rada Slovenskej republiky dňa 23. marca 2007 schválila zákon č. 250/2007     Z. z. o ochrane spotrebiteľa a o zmene zákona Slovenskej národnej rady č. 372/1990 Zb. o priestupkoch v znení neskorších predpisov. Tento zákon nahradil zákon č. 634/1992 Zb. o ochrane spotrebiteľa v znení neskorších predpisov. V novom zákone o ochrane spotrebiteľa je okrem iného upravený tiež zákaz nekalých obchodných praktík podnikateľov podľa smernice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 (ďalej len „smernica“).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 xml:space="preserve">Smernica za nekalé obchodné praktiky podnikateľov voči spotrebiteľom považuje akékoľvek konanie, opomenutie, spôsob správania alebo vyjadrenie, obchodnú komunikáciu vrátane reklamy a marketingu obchodníka, priamo spojené s podporou, predajom alebo dodávkou produktu spotrebiteľom. Z uvedenej definície vyplýva, že nekalé obchodné praktiky sa vzťahujú aj na reklamu. Keďže v zákone č. 147/2001 Z. z. o reklame a o zmene a doplnení niektorých zákonov v znení neskorších predpisov (ďalej len „zákon o reklame“) nie sú nekalé obchodné praktiky v reklame upravené, je potrebné jednotlivé ustanovenia smernice transponovať aj do zákona o reklame. Ako vyplýva z názvu smernice, jej obsahom je aj zmena smerníc o klamlivej a porovnávacej reklame. Preto je nevyhnutné zohľadniť v zákone aj tieto zmeny. </w:t>
      </w:r>
    </w:p>
    <w:p>
      <w:pPr>
        <w:jc w:val="both"/>
        <w:rPr>
          <w:rFonts w:ascii="Times New Roman" w:hAnsi="Times New Roman" w:cs="Times New Roman"/>
        </w:rPr>
      </w:pPr>
      <w:r>
        <w:rPr>
          <w:rFonts w:ascii="Times New Roman" w:hAnsi="Times New Roman" w:cs="Times New Roman"/>
        </w:rPr>
        <w:tab/>
      </w:r>
    </w:p>
    <w:p>
      <w:pPr>
        <w:jc w:val="both"/>
        <w:rPr>
          <w:rFonts w:ascii="Times New Roman" w:hAnsi="Times New Roman" w:cs="Times New Roman"/>
        </w:rPr>
      </w:pPr>
      <w:r>
        <w:rPr>
          <w:rFonts w:ascii="Times New Roman" w:hAnsi="Times New Roman" w:cs="Times New Roman"/>
        </w:rPr>
        <w:tab/>
        <w:t>V Pláne legislatívnych úloh vlády SR na rok 2007 má Ministerstvo hospodárstva SR aj novelizáciu zákona o štátnej kontrole vnútorného trhu vo veciach ochrany spotrebiteľa v znení neskorších predpisov. Keďže nevyhnutné zmeny súvisia aj s dozornou činnosťou Slovenskej obchodnej inšpekcie proti nekalým obchodným praktikám a ide o novelizáciu, ktorá nie je rozsiahla, návrh na zmenu a doplnenie obidvoch zákonov, t. j. zákona o reklame a zákona o štátnej kontrole vnútorného trhu vo veciach ochrany spotrebiteľa, je predložený spoločne v jednom návrhu zákona.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Novelizáciou zákona o štátnej kontrole vnútorného trhu vo veciach ochrany spotrebiteľa sa rozširujú kompetencie Slovenskej obchodnej inšpekcie, ktorých absencia spôsobuje pri výkone dozoru ťažkosti. Preto sa ustanovuje právomoc Slovenskej obchodnej inšpekcie ukladať záväzné pokyny na odstránenie nedostatkov, vo väzbe na nový zákon č. 250/2007 Z. z. objasňovať priestupky a zakázať konanie, ktoré je nekalou obchodnou praktikou, vyhotovovať obrazové, zvukové a obrazovo-zvukové záznamy na zabezpečenie dôkazov pre správne a súdne konanie.</w:t>
      </w:r>
    </w:p>
    <w:p>
      <w:pPr>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 xml:space="preserve">Návrh zákona nebude mať vplyv na verejné financie, životné prostredie, na zamestnanosť a podnikateľské prostredie. </w:t>
        <w:tab/>
      </w:r>
    </w:p>
    <w:p>
      <w:pPr>
        <w:pStyle w:val="BodyText"/>
        <w:ind w:firstLine="708"/>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 xml:space="preserve">Návrh novelizácie zákonov je v súlade s Ústavou Slovenskej republiky, zákonmi Slovenskej republiky, medzinárodnými zmluvami a inými dokumentmi, ktorými je Slovenská republika viazaná. </w:t>
      </w:r>
    </w:p>
    <w:p>
      <w:pPr>
        <w:pStyle w:val="Heading1"/>
        <w:jc w:val="center"/>
        <w:rPr>
          <w:rFonts w:ascii="Times New Roman" w:hAnsi="Times New Roman" w:cs="Times New Roman"/>
        </w:rPr>
      </w:pPr>
      <w:r>
        <w:rPr>
          <w:rFonts w:ascii="Times New Roman" w:hAnsi="Times New Roman" w:cs="Times New Roman"/>
          <w:b w:val="0"/>
          <w:bCs w:val="0"/>
        </w:rPr>
        <w:br w:type="page"/>
      </w:r>
      <w:r>
        <w:rPr>
          <w:rFonts w:ascii="Times New Roman" w:hAnsi="Times New Roman" w:cs="Times New Roman"/>
        </w:rPr>
        <w:t>DOLOŽKA ZLUČITEĽNOSTI</w:t>
      </w:r>
    </w:p>
    <w:p>
      <w:pPr>
        <w:pStyle w:val="Heading2"/>
        <w:spacing w:before="0" w:after="0"/>
        <w:rPr>
          <w:rFonts w:ascii="Times New Roman" w:hAnsi="Times New Roman"/>
        </w:rPr>
      </w:pPr>
      <w:r>
        <w:rPr>
          <w:rFonts w:ascii="Times New Roman" w:hAnsi="Times New Roman"/>
        </w:rPr>
        <w:t xml:space="preserve">právneho predpisu </w:t>
      </w:r>
    </w:p>
    <w:p>
      <w:pPr>
        <w:pStyle w:val="Heading2"/>
        <w:spacing w:before="0" w:after="0"/>
        <w:rPr>
          <w:rFonts w:ascii="Times New Roman" w:hAnsi="Times New Roman"/>
        </w:rPr>
      </w:pPr>
      <w:r>
        <w:rPr>
          <w:rFonts w:ascii="Times New Roman" w:hAnsi="Times New Roman"/>
        </w:rPr>
        <w:t>s právom Európskych spoločenstiev a právom Európskej únie</w:t>
      </w:r>
    </w:p>
    <w:p>
      <w:pPr>
        <w:rPr>
          <w:rFonts w:ascii="Times New Roman" w:hAnsi="Times New Roman" w:cs="Times New Roman"/>
        </w:rPr>
      </w:pPr>
    </w:p>
    <w:p>
      <w:pPr>
        <w:rPr>
          <w:rFonts w:ascii="Times New Roman" w:hAnsi="Times New Roman" w:cs="Times New Roman"/>
        </w:rPr>
      </w:pPr>
    </w:p>
    <w:p>
      <w:pPr>
        <w:numPr>
          <w:ilvl w:val="0"/>
          <w:numId w:val="2"/>
        </w:numPr>
        <w:tabs>
          <w:tab w:val="clear" w:pos="720"/>
        </w:tabs>
        <w:ind w:left="360"/>
        <w:rPr>
          <w:rFonts w:ascii="Times New Roman" w:hAnsi="Times New Roman" w:cs="Times New Roman"/>
        </w:rPr>
      </w:pPr>
      <w:r>
        <w:rPr>
          <w:rFonts w:ascii="Times New Roman" w:hAnsi="Times New Roman" w:cs="Times New Roman"/>
          <w:b/>
          <w:bCs/>
        </w:rPr>
        <w:t xml:space="preserve">Predkladateľ právneho predpisu: </w:t>
      </w:r>
      <w:r>
        <w:rPr>
          <w:rFonts w:ascii="Times New Roman" w:hAnsi="Times New Roman" w:cs="Times New Roman"/>
        </w:rPr>
        <w:t>Vláda Slovenskej republiky</w:t>
      </w:r>
    </w:p>
    <w:p>
      <w:pPr>
        <w:ind w:firstLine="360"/>
        <w:rPr>
          <w:rFonts w:ascii="Times New Roman" w:hAnsi="Times New Roman" w:cs="Times New Roman"/>
        </w:rPr>
      </w:pPr>
    </w:p>
    <w:p>
      <w:pPr>
        <w:numPr>
          <w:ilvl w:val="0"/>
          <w:numId w:val="2"/>
        </w:numPr>
        <w:tabs>
          <w:tab w:val="clear" w:pos="720"/>
        </w:tabs>
        <w:ind w:left="360"/>
        <w:jc w:val="both"/>
        <w:rPr>
          <w:rFonts w:ascii="Times New Roman" w:hAnsi="Times New Roman" w:cs="Times New Roman"/>
        </w:rPr>
      </w:pPr>
      <w:r>
        <w:rPr>
          <w:rFonts w:ascii="Times New Roman" w:hAnsi="Times New Roman" w:cs="Times New Roman"/>
          <w:b/>
          <w:bCs/>
        </w:rPr>
        <w:t>Názov návrhu právneho predpisu:</w:t>
      </w:r>
      <w:r>
        <w:rPr>
          <w:rFonts w:ascii="Times New Roman" w:hAnsi="Times New Roman" w:cs="Times New Roman"/>
        </w:rPr>
        <w:t xml:space="preserve"> Návrh zákona, ktorým sa mení a dopĺňa zákon          č. 147/2001 Z. z. o reklame a o zmene a doplnení niektorých zákonov v znení neskorších predpisov a o zmene a doplnení zákona č. 128/2002 Z. z. o štátnej kontrole vnútorného trhu vo veciach ochrany spotrebiteľa a o zmene a doplnení niektorých zákonov v znení neskorších predpisov</w:t>
      </w:r>
    </w:p>
    <w:p>
      <w:pPr>
        <w:pStyle w:val="BodyTextIndent2"/>
        <w:ind w:firstLine="0"/>
        <w:rPr>
          <w:rFonts w:cs="Times New Roman"/>
        </w:rPr>
      </w:pPr>
    </w:p>
    <w:p>
      <w:pPr>
        <w:numPr>
          <w:ilvl w:val="0"/>
          <w:numId w:val="3"/>
        </w:numPr>
        <w:tabs>
          <w:tab w:val="clear" w:pos="360"/>
        </w:tabs>
        <w:rPr>
          <w:rFonts w:ascii="Times New Roman" w:hAnsi="Times New Roman" w:cs="Times New Roman"/>
          <w:b/>
          <w:bCs/>
        </w:rPr>
      </w:pPr>
      <w:r>
        <w:rPr>
          <w:rFonts w:ascii="Times New Roman" w:hAnsi="Times New Roman" w:cs="Times New Roman"/>
          <w:b/>
          <w:bCs/>
        </w:rPr>
        <w:t>Problematika návrhu právneho pre</w:t>
      </w:r>
      <w:r>
        <w:rPr>
          <w:rFonts w:ascii="Times New Roman" w:hAnsi="Times New Roman" w:cs="Times New Roman"/>
          <w:b/>
          <w:bCs/>
        </w:rPr>
        <w:t>dpisu:</w:t>
      </w:r>
    </w:p>
    <w:p>
      <w:pPr>
        <w:numPr>
          <w:ilvl w:val="1"/>
          <w:numId w:val="3"/>
        </w:numPr>
        <w:tabs>
          <w:tab w:val="clear" w:pos="700"/>
        </w:tabs>
        <w:rPr>
          <w:rFonts w:ascii="Times New Roman" w:hAnsi="Times New Roman" w:cs="Times New Roman"/>
        </w:rPr>
      </w:pPr>
      <w:r>
        <w:rPr>
          <w:rFonts w:ascii="Times New Roman" w:hAnsi="Times New Roman" w:cs="Times New Roman"/>
        </w:rPr>
        <w:t>je upravená v práve Európskych spoločenstiev:</w:t>
      </w:r>
    </w:p>
    <w:p>
      <w:pPr>
        <w:pStyle w:val="BodyTextIndent"/>
        <w:ind w:left="680" w:firstLine="0"/>
        <w:jc w:val="both"/>
        <w:rPr>
          <w:rFonts w:ascii="Times New Roman" w:hAnsi="Times New Roman" w:cs="Times New Roman"/>
        </w:rPr>
      </w:pPr>
      <w:r>
        <w:rPr>
          <w:rFonts w:ascii="Times New Roman" w:hAnsi="Times New Roman" w:cs="Times New Roman"/>
        </w:rPr>
        <w:t>smernica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w:t>
      </w:r>
    </w:p>
    <w:p>
      <w:pPr>
        <w:pStyle w:val="BodyTextIndent"/>
        <w:numPr>
          <w:ilvl w:val="0"/>
          <w:numId w:val="4"/>
        </w:numPr>
        <w:tabs>
          <w:tab w:val="clear" w:pos="700"/>
        </w:tabs>
        <w:jc w:val="both"/>
        <w:rPr>
          <w:rFonts w:ascii="Times New Roman" w:hAnsi="Times New Roman" w:cs="Times New Roman"/>
        </w:rPr>
      </w:pPr>
      <w:r>
        <w:rPr>
          <w:rFonts w:ascii="Times New Roman" w:hAnsi="Times New Roman" w:cs="Times New Roman"/>
        </w:rPr>
        <w:t>nie je upravená v práve Európskej únie,</w:t>
      </w:r>
    </w:p>
    <w:p>
      <w:pPr>
        <w:pStyle w:val="BodyTextIndent"/>
        <w:numPr>
          <w:ilvl w:val="0"/>
          <w:numId w:val="4"/>
        </w:numPr>
        <w:tabs>
          <w:tab w:val="clear" w:pos="700"/>
        </w:tabs>
        <w:jc w:val="both"/>
        <w:rPr>
          <w:rFonts w:ascii="Times New Roman" w:hAnsi="Times New Roman" w:cs="Times New Roman"/>
        </w:rPr>
      </w:pPr>
      <w:r>
        <w:rPr>
          <w:rFonts w:ascii="Times New Roman" w:hAnsi="Times New Roman" w:cs="Times New Roman"/>
        </w:rPr>
        <w:t>je  obsiahnutá  v judikatúre  Súdneho dvora Európskych spoločenstiev alebo Súdu 1. stupňa Európskych spoločenstiev C-34/95, C-112/99, C-44/01.</w:t>
      </w:r>
    </w:p>
    <w:p>
      <w:pPr>
        <w:pStyle w:val="BodyTextIndent"/>
        <w:ind w:left="340" w:firstLine="0"/>
        <w:jc w:val="both"/>
        <w:rPr>
          <w:rFonts w:cs="Times New Roman"/>
        </w:rPr>
      </w:pPr>
    </w:p>
    <w:p>
      <w:pPr>
        <w:numPr>
          <w:ilvl w:val="1"/>
          <w:numId w:val="4"/>
        </w:numPr>
        <w:tabs>
          <w:tab w:val="clear" w:pos="360"/>
        </w:tabs>
        <w:rPr>
          <w:rFonts w:ascii="Times New Roman" w:hAnsi="Times New Roman" w:cs="Times New Roman"/>
          <w:b/>
          <w:bCs/>
        </w:rPr>
      </w:pPr>
      <w:r>
        <w:rPr>
          <w:rFonts w:ascii="Times New Roman" w:hAnsi="Times New Roman" w:cs="Times New Roman"/>
          <w:b/>
          <w:bCs/>
        </w:rPr>
        <w:t>Záväzky Slovenskej republiky vo vzťahu k Európskym spoločenstvám a Európskej únii:</w:t>
      </w:r>
    </w:p>
    <w:p>
      <w:pPr>
        <w:numPr>
          <w:ilvl w:val="2"/>
          <w:numId w:val="4"/>
        </w:numPr>
        <w:tabs>
          <w:tab w:val="left" w:pos="700"/>
        </w:tabs>
        <w:jc w:val="both"/>
        <w:rPr>
          <w:rFonts w:ascii="Times New Roman" w:hAnsi="Times New Roman" w:cs="Times New Roman"/>
        </w:rPr>
      </w:pPr>
      <w:r>
        <w:rPr>
          <w:rFonts w:ascii="Times New Roman" w:hAnsi="Times New Roman" w:cs="Times New Roman"/>
        </w:rPr>
        <w:t>pre Slovenskú republiku v predmetnej oblasti nevyplývajú zo Zmluvy o pristúpení Slovenskej republiky k Európskej únii žiadne záväzky,</w:t>
      </w:r>
    </w:p>
    <w:p>
      <w:pPr>
        <w:numPr>
          <w:ilvl w:val="2"/>
          <w:numId w:val="4"/>
        </w:numPr>
        <w:tabs>
          <w:tab w:val="left" w:pos="700"/>
        </w:tabs>
        <w:jc w:val="both"/>
        <w:rPr>
          <w:rFonts w:ascii="Times New Roman" w:hAnsi="Times New Roman" w:cs="Times New Roman"/>
        </w:rPr>
      </w:pPr>
      <w:r>
        <w:rPr>
          <w:rFonts w:ascii="Times New Roman" w:hAnsi="Times New Roman" w:cs="Times New Roman"/>
        </w:rPr>
        <w:t>zo Zmluvy o pristúpení Slovenskej republiky k európskej únii nevyplývajú v predmet-nej oblasti žiadne prechodné obdobia,</w:t>
      </w:r>
    </w:p>
    <w:p>
      <w:pPr>
        <w:numPr>
          <w:ilvl w:val="2"/>
          <w:numId w:val="4"/>
        </w:numPr>
        <w:tabs>
          <w:tab w:val="left" w:pos="700"/>
        </w:tabs>
        <w:jc w:val="both"/>
        <w:rPr>
          <w:rFonts w:ascii="Times New Roman" w:hAnsi="Times New Roman" w:cs="Times New Roman"/>
        </w:rPr>
      </w:pPr>
      <w:r>
        <w:rPr>
          <w:rFonts w:ascii="Times New Roman" w:hAnsi="Times New Roman" w:cs="Times New Roman"/>
        </w:rPr>
        <w:t>pre Slovenskú republiku v predmetnej oblasti vyplýva z gestorstva smerníc povinnosť prijať potrebné opatrenia na dosiah</w:t>
      </w:r>
      <w:r>
        <w:rPr>
          <w:rFonts w:ascii="Times New Roman" w:hAnsi="Times New Roman" w:cs="Times New Roman"/>
        </w:rPr>
        <w:t>nutie súladu so smernicou EP a Rady 2005/29/ES do 12. júna 2007,</w:t>
      </w:r>
    </w:p>
    <w:p>
      <w:pPr>
        <w:numPr>
          <w:ilvl w:val="2"/>
          <w:numId w:val="4"/>
        </w:numPr>
        <w:tabs>
          <w:tab w:val="left" w:pos="700"/>
        </w:tabs>
        <w:jc w:val="both"/>
        <w:rPr>
          <w:rFonts w:ascii="Times New Roman" w:hAnsi="Times New Roman" w:cs="Times New Roman"/>
        </w:rPr>
      </w:pPr>
      <w:r>
        <w:rPr>
          <w:rFonts w:ascii="Times New Roman" w:hAnsi="Times New Roman" w:cs="Times New Roman"/>
        </w:rPr>
        <w:t>proti Slovenskej republike nie je vedené konanie o porušení Zmluvy o založení Európskych spoločenstiev podľa článkov 226 až 228,</w:t>
      </w:r>
    </w:p>
    <w:p>
      <w:pPr>
        <w:numPr>
          <w:ilvl w:val="2"/>
          <w:numId w:val="4"/>
        </w:numPr>
        <w:tabs>
          <w:tab w:val="left" w:pos="700"/>
        </w:tabs>
        <w:jc w:val="both"/>
        <w:rPr>
          <w:rFonts w:ascii="Times New Roman" w:hAnsi="Times New Roman" w:cs="Times New Roman"/>
        </w:rPr>
      </w:pPr>
      <w:r>
        <w:rPr>
          <w:rFonts w:ascii="Times New Roman" w:hAnsi="Times New Roman" w:cs="Times New Roman"/>
        </w:rPr>
        <w:t>problematika návrhu právneho predpisu je obsiahnutá tiež v zákone č. 250/2007 Z. z. o ochrane spotrebiteľa a o zmene zákona Slovenskej národnej rady č. 372/1990 Zb. o priestupkoch v znení neskorších predpisov.</w:t>
      </w:r>
    </w:p>
    <w:p>
      <w:pPr>
        <w:rPr>
          <w:rFonts w:ascii="Times New Roman" w:hAnsi="Times New Roman" w:cs="Times New Roman"/>
        </w:rPr>
      </w:pPr>
    </w:p>
    <w:p>
      <w:pPr>
        <w:numPr>
          <w:ilvl w:val="3"/>
          <w:numId w:val="4"/>
        </w:numPr>
        <w:tabs>
          <w:tab w:val="clear" w:pos="360"/>
        </w:tabs>
        <w:rPr>
          <w:rFonts w:ascii="Times New Roman" w:hAnsi="Times New Roman" w:cs="Times New Roman"/>
          <w:b/>
          <w:bCs/>
        </w:rPr>
      </w:pPr>
      <w:r>
        <w:rPr>
          <w:rFonts w:ascii="Times New Roman" w:hAnsi="Times New Roman" w:cs="Times New Roman"/>
          <w:b/>
          <w:bCs/>
        </w:rPr>
        <w:t>Stupeň zlučiteľnosti návrhu právneho predpisu s právom Európskych spoločenstiev alebo právom Európskej únie</w:t>
      </w:r>
      <w:r>
        <w:rPr>
          <w:rFonts w:ascii="Times New Roman" w:hAnsi="Times New Roman" w:cs="Times New Roman"/>
          <w:b/>
          <w:bCs/>
        </w:rPr>
        <w:t xml:space="preserve">: </w:t>
      </w:r>
    </w:p>
    <w:p>
      <w:pPr>
        <w:ind w:firstLine="340"/>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rPr>
        <w:t>čiastočný (z dôvodu oneskorenej transpozície)</w:t>
      </w:r>
    </w:p>
    <w:p>
      <w:pPr>
        <w:rPr>
          <w:rFonts w:ascii="Times New Roman" w:hAnsi="Times New Roman" w:cs="Times New Roman"/>
          <w:b/>
          <w:bCs/>
        </w:rPr>
      </w:pPr>
    </w:p>
    <w:p>
      <w:pPr>
        <w:numPr>
          <w:ilvl w:val="3"/>
          <w:numId w:val="4"/>
        </w:numPr>
        <w:tabs>
          <w:tab w:val="clear" w:pos="360"/>
        </w:tabs>
        <w:rPr>
          <w:rFonts w:ascii="Times New Roman" w:hAnsi="Times New Roman" w:cs="Times New Roman"/>
        </w:rPr>
      </w:pPr>
      <w:r>
        <w:rPr>
          <w:rFonts w:ascii="Times New Roman" w:hAnsi="Times New Roman" w:cs="Times New Roman"/>
          <w:b/>
          <w:bCs/>
        </w:rPr>
        <w:t>Gestor a spolupracujúce rezorty:</w:t>
      </w:r>
      <w:r>
        <w:rPr>
          <w:rFonts w:ascii="Times New Roman" w:hAnsi="Times New Roman" w:cs="Times New Roman"/>
        </w:rPr>
        <w:t xml:space="preserve"> Ministerstvo hospodárstva Slovenskej republiky</w:t>
      </w:r>
    </w:p>
    <w:p>
      <w:pPr>
        <w:rPr>
          <w:rFonts w:ascii="Times New Roman" w:hAnsi="Times New Roman" w:cs="Times New Roman"/>
          <w:b/>
          <w:bCs/>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pStyle w:val="Title"/>
        <w:rPr>
          <w:rFonts w:ascii="Times New Roman" w:hAnsi="Times New Roman" w:cs="Times New Roman"/>
        </w:rPr>
      </w:pPr>
      <w:r>
        <w:rPr>
          <w:rFonts w:ascii="Times New Roman" w:hAnsi="Times New Roman" w:cs="Times New Roman"/>
        </w:rPr>
        <w:t>Doložka</w:t>
      </w:r>
    </w:p>
    <w:p>
      <w:pPr>
        <w:jc w:val="center"/>
        <w:rPr>
          <w:rFonts w:ascii="Times New Roman" w:hAnsi="Times New Roman" w:cs="Times New Roman"/>
          <w:b/>
          <w:bCs/>
        </w:rPr>
      </w:pPr>
      <w:r>
        <w:rPr>
          <w:rFonts w:ascii="Times New Roman" w:hAnsi="Times New Roman" w:cs="Times New Roman"/>
          <w:b/>
          <w:bCs/>
        </w:rPr>
        <w:t xml:space="preserve">finančných, ekonomických, environmentálnych vplyvov, </w:t>
      </w:r>
    </w:p>
    <w:p>
      <w:pPr>
        <w:jc w:val="center"/>
        <w:rPr>
          <w:rFonts w:ascii="Times New Roman" w:hAnsi="Times New Roman" w:cs="Times New Roman"/>
          <w:b/>
          <w:bCs/>
        </w:rPr>
      </w:pPr>
      <w:r>
        <w:rPr>
          <w:rFonts w:ascii="Times New Roman" w:hAnsi="Times New Roman" w:cs="Times New Roman"/>
          <w:b/>
          <w:bCs/>
        </w:rPr>
        <w:t>vplyvov na zamestnanosť a podnikateľské prostredie</w:t>
      </w:r>
    </w:p>
    <w:p>
      <w:pPr>
        <w:jc w:val="center"/>
        <w:rPr>
          <w:rFonts w:ascii="Times New Roman" w:hAnsi="Times New Roman" w:cs="Times New Roman"/>
          <w:b/>
          <w:bCs/>
        </w:rPr>
      </w:pPr>
    </w:p>
    <w:p>
      <w:pPr>
        <w:jc w:val="center"/>
        <w:rPr>
          <w:rFonts w:ascii="Times New Roman" w:hAnsi="Times New Roman" w:cs="Times New Roman"/>
          <w:b/>
          <w:bCs/>
        </w:rPr>
      </w:pPr>
    </w:p>
    <w:p>
      <w:pPr>
        <w:pStyle w:val="BodyText"/>
        <w:numPr>
          <w:ilvl w:val="0"/>
          <w:numId w:val="7"/>
        </w:numPr>
        <w:tabs>
          <w:tab w:val="clear" w:pos="360"/>
        </w:tabs>
        <w:rPr>
          <w:rFonts w:ascii="Times New Roman" w:hAnsi="Times New Roman"/>
        </w:rPr>
      </w:pPr>
      <w:r>
        <w:rPr>
          <w:rFonts w:ascii="Times New Roman" w:hAnsi="Times New Roman"/>
        </w:rPr>
        <w:t xml:space="preserve">Predpokladá sa, že zákon nebude mať vplyv na príjmovú časť štátneho rozpočtu, a to napriek tomu, že horná hranica sankcií sa navrhuje zvýšiť, z čoho by sa dalo usudzovať, že priamo úmerne vzrastú aj príjmy z uložených pokút. Skutočnosť však tomu nezodpovedá. Príjmy z pokút uložených Slovenskou obchodnou inšpekciou v roku 2005 dosiahli 105,1 mil. Sk. V roku 2006 len 56,6 mil. Sk. Príjmy z pokút vo všeobecnosti sa znižujú preto, že predtým uložené vysoké sankcie pôsobili preventívne, tiež preto, že podnikatelia rozhodnutia Slovenskej obchodnej inšpekcie, najmä v prípadoch vysokých pokút takmer bezvýnimočne nechávajú preskúmať súdmi, ktoré uložené pokuty výrazne znižujú, napríklad proti obchodným reťazcom z 500 tis. Sk na 50 tis. Sk. Vzhľadom na trvanie súdneho konania sa predlžuje aj vymožiteľnosť. </w:t>
      </w:r>
    </w:p>
    <w:p>
      <w:pPr>
        <w:pStyle w:val="BodyText"/>
        <w:rPr>
          <w:rFonts w:ascii="Times New Roman" w:hAnsi="Times New Roman"/>
        </w:rPr>
      </w:pPr>
    </w:p>
    <w:p>
      <w:pPr>
        <w:pStyle w:val="BodyText"/>
        <w:numPr>
          <w:ilvl w:val="0"/>
          <w:numId w:val="7"/>
        </w:numPr>
        <w:tabs>
          <w:tab w:val="clear" w:pos="360"/>
        </w:tabs>
        <w:rPr>
          <w:rFonts w:ascii="Times New Roman" w:hAnsi="Times New Roman"/>
        </w:rPr>
      </w:pPr>
      <w:r>
        <w:rPr>
          <w:rFonts w:ascii="Times New Roman" w:hAnsi="Times New Roman"/>
        </w:rPr>
        <w:t>Zákon nebude mať žiadne finančné dôsledky na obyvateľov, hospodárenie podnikateľskej sféry a iných právnických osôb.</w:t>
      </w:r>
    </w:p>
    <w:p>
      <w:pPr>
        <w:pStyle w:val="BodyText"/>
        <w:rPr>
          <w:rFonts w:ascii="Times New Roman" w:hAnsi="Times New Roman"/>
        </w:rPr>
      </w:pPr>
    </w:p>
    <w:p>
      <w:pPr>
        <w:pStyle w:val="BodyText"/>
        <w:numPr>
          <w:ilvl w:val="0"/>
          <w:numId w:val="7"/>
        </w:numPr>
        <w:tabs>
          <w:tab w:val="clear" w:pos="360"/>
        </w:tabs>
        <w:rPr>
          <w:rFonts w:ascii="Times New Roman" w:hAnsi="Times New Roman"/>
        </w:rPr>
      </w:pPr>
      <w:r>
        <w:rPr>
          <w:rFonts w:ascii="Times New Roman" w:hAnsi="Times New Roman"/>
        </w:rPr>
        <w:t>Zákon nebude mať dôsledky na životné prostredie.</w:t>
      </w:r>
    </w:p>
    <w:p>
      <w:pPr>
        <w:pStyle w:val="BodyText"/>
        <w:rPr>
          <w:rFonts w:ascii="Times New Roman" w:hAnsi="Times New Roman"/>
        </w:rPr>
      </w:pPr>
    </w:p>
    <w:p>
      <w:pPr>
        <w:pStyle w:val="BodyText"/>
        <w:numPr>
          <w:ilvl w:val="0"/>
          <w:numId w:val="7"/>
        </w:numPr>
        <w:tabs>
          <w:tab w:val="clear" w:pos="360"/>
        </w:tabs>
        <w:rPr>
          <w:rFonts w:ascii="Times New Roman" w:hAnsi="Times New Roman"/>
        </w:rPr>
      </w:pPr>
      <w:r>
        <w:rPr>
          <w:rFonts w:ascii="Times New Roman" w:hAnsi="Times New Roman"/>
        </w:rPr>
        <w:t>Zákon nebude mať vplyv na zamestnanosť a tvorbu</w:t>
      </w:r>
      <w:r>
        <w:rPr>
          <w:rFonts w:ascii="Times New Roman" w:hAnsi="Times New Roman"/>
        </w:rPr>
        <w:t xml:space="preserve"> pracovných miest. </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pStyle w:val="Heading1"/>
        <w:rPr>
          <w:rFonts w:ascii="Times New Roman" w:hAnsi="Times New Roman" w:cs="Times New Roman"/>
        </w:rPr>
      </w:pPr>
      <w:r>
        <w:rPr>
          <w:rFonts w:ascii="Times New Roman" w:hAnsi="Times New Roman" w:cs="Times New Roman"/>
        </w:rPr>
        <w:t xml:space="preserve">Osobitná časť </w:t>
      </w: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rPr>
      </w:pPr>
      <w:r>
        <w:rPr>
          <w:rFonts w:ascii="Times New Roman" w:hAnsi="Times New Roman" w:cs="Times New Roman"/>
        </w:rPr>
        <w:t xml:space="preserve">K čl. I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1 (§ 1)</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 xml:space="preserve">Predmet zákona, tak ako bol doteraz vymedzený, sa rozširuje aj na ochranu spotrebiteľov pred účinkami nekalých obchodných praktík v reklame. Nekalé obchodné praktiky sú definované v § 7 až 9 zákona č. 250/2007 Z. z. o ochrane spotrebiteľa a o zmene zákona Slovenskej národnej rady č. 372/1990 Zb. o priestupkoch v znení neskorších predpisov. Nekalé obchodné praktiky sú zakázané a obchodná praktika je považovaná za nekalú, ak je v rozpore s požiadavkami odbornej starostlivosti a podstatne narušuje alebo môže podstatne narušiť ekonomické správanie priemerného spotrebiteľa. Nekalou obchodnou praktikou je najmä klamlivé konanie alebo klamlivé opomenutie konania a agresívna obchodná praktika. Demonštratívny výpočet nekalých obchodných praktík je uvedený v prílohe č. 1 zákona č. 250/2007 Z. z.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2 (§ 2)</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Definície pojmov sa rozširujú oproti doterajšej právnej úprave. Dopĺňajú sa pojmy „klamlivá reklama“ a „objednávateľ reklamy“. Ide o pojmy, ktoré vyplývajú zo smernice EP a Rady 2005/29/ES o nekalých obchodných praktikách.</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3 (§ 3 ods. 1)</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Vzhľadom na schválenie nového zákona o ochrane spotrebiteľa č. 250/2007 Z. z. sa uvádza aj poznámka pod čiarou do súladu s </w:t>
      </w:r>
      <w:r>
        <w:rPr>
          <w:rFonts w:ascii="Times New Roman" w:hAnsi="Times New Roman" w:cs="Times New Roman"/>
        </w:rPr>
        <w:t>platným právnym predpisom.</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4 (§ 3 ods. 2)</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Doterajšie ustanovenie o klamlivej reklame odkazovalo na Obchodný zákonník. Novelizáciou Obchodného zákonníka bolo ustanovenie o klamlivej reklame podľa smernice Európskeho parlamentu a Rady 2006/114/ES o klamlivej a porovnávacej reklame upravené    v Obchodnom zákonníku len vo vzťahu súťažiteľov a odkazuje na osobitný predpis, ktorým je tento zákon.</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5 (§ 3 ods. 4)</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Z hľadiska novelizácie zákona ide o esenciálne ustanovenie v zmysle smernice EP a Rady 2005/29/ES, ktorá je dôvodom novelizácie zákona. Nekalé obchodné praktiky pri šírení reklamy sú zakázané, žiadna reklama nesmie mať znaky nekalej obchodnej praktiky. Čo je nekalou obchodnou praktikou, je ustanovené v § 7 až 9 zákona č. 250/2007 Z. z.</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6 (§ 4 ods. 2)</w:t>
      </w:r>
    </w:p>
    <w:p>
      <w:pPr>
        <w:jc w:val="both"/>
        <w:rPr>
          <w:rFonts w:ascii="Times New Roman" w:hAnsi="Times New Roman" w:cs="Times New Roman"/>
        </w:rPr>
      </w:pPr>
    </w:p>
    <w:p>
      <w:pPr>
        <w:pStyle w:val="BodyText"/>
        <w:rPr>
          <w:rFonts w:ascii="Times New Roman" w:hAnsi="Times New Roman" w:cs="Times New Roman"/>
          <w:szCs w:val="24"/>
        </w:rPr>
      </w:pPr>
      <w:r>
        <w:rPr>
          <w:rFonts w:ascii="Times New Roman" w:hAnsi="Times New Roman" w:cs="Times New Roman"/>
          <w:szCs w:val="24"/>
        </w:rPr>
        <w:tab/>
        <w:t>Prípustné znaky porovnávacej reklamy sa dávajú do súladu so znením smernice 84/450/EHS o klamlivej a porovnávacej reklame, ktorá bola tiež zmenená smernicou EP a Rady 2005/29/ES o nekalých obchodných praktikách. Vzhľadom na požiadavku Európskej komisie úplnej a doslovnej transpozície smernice minimálne v definícii pojmu sa doterajšie ustanovenie v tomto zmysle nahrádza novým ustanovením. Novou podmienkou prípustnosti porovnávacej reklamy je, že nesmie byť nekalou obchodnou praktikou</w:t>
      </w:r>
      <w:r>
        <w:rPr>
          <w:rFonts w:ascii="Times New Roman" w:hAnsi="Times New Roman" w:cs="Times New Roman"/>
          <w:szCs w:val="24"/>
        </w:rPr>
        <w:t xml:space="preserve">. </w:t>
      </w:r>
    </w:p>
    <w:p>
      <w:pPr>
        <w:pStyle w:val="BodyText"/>
        <w:rPr>
          <w:rFonts w:ascii="Times New Roman" w:hAnsi="Times New Roman" w:cs="Times New Roman"/>
          <w:szCs w:val="24"/>
        </w:rPr>
      </w:pPr>
    </w:p>
    <w:p>
      <w:pPr>
        <w:pStyle w:val="BodyText"/>
        <w:rPr>
          <w:rFonts w:ascii="Times New Roman" w:hAnsi="Times New Roman" w:cs="Times New Roman"/>
          <w:szCs w:val="24"/>
        </w:rPr>
      </w:pPr>
      <w:r>
        <w:rPr>
          <w:rFonts w:ascii="Times New Roman" w:hAnsi="Times New Roman" w:cs="Times New Roman"/>
          <w:szCs w:val="24"/>
        </w:rPr>
        <w:t>K bodom 7 až 11 (§ 11)</w:t>
      </w:r>
    </w:p>
    <w:p>
      <w:pPr>
        <w:pStyle w:val="BodyText"/>
        <w:rPr>
          <w:rFonts w:ascii="Times New Roman" w:hAnsi="Times New Roman" w:cs="Times New Roman"/>
          <w:szCs w:val="24"/>
        </w:rPr>
      </w:pPr>
    </w:p>
    <w:p>
      <w:pPr>
        <w:pStyle w:val="BodyText"/>
        <w:rPr>
          <w:rFonts w:ascii="Times New Roman" w:hAnsi="Times New Roman" w:cs="Times New Roman"/>
          <w:szCs w:val="24"/>
        </w:rPr>
      </w:pPr>
      <w:r>
        <w:rPr>
          <w:rFonts w:ascii="Times New Roman" w:hAnsi="Times New Roman" w:cs="Times New Roman"/>
          <w:szCs w:val="24"/>
        </w:rPr>
        <w:tab/>
        <w:t xml:space="preserve">Vzhľadom na doplnenie zákona o nové odseky je nevyhnutné preznačiť vzájomné vnútorné odkazy zákona. </w:t>
        <w:tab/>
      </w:r>
    </w:p>
    <w:p>
      <w:pPr>
        <w:pStyle w:val="BodyText"/>
        <w:rPr>
          <w:rFonts w:ascii="Times New Roman" w:hAnsi="Times New Roman" w:cs="Times New Roman"/>
          <w:szCs w:val="24"/>
        </w:rPr>
      </w:pPr>
    </w:p>
    <w:p>
      <w:pPr>
        <w:pStyle w:val="BodyText"/>
        <w:rPr>
          <w:rFonts w:ascii="Times New Roman" w:hAnsi="Times New Roman" w:cs="Times New Roman"/>
          <w:szCs w:val="24"/>
        </w:rPr>
      </w:pPr>
      <w:r>
        <w:rPr>
          <w:rFonts w:ascii="Times New Roman" w:hAnsi="Times New Roman" w:cs="Times New Roman"/>
          <w:szCs w:val="24"/>
        </w:rPr>
        <w:t xml:space="preserve">K bodu 12 </w:t>
      </w:r>
    </w:p>
    <w:p>
      <w:pPr>
        <w:pStyle w:val="BodyText"/>
        <w:rPr>
          <w:rFonts w:ascii="Times New Roman" w:hAnsi="Times New Roman" w:cs="Times New Roman"/>
          <w:szCs w:val="24"/>
        </w:rPr>
      </w:pPr>
    </w:p>
    <w:p>
      <w:pPr>
        <w:pStyle w:val="BodyText"/>
        <w:rPr>
          <w:rFonts w:ascii="Times New Roman" w:hAnsi="Times New Roman" w:cs="Times New Roman"/>
          <w:szCs w:val="24"/>
        </w:rPr>
      </w:pPr>
      <w:r>
        <w:rPr>
          <w:rFonts w:ascii="Times New Roman" w:hAnsi="Times New Roman" w:cs="Times New Roman"/>
          <w:szCs w:val="24"/>
        </w:rPr>
        <w:tab/>
        <w:t>Obligatórna transpozičná príloha k zákonu sa dopĺňa o smernicu EP a Rady 2005/29/ES o nekalých obchodných prakt</w:t>
      </w:r>
      <w:r>
        <w:rPr>
          <w:rFonts w:ascii="Times New Roman" w:hAnsi="Times New Roman" w:cs="Times New Roman"/>
          <w:szCs w:val="24"/>
        </w:rPr>
        <w:t xml:space="preserve">ikách. </w:t>
      </w:r>
    </w:p>
    <w:p>
      <w:pPr>
        <w:pStyle w:val="BodyText"/>
        <w:rPr>
          <w:rFonts w:ascii="Times New Roman" w:hAnsi="Times New Roman" w:cs="Times New Roman"/>
          <w:szCs w:val="24"/>
        </w:rPr>
      </w:pPr>
    </w:p>
    <w:p>
      <w:pPr>
        <w:pStyle w:val="BodyText"/>
        <w:rPr>
          <w:rFonts w:ascii="Times New Roman" w:hAnsi="Times New Roman" w:cs="Times New Roman"/>
          <w:szCs w:val="24"/>
        </w:rPr>
      </w:pPr>
      <w:r>
        <w:rPr>
          <w:rFonts w:ascii="Times New Roman" w:hAnsi="Times New Roman" w:cs="Times New Roman"/>
          <w:szCs w:val="24"/>
        </w:rPr>
        <w:t>K čl. II</w:t>
      </w:r>
    </w:p>
    <w:p>
      <w:pPr>
        <w:pStyle w:val="BodyText"/>
        <w:rPr>
          <w:rFonts w:ascii="Times New Roman" w:hAnsi="Times New Roman" w:cs="Times New Roman"/>
          <w:szCs w:val="24"/>
        </w:rPr>
      </w:pPr>
    </w:p>
    <w:p>
      <w:pPr>
        <w:pStyle w:val="BodyText"/>
        <w:rPr>
          <w:rFonts w:ascii="Times New Roman" w:hAnsi="Times New Roman" w:cs="Times New Roman"/>
          <w:szCs w:val="24"/>
        </w:rPr>
      </w:pPr>
      <w:r>
        <w:rPr>
          <w:rFonts w:ascii="Times New Roman" w:hAnsi="Times New Roman" w:cs="Times New Roman"/>
          <w:szCs w:val="24"/>
        </w:rPr>
        <w:t>K bodu 1</w:t>
      </w:r>
    </w:p>
    <w:p>
      <w:pPr>
        <w:pStyle w:val="BodyText"/>
        <w:rPr>
          <w:rFonts w:ascii="Times New Roman" w:hAnsi="Times New Roman" w:cs="Times New Roman"/>
          <w:szCs w:val="24"/>
        </w:rPr>
      </w:pPr>
    </w:p>
    <w:p>
      <w:pPr>
        <w:pStyle w:val="BodyText"/>
        <w:rPr>
          <w:rFonts w:ascii="Times New Roman" w:hAnsi="Times New Roman" w:cs="Times New Roman"/>
          <w:szCs w:val="24"/>
        </w:rPr>
      </w:pPr>
      <w:r>
        <w:rPr>
          <w:rFonts w:ascii="Times New Roman" w:hAnsi="Times New Roman" w:cs="Times New Roman"/>
          <w:szCs w:val="24"/>
        </w:rPr>
        <w:tab/>
        <w:t xml:space="preserve">Doplnenie poznámky pod čiarou k odkazu 1 je nevyhnutné, vzhľadom na zásadnú zmenu v oblasti ochrany spotrebiteľa, ktorou je schválenie nového zákona č. 250/2007 Z. z. o ochrane spotrebiteľa a o zmene zákona SNR č. 372/1990 Zb. o priestupkoch v znení neskorších predpisov. Neprimerané podmienky v spotrebiteľských zmluvách nie sú upravené v právnych predpisoch vzťahujúcich sa osobitne na ochranu spotrebiteľa, ale keďže ide o úpravu záväzkových vzťahov, boli doplnené do § 52 až 60 Občianskeho zákonníka. Dozor nad dodržiavaním povinností vyplývajúcich zo zákona o ochrane spotrebiteľa vykonáva Slovenská obchodná inšpekcia. Neprimerané podmienky v spotrebiteľských zmluvách sú častým prípadom porušenia práva zo strany podnikateľov voči spotrebiteľom. Keďže však spotrebiteľské zmluvy sú upravené v Občianskom zákonníku, Slovenská obchodná inšpekcia bez priameho odkazu nemohla kontrolovať všeobecné podmienky predaja výrobkov a poskytovania služieb podľa osobitného predpisu. Preto sa poznámka pod čiarou výslovne dopĺňa o § 52 až 60 OZ upravujúce neprimerané podmienky v spotrebiteľských zmluvách. Z čoho bude vyplývať, že Slovenská obchodná inšpekcia bude mať právo kontrolovať aj spotrebiteľské zmluvy u podnikateľov. </w:t>
      </w:r>
    </w:p>
    <w:p>
      <w:pPr>
        <w:pStyle w:val="BodyText"/>
        <w:rPr>
          <w:rFonts w:ascii="Times New Roman" w:hAnsi="Times New Roman" w:cs="Times New Roman"/>
          <w:szCs w:val="24"/>
        </w:rPr>
      </w:pPr>
    </w:p>
    <w:p>
      <w:pPr>
        <w:pStyle w:val="BodyText"/>
        <w:rPr>
          <w:rFonts w:ascii="Times New Roman" w:hAnsi="Times New Roman" w:cs="Times New Roman"/>
          <w:szCs w:val="24"/>
        </w:rPr>
      </w:pPr>
      <w:r>
        <w:rPr>
          <w:rFonts w:ascii="Times New Roman" w:hAnsi="Times New Roman" w:cs="Times New Roman"/>
          <w:szCs w:val="24"/>
        </w:rPr>
        <w:t>K bodu 2 (§ 4)</w:t>
      </w:r>
    </w:p>
    <w:p>
      <w:pPr>
        <w:pStyle w:val="BodyText"/>
        <w:rPr>
          <w:rFonts w:ascii="Times New Roman" w:hAnsi="Times New Roman" w:cs="Times New Roman"/>
          <w:szCs w:val="24"/>
        </w:rPr>
      </w:pPr>
    </w:p>
    <w:p>
      <w:pPr>
        <w:pStyle w:val="BodyText"/>
        <w:rPr>
          <w:rFonts w:ascii="Times New Roman" w:hAnsi="Times New Roman" w:cs="Times New Roman"/>
          <w:szCs w:val="24"/>
        </w:rPr>
      </w:pPr>
      <w:r>
        <w:rPr>
          <w:rFonts w:ascii="Times New Roman" w:hAnsi="Times New Roman" w:cs="Times New Roman"/>
          <w:szCs w:val="24"/>
        </w:rPr>
        <w:tab/>
        <w:t xml:space="preserve">Pôsobnosť Slovenskej obchodnej inšpekcie vymedzená v § 4 sa dopĺňa o právomoc ukladať záväzné pokyny na odstránenie nedostatkov a objasňovať priestupky. Pôsobnosť ukladať záväzné pokyny na odstránenie nedostatkov a objasňovať priestupky je všeobecne vymedzená pre všetky orgány dozoru vykonávajúcimi dozor nad dodržiavaním povinností vyplývajúcich z § 20 ods. 2  písm. h) a z § 20 ods. 14 zákona č. .../2007 Z. z. o ochrane spotrebiteľa a o zmene zákona č. 372/1990 Zb. o priestupkoch v znení neskorších predpisov. </w:t>
      </w:r>
    </w:p>
    <w:p>
      <w:pPr>
        <w:pStyle w:val="BodyText"/>
        <w:rPr>
          <w:rFonts w:ascii="Times New Roman" w:hAnsi="Times New Roman" w:cs="Times New Roman"/>
          <w:szCs w:val="24"/>
        </w:rPr>
      </w:pPr>
    </w:p>
    <w:p>
      <w:pPr>
        <w:pStyle w:val="BodyText"/>
        <w:rPr>
          <w:rFonts w:ascii="Times New Roman" w:hAnsi="Times New Roman" w:cs="Times New Roman"/>
          <w:szCs w:val="24"/>
        </w:rPr>
      </w:pPr>
      <w:r>
        <w:rPr>
          <w:rFonts w:ascii="Times New Roman" w:hAnsi="Times New Roman" w:cs="Times New Roman"/>
          <w:szCs w:val="24"/>
        </w:rPr>
        <w:t>K b</w:t>
      </w:r>
      <w:r>
        <w:rPr>
          <w:rFonts w:ascii="Times New Roman" w:hAnsi="Times New Roman" w:cs="Times New Roman"/>
          <w:szCs w:val="24"/>
        </w:rPr>
        <w:t>odu 3 (§ 4 ods. 3)</w:t>
      </w:r>
    </w:p>
    <w:p>
      <w:pPr>
        <w:pStyle w:val="BodyText"/>
        <w:rPr>
          <w:rFonts w:ascii="Times New Roman" w:hAnsi="Times New Roman" w:cs="Times New Roman"/>
          <w:szCs w:val="24"/>
        </w:rPr>
      </w:pPr>
    </w:p>
    <w:p>
      <w:pPr>
        <w:pStyle w:val="BodyText"/>
        <w:rPr>
          <w:rFonts w:ascii="Times New Roman" w:hAnsi="Times New Roman" w:cs="Times New Roman"/>
          <w:szCs w:val="24"/>
        </w:rPr>
      </w:pPr>
      <w:r>
        <w:rPr>
          <w:rFonts w:ascii="Times New Roman" w:hAnsi="Times New Roman" w:cs="Times New Roman"/>
          <w:szCs w:val="24"/>
        </w:rPr>
        <w:tab/>
        <w:t xml:space="preserve">Právo vyhotovovať obrazové, zvukové a obrazovo-zvukové záznamy sa pre Slovenskú obchodnú inšpekciu ustanovuje z dôvodu zabezpečenia dôkazných prostriedkov a zdokumen-tovania protiprávneho stavu pri kontrole na mieste. Toto právo je vecne obmedzené len na zdokumentovanie zistených nedostatkov a nemôže slúžiť iným účelom ako pre správne alebo súdne konanie. </w:t>
      </w:r>
    </w:p>
    <w:p>
      <w:pPr>
        <w:pStyle w:val="BodyText"/>
        <w:rPr>
          <w:rFonts w:ascii="Times New Roman" w:hAnsi="Times New Roman" w:cs="Times New Roman"/>
          <w:szCs w:val="24"/>
        </w:rPr>
      </w:pPr>
    </w:p>
    <w:p>
      <w:pPr>
        <w:pStyle w:val="BodyText"/>
        <w:rPr>
          <w:rFonts w:ascii="Times New Roman" w:hAnsi="Times New Roman" w:cs="Times New Roman"/>
          <w:szCs w:val="24"/>
        </w:rPr>
      </w:pPr>
    </w:p>
    <w:p>
      <w:pPr>
        <w:pStyle w:val="BodyText"/>
        <w:rPr>
          <w:rFonts w:ascii="Times New Roman" w:hAnsi="Times New Roman" w:cs="Times New Roman"/>
          <w:szCs w:val="24"/>
        </w:rPr>
      </w:pPr>
      <w:r>
        <w:rPr>
          <w:rFonts w:ascii="Times New Roman" w:hAnsi="Times New Roman" w:cs="Times New Roman"/>
          <w:szCs w:val="24"/>
        </w:rPr>
        <w:t>K bodom 4 a 5 (§ 5 ods. 5 a § 6 ods. 1)</w:t>
      </w:r>
    </w:p>
    <w:p>
      <w:pPr>
        <w:pStyle w:val="BodyText"/>
        <w:rPr>
          <w:rFonts w:ascii="Times New Roman" w:hAnsi="Times New Roman" w:cs="Times New Roman"/>
          <w:szCs w:val="24"/>
        </w:rPr>
      </w:pPr>
    </w:p>
    <w:p>
      <w:pPr>
        <w:pStyle w:val="BodyText"/>
        <w:rPr>
          <w:rFonts w:ascii="Times New Roman" w:hAnsi="Times New Roman" w:cs="Times New Roman"/>
          <w:szCs w:val="24"/>
        </w:rPr>
      </w:pPr>
      <w:r>
        <w:rPr>
          <w:rFonts w:ascii="Times New Roman" w:hAnsi="Times New Roman" w:cs="Times New Roman"/>
          <w:szCs w:val="24"/>
        </w:rPr>
        <w:tab/>
        <w:t>Práva vyjadrené v kompetencii Slovenskej obchodnej inšpekcie vo všeobecnosti v § 4 ods. 2 a 3 sa ustanovujú aj pre inšpektora Slovenskej obchodnej inšpekcie, ktorý vykonáva kontrolnú činnosť na mieste, t. j. môže nariadiť kontrolovanej osobe vykonať opatrenia na odstránenie zistených nedostatkov a vyhotovovať obrazové, zvukové a obrazovo-zvuk</w:t>
      </w:r>
      <w:r>
        <w:rPr>
          <w:rFonts w:ascii="Times New Roman" w:hAnsi="Times New Roman" w:cs="Times New Roman"/>
          <w:szCs w:val="24"/>
        </w:rPr>
        <w:t>ové záznamy na zdokumentovanie zistených nedostatkov.</w:t>
      </w:r>
    </w:p>
    <w:p>
      <w:pPr>
        <w:pStyle w:val="BodyText"/>
        <w:rPr>
          <w:rFonts w:ascii="Times New Roman" w:hAnsi="Times New Roman" w:cs="Times New Roman"/>
          <w:szCs w:val="24"/>
        </w:rPr>
      </w:pPr>
    </w:p>
    <w:p>
      <w:pPr>
        <w:pStyle w:val="BodyText"/>
        <w:rPr>
          <w:rFonts w:ascii="Times New Roman" w:hAnsi="Times New Roman" w:cs="Times New Roman"/>
          <w:szCs w:val="24"/>
        </w:rPr>
      </w:pPr>
      <w:r>
        <w:rPr>
          <w:rFonts w:ascii="Times New Roman" w:hAnsi="Times New Roman" w:cs="Times New Roman"/>
          <w:szCs w:val="24"/>
        </w:rPr>
        <w:t>K bodu 6 (§ 8 ods. 1)</w:t>
      </w:r>
    </w:p>
    <w:p>
      <w:pPr>
        <w:pStyle w:val="BodyText"/>
        <w:rPr>
          <w:rFonts w:ascii="Times New Roman" w:hAnsi="Times New Roman" w:cs="Times New Roman"/>
          <w:szCs w:val="24"/>
        </w:rPr>
      </w:pPr>
    </w:p>
    <w:p>
      <w:pPr>
        <w:pStyle w:val="BodyText"/>
        <w:rPr>
          <w:rFonts w:ascii="Times New Roman" w:hAnsi="Times New Roman" w:cs="Times New Roman"/>
          <w:szCs w:val="24"/>
        </w:rPr>
      </w:pPr>
      <w:r>
        <w:rPr>
          <w:rFonts w:ascii="Times New Roman" w:hAnsi="Times New Roman" w:cs="Times New Roman"/>
          <w:szCs w:val="24"/>
        </w:rPr>
        <w:tab/>
        <w:t>Medzi ochranné opatrenia, ktoré Slovenská obchodná inšpekcia ukladá rozhodnutím, sa zaraďuje aj zákaz konať spôsobom, ktorý má znaky nekalej obchodnej praktiky, a to aj vtedy, ak jej vykonanie len bezprostredne hrozí, čo znamená, že ešte k nej nedošlo, a to aj bez dôkazu o tom, či už škoda vznikla, a je tiež irelevantné, či ide o konanie úmyselné alebo nedbanlivostné. Nekalé obchodné praktiky sú definované v § 7 až 9 zákona č. 25</w:t>
      </w:r>
      <w:r>
        <w:rPr>
          <w:rFonts w:ascii="Times New Roman" w:hAnsi="Times New Roman" w:cs="Times New Roman"/>
          <w:szCs w:val="24"/>
        </w:rPr>
        <w:t>0/2007 Z. z.</w:t>
      </w:r>
    </w:p>
    <w:p>
      <w:pPr>
        <w:pStyle w:val="BodyText"/>
        <w:rPr>
          <w:rFonts w:ascii="Times New Roman" w:hAnsi="Times New Roman" w:cs="Times New Roman"/>
          <w:szCs w:val="24"/>
        </w:rPr>
      </w:pPr>
    </w:p>
    <w:p>
      <w:pPr>
        <w:pStyle w:val="BodyText"/>
        <w:rPr>
          <w:rFonts w:ascii="Times New Roman" w:hAnsi="Times New Roman" w:cs="Times New Roman"/>
          <w:szCs w:val="24"/>
        </w:rPr>
      </w:pPr>
      <w:r>
        <w:rPr>
          <w:rFonts w:ascii="Times New Roman" w:hAnsi="Times New Roman" w:cs="Times New Roman"/>
          <w:szCs w:val="24"/>
        </w:rPr>
        <w:t>K bodu 7 (§ 9 ods. 1)</w:t>
      </w:r>
    </w:p>
    <w:p>
      <w:pPr>
        <w:pStyle w:val="BodyText"/>
        <w:rPr>
          <w:rFonts w:ascii="Times New Roman" w:hAnsi="Times New Roman" w:cs="Times New Roman"/>
          <w:szCs w:val="24"/>
        </w:rPr>
      </w:pPr>
    </w:p>
    <w:p>
      <w:pPr>
        <w:pStyle w:val="BodyText"/>
        <w:ind w:firstLine="708"/>
        <w:rPr>
          <w:rFonts w:ascii="Times New Roman" w:hAnsi="Times New Roman" w:cs="Times New Roman"/>
          <w:szCs w:val="24"/>
        </w:rPr>
      </w:pPr>
      <w:r>
        <w:rPr>
          <w:rFonts w:ascii="Times New Roman" w:hAnsi="Times New Roman" w:cs="Times New Roman"/>
          <w:szCs w:val="24"/>
        </w:rPr>
        <w:t>Zvýšením sadzby pokút sa má dosiahnuť zvýšenie preventívneho odradzujúceho účinku plnenia opatrení uložených inšpektorom Slovenskej obchodnej inšpekcie na mieste a zosúladenie a primeranosti pokút ukladaných podľa § 9 o</w:t>
      </w:r>
      <w:r>
        <w:rPr>
          <w:rFonts w:ascii="Times New Roman" w:hAnsi="Times New Roman" w:cs="Times New Roman"/>
          <w:szCs w:val="24"/>
        </w:rPr>
        <w:t xml:space="preserve">ds. 1 písm. a) a b). </w:t>
      </w:r>
    </w:p>
    <w:p>
      <w:pPr>
        <w:pStyle w:val="BodyText"/>
        <w:rPr>
          <w:rFonts w:ascii="Times New Roman" w:hAnsi="Times New Roman" w:cs="Times New Roman"/>
          <w:szCs w:val="24"/>
        </w:rPr>
      </w:pPr>
    </w:p>
    <w:p>
      <w:pPr>
        <w:pStyle w:val="BodyText"/>
        <w:rPr>
          <w:rFonts w:ascii="Times New Roman" w:hAnsi="Times New Roman" w:cs="Times New Roman"/>
          <w:szCs w:val="24"/>
        </w:rPr>
      </w:pPr>
      <w:r>
        <w:rPr>
          <w:rFonts w:ascii="Times New Roman" w:hAnsi="Times New Roman" w:cs="Times New Roman"/>
          <w:szCs w:val="24"/>
        </w:rPr>
        <w:t>K čl. III</w:t>
      </w:r>
    </w:p>
    <w:p>
      <w:pPr>
        <w:pStyle w:val="BodyText"/>
        <w:rPr>
          <w:rFonts w:ascii="Times New Roman" w:hAnsi="Times New Roman" w:cs="Times New Roman"/>
          <w:szCs w:val="24"/>
        </w:rPr>
      </w:pPr>
    </w:p>
    <w:p>
      <w:pPr>
        <w:pStyle w:val="BodyText"/>
        <w:rPr>
          <w:rFonts w:ascii="Times New Roman" w:hAnsi="Times New Roman" w:cs="Times New Roman"/>
          <w:szCs w:val="24"/>
        </w:rPr>
      </w:pPr>
      <w:r>
        <w:rPr>
          <w:rFonts w:ascii="Times New Roman" w:hAnsi="Times New Roman" w:cs="Times New Roman"/>
          <w:szCs w:val="24"/>
        </w:rPr>
        <w:tab/>
        <w:t>Účinnosť zákona – 1. januára 2008 sa navrhuje vzhľadom na predpokladané trvanie legislatívneho procesu a čo najvčasnejšie splnenie povinnosti Slovenskej republiky transponovať smernicu o nekalých obchodných praktikách, ktorá už uplynula 12. júna 2007.</w:t>
      </w:r>
    </w:p>
    <w:p>
      <w:pPr>
        <w:pStyle w:val="BodyText"/>
        <w:rPr>
          <w:rFonts w:ascii="Times New Roman" w:hAnsi="Times New Roman" w:cs="Times New Roman"/>
          <w:szCs w:val="24"/>
        </w:rPr>
      </w:pPr>
    </w:p>
    <w:p>
      <w:pPr>
        <w:pStyle w:val="BodyText"/>
        <w:rPr>
          <w:rFonts w:ascii="Times New Roman" w:hAnsi="Times New Roman" w:cs="Times New Roman"/>
          <w:szCs w:val="24"/>
        </w:rPr>
      </w:pPr>
    </w:p>
    <w:p>
      <w:pPr>
        <w:pStyle w:val="BodyText"/>
        <w:rPr>
          <w:rFonts w:ascii="Times New Roman" w:hAnsi="Times New Roman" w:cs="Times New Roman"/>
          <w:szCs w:val="24"/>
        </w:rPr>
      </w:pPr>
    </w:p>
    <w:p>
      <w:pPr>
        <w:jc w:val="both"/>
        <w:rPr>
          <w:rFonts w:ascii="Times New Roman" w:hAnsi="Times New Roman" w:cs="Times New Roman"/>
        </w:rPr>
      </w:pPr>
      <w:r>
        <w:rPr>
          <w:rFonts w:ascii="Times New Roman" w:hAnsi="Times New Roman" w:cs="Times New Roman"/>
        </w:rPr>
        <w:t xml:space="preserve">Bratislava  5. septembra 2007  </w:t>
      </w:r>
    </w:p>
    <w:p>
      <w:pPr>
        <w:jc w:val="both"/>
        <w:rPr>
          <w:rFonts w:ascii="Times New Roman" w:hAnsi="Times New Roman" w:cs="Times New Roman"/>
        </w:rPr>
      </w:pPr>
    </w:p>
    <w:p>
      <w:pPr>
        <w:jc w:val="both"/>
        <w:rPr>
          <w:rFonts w:ascii="Times New Roman" w:hAnsi="Times New Roman" w:cs="Times New Roman"/>
        </w:rPr>
      </w:pPr>
    </w:p>
    <w:p>
      <w:pPr>
        <w:rPr>
          <w:rFonts w:ascii="Times New Roman" w:hAnsi="Times New Roman" w:cs="Times New Roman"/>
        </w:rPr>
      </w:pPr>
    </w:p>
    <w:p>
      <w:pPr>
        <w:pStyle w:val="Heading3"/>
        <w:jc w:val="center"/>
        <w:rPr>
          <w:rFonts w:ascii="Times New Roman" w:hAnsi="Times New Roman"/>
          <w:bCs w:val="0"/>
          <w:sz w:val="24"/>
          <w:szCs w:val="24"/>
        </w:rPr>
      </w:pPr>
      <w:r>
        <w:rPr>
          <w:rFonts w:ascii="Times New Roman" w:hAnsi="Times New Roman"/>
          <w:bCs w:val="0"/>
          <w:sz w:val="24"/>
          <w:szCs w:val="24"/>
        </w:rPr>
        <w:t>Robert Fico</w:t>
      </w:r>
    </w:p>
    <w:p>
      <w:pPr>
        <w:jc w:val="center"/>
        <w:rPr>
          <w:rFonts w:ascii="Times New Roman" w:hAnsi="Times New Roman" w:cs="Times New Roman"/>
        </w:rPr>
      </w:pPr>
      <w:r>
        <w:rPr>
          <w:rFonts w:ascii="Times New Roman" w:hAnsi="Times New Roman" w:cs="Times New Roman"/>
        </w:rPr>
        <w:t>predseda vlády Slovenskej republiky</w:t>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pStyle w:val="Heading1"/>
        <w:jc w:val="center"/>
        <w:rPr>
          <w:rFonts w:ascii="Times New Roman" w:hAnsi="Times New Roman" w:cs="Times New Roman"/>
        </w:rPr>
      </w:pPr>
      <w:r>
        <w:rPr>
          <w:rFonts w:ascii="Times New Roman" w:hAnsi="Times New Roman" w:cs="Times New Roman"/>
        </w:rPr>
        <w:t>Ľubomír Jahnátek</w:t>
      </w:r>
    </w:p>
    <w:p>
      <w:pPr>
        <w:jc w:val="center"/>
        <w:rPr>
          <w:rFonts w:ascii="Times New Roman" w:hAnsi="Times New Roman" w:cs="Times New Roman"/>
        </w:rPr>
      </w:pPr>
      <w:r>
        <w:rPr>
          <w:rFonts w:ascii="Times New Roman" w:hAnsi="Times New Roman" w:cs="Times New Roman"/>
        </w:rPr>
        <w:t>minister hospodárstva Slovenskej republiky</w:t>
      </w:r>
    </w:p>
    <w:p>
      <w:pPr>
        <w:rPr>
          <w:rFonts w:ascii="Times New Roman" w:hAnsi="Times New Roman" w:cs="Times New Roman"/>
        </w:rPr>
      </w:pPr>
    </w:p>
    <w:p>
      <w:pPr>
        <w:rPr>
          <w:rFonts w:ascii="Times New Roman" w:hAnsi="Times New Roman" w:cs="Times New Roman"/>
        </w:rPr>
      </w:pPr>
    </w:p>
    <w:p>
      <w:pPr>
        <w:pStyle w:val="BodyText"/>
        <w:rPr>
          <w:rFonts w:ascii="Times New Roman" w:hAnsi="Times New Roman" w:cs="Times New Roman"/>
          <w:szCs w:val="24"/>
        </w:rPr>
      </w:pPr>
    </w:p>
    <w:p>
      <w:pPr>
        <w:pStyle w:val="BodyText"/>
        <w:rPr>
          <w:rFonts w:ascii="Times New Roman" w:hAnsi="Times New Roman" w:cs="Times New Roman"/>
          <w:szCs w:val="24"/>
        </w:rPr>
      </w:pPr>
    </w:p>
    <w:p>
      <w:pPr>
        <w:pStyle w:val="BodyText"/>
        <w:rPr>
          <w:rFonts w:ascii="Times New Roman" w:hAnsi="Times New Roman" w:cs="Times New Roman"/>
          <w:szCs w:val="24"/>
        </w:rPr>
      </w:pPr>
    </w:p>
    <w:p>
      <w:pPr>
        <w:jc w:val="both"/>
        <w:rPr>
          <w:rFonts w:ascii="Times New Roman" w:hAnsi="Times New Roman" w:cs="Times New Roman"/>
        </w:rPr>
      </w:pPr>
    </w:p>
    <w:sectPr>
      <w:footerReference w:type="even" r:id="rId4"/>
      <w:footerReference w:type="default" r:id="rId5"/>
      <w:pgSz w:w="11906" w:h="16838" w:code="9"/>
      <w:pgMar w:top="1134" w:right="1418" w:bottom="1418" w:left="1418" w:header="709" w:footer="709"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Book Antiqua">
    <w:panose1 w:val="02040602050305030304"/>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sz w:val="22"/>
      </w:rPr>
    </w:pPr>
    <w:r>
      <w:rPr>
        <w:rStyle w:val="PageNumber"/>
        <w:rFonts w:ascii="Times New Roman" w:hAnsi="Times New Roman" w:cs="Times New Roman"/>
        <w:sz w:val="22"/>
      </w:rPr>
      <w:fldChar w:fldCharType="begin"/>
    </w:r>
    <w:r>
      <w:rPr>
        <w:rStyle w:val="PageNumber"/>
        <w:rFonts w:ascii="Times New Roman" w:hAnsi="Times New Roman" w:cs="Times New Roman"/>
        <w:sz w:val="22"/>
      </w:rPr>
      <w:instrText xml:space="preserve">PAGE  </w:instrText>
    </w:r>
    <w:r>
      <w:rPr>
        <w:rStyle w:val="PageNumber"/>
        <w:rFonts w:ascii="Times New Roman" w:hAnsi="Times New Roman" w:cs="Times New Roman"/>
        <w:sz w:val="22"/>
      </w:rPr>
      <w:fldChar w:fldCharType="separate"/>
    </w:r>
    <w:r>
      <w:rPr>
        <w:rStyle w:val="PageNumber"/>
        <w:rFonts w:ascii="Times New Roman" w:hAnsi="Times New Roman" w:cs="Times New Roman"/>
        <w:noProof/>
        <w:sz w:val="22"/>
      </w:rPr>
      <w:t>6</w:t>
    </w:r>
    <w:r>
      <w:rPr>
        <w:rStyle w:val="PageNumber"/>
        <w:rFonts w:ascii="Times New Roman" w:hAnsi="Times New Roman" w:cs="Times New Roman"/>
        <w:sz w:val="22"/>
      </w:rPr>
      <w:fldChar w:fldCharType="end"/>
    </w:r>
  </w:p>
  <w:p>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F33"/>
    <w:multiLevelType w:val="hybridMultilevel"/>
    <w:tmpl w:val="0AB64304"/>
    <w:lvl w:ilvl="0">
      <w:start w:val="2"/>
      <w:numFmt w:val="lowerLetter"/>
      <w:lvlText w:val="%1)"/>
      <w:lvlJc w:val="left"/>
      <w:pPr>
        <w:tabs>
          <w:tab w:val="num" w:pos="700"/>
        </w:tabs>
        <w:ind w:left="680" w:hanging="340"/>
      </w:pPr>
    </w:lvl>
    <w:lvl w:ilvl="1">
      <w:start w:val="4"/>
      <w:numFmt w:val="decimal"/>
      <w:lvlText w:val="%2."/>
      <w:lvlJc w:val="left"/>
      <w:pPr>
        <w:tabs>
          <w:tab w:val="num" w:pos="360"/>
        </w:tabs>
        <w:ind w:left="340" w:hanging="340"/>
      </w:pPr>
      <w:rPr>
        <w:b/>
        <w:i w:val="0"/>
        <w:rtl w:val="0"/>
      </w:rPr>
    </w:lvl>
    <w:lvl w:ilvl="2">
      <w:start w:val="1"/>
      <w:numFmt w:val="lowerLetter"/>
      <w:lvlText w:val="%3)"/>
      <w:lvlJc w:val="left"/>
      <w:pPr>
        <w:tabs>
          <w:tab w:val="num" w:pos="700"/>
        </w:tabs>
        <w:ind w:left="680" w:hanging="340"/>
      </w:pPr>
    </w:lvl>
    <w:lvl w:ilvl="3">
      <w:start w:val="5"/>
      <w:numFmt w:val="decimal"/>
      <w:lvlText w:val="%4."/>
      <w:lvlJc w:val="left"/>
      <w:pPr>
        <w:tabs>
          <w:tab w:val="num" w:pos="360"/>
        </w:tabs>
        <w:ind w:left="340" w:hanging="340"/>
      </w:pPr>
      <w:rPr>
        <w:b/>
        <w:i w:val="0"/>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8442D4"/>
    <w:multiLevelType w:val="multilevel"/>
    <w:tmpl w:val="3346623E"/>
    <w:lvl w:ilvl="0">
      <w:start w:val="1"/>
      <w:numFmt w:val="upperLetter"/>
      <w:pStyle w:val="Heading1orobas"/>
      <w:lvlText w:val="%1."/>
      <w:lvlJc w:val="left"/>
      <w:pPr>
        <w:tabs>
          <w:tab w:val="num" w:pos="567"/>
        </w:tabs>
        <w:ind w:left="567" w:hanging="567"/>
      </w:pPr>
      <w:rPr>
        <w:rFonts w:ascii="Times New Roman" w:hAnsi="Times New Roman" w:cs="Times New Roman"/>
        <w:b w:val="0"/>
        <w:bCs/>
        <w:i w:val="0"/>
        <w:iCs w:val="0"/>
        <w:sz w:val="24"/>
        <w:szCs w:val="24"/>
        <w:rtl w:val="0"/>
      </w:rPr>
    </w:lvl>
    <w:lvl w:ilvl="1">
      <w:start w:val="1"/>
      <w:numFmt w:val="decimal"/>
      <w:pStyle w:val="Heading2loha"/>
      <w:lvlText w:val="%1.%2."/>
      <w:lvlJc w:val="left"/>
      <w:pPr>
        <w:tabs>
          <w:tab w:val="num" w:pos="1418"/>
        </w:tabs>
        <w:ind w:left="1418" w:hanging="851"/>
      </w:pPr>
      <w:rPr>
        <w:rFonts w:ascii="Times New Roman" w:hAnsi="Times New Roman" w:cs="Times New Roman"/>
        <w:b w:val="0"/>
        <w:bCs w:val="0"/>
        <w:i w:val="0"/>
        <w:iCs w:val="0"/>
        <w:sz w:val="24"/>
        <w:szCs w:val="24"/>
        <w:rtl w:val="0"/>
      </w:rPr>
    </w:lvl>
    <w:lvl w:ilvl="2">
      <w:start w:val="1"/>
      <w:numFmt w:val="none"/>
      <w:lvlRestart w:val="0"/>
      <w:lvlJc w:val="left"/>
      <w:pPr>
        <w:tabs>
          <w:tab w:val="num" w:pos="1418"/>
        </w:tabs>
        <w:ind w:left="1418" w:hanging="851"/>
      </w:pPr>
      <w:rPr>
        <w:rFonts w:ascii="Times New Roman" w:hAnsi="Times New Roman" w:cs="Times New Roman"/>
        <w:b w:val="0"/>
        <w:bCs w:val="0"/>
        <w:i w:val="0"/>
        <w:iCs w:val="0"/>
        <w:sz w:val="24"/>
        <w:szCs w:val="24"/>
        <w:rtl w:val="0"/>
      </w:rPr>
    </w:lvl>
    <w:lvl w:ilvl="3">
      <w:start w:val="1"/>
      <w:numFmt w:val="none"/>
      <w:lvlText w:val="%4"/>
      <w:lvlJc w:val="left"/>
      <w:pPr>
        <w:tabs>
          <w:tab w:val="num" w:pos="1418"/>
        </w:tabs>
        <w:ind w:left="1418" w:hanging="1418"/>
      </w:pPr>
      <w:rPr>
        <w:rFonts w:ascii="Times New Roman" w:hAnsi="Times New Roman" w:cs="Times New Roman"/>
        <w:b w:val="0"/>
        <w:bCs w:val="0"/>
        <w:i/>
        <w:iCs/>
        <w:sz w:val="24"/>
        <w:szCs w:val="24"/>
        <w:rtl w:val="0"/>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nsid w:val="32065232"/>
    <w:multiLevelType w:val="hybridMultilevel"/>
    <w:tmpl w:val="3AD21230"/>
    <w:lvl w:ilvl="0">
      <w:start w:val="1"/>
      <w:numFmt w:val="upperLetter"/>
      <w:lvlText w:val="%1)"/>
      <w:lvlJc w:val="left"/>
      <w:pPr>
        <w:tabs>
          <w:tab w:val="num" w:pos="360"/>
        </w:tabs>
        <w:ind w:left="340" w:hanging="340"/>
      </w:pPr>
      <w:rPr>
        <w:b w:val="0"/>
        <w:i w:val="0"/>
        <w:sz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627564E1"/>
    <w:multiLevelType w:val="hybridMultilevel"/>
    <w:tmpl w:val="A1CEE81A"/>
    <w:lvl w:ilvl="0">
      <w:start w:val="3"/>
      <w:numFmt w:val="decimal"/>
      <w:lvlText w:val="%1."/>
      <w:lvlJc w:val="left"/>
      <w:pPr>
        <w:tabs>
          <w:tab w:val="num" w:pos="360"/>
        </w:tabs>
        <w:ind w:left="340" w:hanging="340"/>
      </w:pPr>
      <w:rPr>
        <w:b/>
        <w:i w:val="0"/>
        <w:rtl w:val="0"/>
      </w:rPr>
    </w:lvl>
    <w:lvl w:ilvl="1">
      <w:start w:val="1"/>
      <w:numFmt w:val="lowerLetter"/>
      <w:lvlText w:val="%2)"/>
      <w:lvlJc w:val="left"/>
      <w:pPr>
        <w:tabs>
          <w:tab w:val="num" w:pos="700"/>
        </w:tabs>
        <w:ind w:left="68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38364D8"/>
    <w:multiLevelType w:val="hybridMultilevel"/>
    <w:tmpl w:val="02969FFE"/>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D9A3E74"/>
    <w:multiLevelType w:val="hybridMultilevel"/>
    <w:tmpl w:val="36F6C27A"/>
    <w:lvl w:ilvl="0">
      <w:start w:val="1"/>
      <w:numFmt w:val="upperLetter"/>
      <w:lvlText w:val="%1."/>
      <w:lvlJc w:val="left"/>
      <w:pPr>
        <w:tabs>
          <w:tab w:val="num" w:pos="360"/>
        </w:tabs>
        <w:ind w:left="340" w:hanging="340"/>
      </w:pPr>
      <w:rPr>
        <w:b w:val="0"/>
        <w:i w:val="0"/>
        <w:sz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7F716E14"/>
    <w:multiLevelType w:val="hybridMultilevel"/>
    <w:tmpl w:val="96DA946E"/>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6"/>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both"/>
      <w:outlineLvl w:val="0"/>
    </w:pPr>
    <w:rPr>
      <w:b/>
      <w:bCs/>
    </w:rPr>
  </w:style>
  <w:style w:type="paragraph" w:styleId="Heading2">
    <w:name w:val="heading 2"/>
    <w:basedOn w:val="Normal"/>
    <w:next w:val="Normal"/>
    <w:uiPriority w:val="9"/>
    <w:qFormat/>
    <w:pPr>
      <w:keepNext/>
      <w:spacing w:before="120" w:after="60"/>
      <w:jc w:val="center"/>
      <w:outlineLvl w:val="1"/>
    </w:pPr>
    <w:rPr>
      <w:rFonts w:cs="Arial"/>
      <w:b/>
      <w:bCs/>
      <w:iCs/>
      <w:szCs w:val="28"/>
    </w:rPr>
  </w:style>
  <w:style w:type="paragraph" w:styleId="Heading3">
    <w:name w:val="heading 3"/>
    <w:basedOn w:val="Normal"/>
    <w:next w:val="Normal"/>
    <w:uiPriority w:val="9"/>
    <w:qFormat/>
    <w:pPr>
      <w:keepNext/>
      <w:spacing w:before="240" w:after="60"/>
      <w:jc w:val="left"/>
      <w:outlineLvl w:val="2"/>
    </w:pPr>
    <w:rPr>
      <w:rFonts w:ascii="Arial" w:hAnsi="Arial" w:cs="Arial"/>
      <w:b/>
      <w:bCs/>
      <w:sz w:val="26"/>
      <w:szCs w:val="26"/>
    </w:rPr>
  </w:style>
  <w:style w:type="character" w:default="1" w:styleId="DefaultParagraphFont">
    <w:name w:val="Default Paragraph Font"/>
  </w:style>
  <w:style w:type="paragraph" w:styleId="Title">
    <w:name w:val="Title"/>
    <w:basedOn w:val="Normal"/>
    <w:uiPriority w:val="10"/>
    <w:qFormat/>
    <w:pPr>
      <w:jc w:val="center"/>
    </w:pPr>
    <w:rPr>
      <w:b/>
      <w:bCs/>
    </w:rPr>
  </w:style>
  <w:style w:type="paragraph" w:styleId="BodyText">
    <w:name w:val="Body Text"/>
    <w:basedOn w:val="Normal"/>
    <w:pPr>
      <w:jc w:val="both"/>
    </w:pPr>
    <w:rPr>
      <w:rFonts w:cs="Arial"/>
      <w:szCs w:val="20"/>
    </w:rPr>
  </w:style>
  <w:style w:type="paragraph" w:styleId="BodyTextIndent">
    <w:name w:val="Body Text Indent"/>
    <w:basedOn w:val="Normal"/>
    <w:pPr>
      <w:ind w:firstLine="374"/>
      <w:jc w:val="left"/>
    </w:pPr>
    <w:rPr>
      <w:rFonts w:ascii="Book Antiqua" w:hAnsi="Book Antiqua"/>
    </w:rPr>
  </w:style>
  <w:style w:type="paragraph" w:styleId="BodyTextIndent2">
    <w:name w:val="Body Text Indent 2"/>
    <w:basedOn w:val="Normal"/>
    <w:pPr>
      <w:ind w:firstLine="374"/>
      <w:jc w:val="both"/>
    </w:pPr>
    <w:rPr>
      <w:rFonts w:ascii="Book Antiqua" w:hAnsi="Book Antiqua"/>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Header">
    <w:name w:val="header"/>
    <w:basedOn w:val="Normal"/>
    <w:pPr>
      <w:tabs>
        <w:tab w:val="center" w:pos="4536"/>
        <w:tab w:val="right" w:pos="9072"/>
      </w:tabs>
      <w:jc w:val="left"/>
    </w:pPr>
  </w:style>
  <w:style w:type="paragraph" w:customStyle="1" w:styleId="Heading1orobas">
    <w:name w:val="Heading 1.Čo robí (časť)"/>
    <w:basedOn w:val="Normal"/>
    <w:next w:val="Normal"/>
    <w:pPr>
      <w:keepNext/>
      <w:numPr>
        <w:ilvl w:val="0"/>
        <w:numId w:val="5"/>
      </w:numPr>
      <w:tabs>
        <w:tab w:val="left" w:pos="567"/>
      </w:tabs>
      <w:spacing w:before="360"/>
      <w:ind w:left="567" w:hanging="567"/>
      <w:jc w:val="left"/>
    </w:pPr>
    <w:rPr>
      <w:b/>
      <w:bCs/>
      <w:kern w:val="32"/>
      <w:sz w:val="28"/>
      <w:szCs w:val="28"/>
    </w:rPr>
  </w:style>
  <w:style w:type="paragraph" w:customStyle="1" w:styleId="Heading2loha">
    <w:name w:val="Heading 2.Úloha"/>
    <w:basedOn w:val="Normal"/>
    <w:pPr>
      <w:numPr>
        <w:ilvl w:val="1"/>
        <w:numId w:val="5"/>
      </w:numPr>
      <w:tabs>
        <w:tab w:val="left" w:pos="1418"/>
      </w:tabs>
      <w:spacing w:before="120"/>
      <w:ind w:left="1418" w:hanging="851"/>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357</TotalTime>
  <Pages>1</Pages>
  <Words>1878</Words>
  <Characters>10709</Characters>
  <Application>Microsoft Office Word</Application>
  <DocSecurity>0</DocSecurity>
  <Lines>0</Lines>
  <Paragraphs>0</Paragraphs>
  <ScaleCrop>false</ScaleCrop>
  <Company>MH SR</Company>
  <LinksUpToDate>false</LinksUpToDate>
  <CharactersWithSpaces>13151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Talapkova</dc:creator>
  <cp:lastModifiedBy>Talapkova</cp:lastModifiedBy>
  <cp:revision>306</cp:revision>
  <dcterms:created xsi:type="dcterms:W3CDTF">2007-05-03T13:18:00Z</dcterms:created>
  <dcterms:modified xsi:type="dcterms:W3CDTF">2007-09-05T13:40:00Z</dcterms:modified>
</cp:coreProperties>
</file>