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548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43" w:type="dxa"/>
          <w:right w:w="43" w:type="dxa"/>
        </w:tblCellMar>
        <w:tblLook w:val="0000"/>
      </w:tblPr>
      <w:tblGrid>
        <w:gridCol w:w="900"/>
        <w:gridCol w:w="720"/>
        <w:gridCol w:w="2700"/>
        <w:gridCol w:w="900"/>
        <w:gridCol w:w="1620"/>
        <w:gridCol w:w="1080"/>
        <w:gridCol w:w="3600"/>
        <w:gridCol w:w="900"/>
        <w:gridCol w:w="1080"/>
        <w:gridCol w:w="1980"/>
      </w:tblGrid>
      <w:tr>
        <w:tblPrEx>
          <w:tblW w:w="1548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43" w:type="dxa"/>
            <w:right w:w="43" w:type="dxa"/>
          </w:tblCellMar>
          <w:tblLook w:val="0000"/>
        </w:tblPrEx>
        <w:tc>
          <w:tcPr>
            <w:tcW w:w="1548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34214" w:rsidP="00034214">
            <w:pPr>
              <w:pStyle w:val="Heading1"/>
              <w:rPr>
                <w:sz w:val="28"/>
                <w:szCs w:val="28"/>
              </w:rPr>
            </w:pPr>
            <w:r w:rsidRPr="00527C5B">
              <w:rPr>
                <w:sz w:val="28"/>
                <w:szCs w:val="28"/>
              </w:rPr>
              <w:t>TABUĽKA  ZHODY</w:t>
            </w:r>
          </w:p>
          <w:p w:rsidR="00034214" w:rsidRPr="005761EF" w:rsidP="00034214"/>
          <w:p w:rsidR="00034214" w:rsidRPr="00527C5B" w:rsidP="00034214">
            <w:pPr>
              <w:pStyle w:val="BodyTextIndent"/>
              <w:spacing w:line="240" w:lineRule="auto"/>
              <w:rPr>
                <w:sz w:val="28"/>
                <w:szCs w:val="28"/>
              </w:rPr>
            </w:pPr>
            <w:r w:rsidRPr="005761EF">
              <w:t>k návrhu zákona</w:t>
            </w:r>
            <w:r w:rsidR="00DE2BD4">
              <w:t>,</w:t>
            </w:r>
            <w:r w:rsidRPr="005761EF">
              <w:t xml:space="preserve"> </w:t>
            </w:r>
            <w:r w:rsidRPr="005761EF">
              <w:rPr>
                <w:lang w:eastAsia="cs-CZ"/>
              </w:rPr>
              <w:t>ktorým sa men</w:t>
            </w:r>
            <w:r w:rsidR="007C201D">
              <w:rPr>
                <w:lang w:eastAsia="cs-CZ"/>
              </w:rPr>
              <w:t>ia</w:t>
            </w:r>
            <w:r w:rsidRPr="005761EF">
              <w:rPr>
                <w:lang w:eastAsia="cs-CZ"/>
              </w:rPr>
              <w:t xml:space="preserve"> a</w:t>
            </w:r>
            <w:r>
              <w:rPr>
                <w:lang w:eastAsia="cs-CZ"/>
              </w:rPr>
              <w:t> </w:t>
            </w:r>
            <w:r w:rsidRPr="005761EF">
              <w:rPr>
                <w:lang w:eastAsia="cs-CZ"/>
              </w:rPr>
              <w:t>dopĺňa</w:t>
            </w:r>
            <w:r>
              <w:rPr>
                <w:lang w:eastAsia="cs-CZ"/>
              </w:rPr>
              <w:t xml:space="preserve">jú niektoré </w:t>
            </w:r>
            <w:r w:rsidRPr="005761EF">
              <w:rPr>
                <w:lang w:eastAsia="cs-CZ"/>
              </w:rPr>
              <w:t>zákon</w:t>
            </w:r>
            <w:r>
              <w:rPr>
                <w:lang w:eastAsia="cs-CZ"/>
              </w:rPr>
              <w:t>y v súvislosti so vstupom Slovenskej republiky do Schengenského priestoru</w:t>
            </w:r>
            <w:r w:rsidRPr="005761EF">
              <w:rPr>
                <w:lang w:eastAsia="cs-CZ"/>
              </w:rPr>
              <w:t xml:space="preserve"> </w:t>
            </w:r>
          </w:p>
          <w:p w:rsidR="00034214" w:rsidRPr="00527C5B" w:rsidP="00034214">
            <w:pPr>
              <w:pStyle w:val="Heading1"/>
              <w:spacing w:after="120"/>
              <w:rPr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5480" w:type="dxa"/>
          <w:tblInd w:w="-497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56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034214" w:rsidRPr="00527C5B" w:rsidP="00034214">
            <w:pPr>
              <w:pStyle w:val="Heading4"/>
              <w:jc w:val="both"/>
              <w:rPr>
                <w:sz w:val="20"/>
                <w:szCs w:val="20"/>
              </w:rPr>
            </w:pPr>
            <w:r w:rsidRPr="00527C5B">
              <w:rPr>
                <w:sz w:val="20"/>
                <w:szCs w:val="20"/>
              </w:rPr>
              <w:t>Názov smernice:</w:t>
            </w:r>
          </w:p>
        </w:tc>
        <w:tc>
          <w:tcPr>
            <w:tcW w:w="13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034214" w:rsidRPr="00D96AC4" w:rsidP="00034214">
            <w:pPr>
              <w:autoSpaceDE/>
              <w:autoSpaceDN/>
              <w:spacing w:before="100" w:after="100"/>
              <w:ind w:left="137" w:right="900"/>
              <w:jc w:val="both"/>
              <w:rPr>
                <w:sz w:val="20"/>
                <w:szCs w:val="20"/>
              </w:rPr>
            </w:pPr>
            <w:r w:rsidRPr="00D96AC4">
              <w:rPr>
                <w:sz w:val="20"/>
                <w:szCs w:val="20"/>
              </w:rPr>
              <w:t>Smernica Európskeho parlamentu a Rady 2004/38/ES</w:t>
            </w:r>
            <w:r>
              <w:rPr>
                <w:sz w:val="20"/>
                <w:szCs w:val="20"/>
              </w:rPr>
              <w:t xml:space="preserve"> </w:t>
            </w:r>
            <w:r w:rsidRPr="00D96AC4">
              <w:rPr>
                <w:sz w:val="20"/>
                <w:szCs w:val="20"/>
              </w:rPr>
              <w:t>z 29. apríla 2004</w:t>
            </w:r>
            <w:r>
              <w:rPr>
                <w:sz w:val="20"/>
                <w:szCs w:val="20"/>
              </w:rPr>
              <w:t xml:space="preserve"> </w:t>
            </w:r>
            <w:r w:rsidRPr="00D96AC4">
              <w:rPr>
                <w:sz w:val="20"/>
                <w:szCs w:val="20"/>
              </w:rPr>
              <w:t>o práve občanov Únie a ich rodinných príslušníkov voľne sa pohybovať a zdržiavať sa v rámci územia členských štátov, ktorá mení a dopĺňa nariadenie (EHS) 1612/68 a ruší smernice 64/221/EHS, 68/360/EHS, 72/194/EHS, 73/148/EHS, 75/34/EHS, 75/35/EHS, 90/364/EHS, 90/365/EHS a 93/96</w:t>
            </w:r>
            <w:r w:rsidRPr="00D96AC4">
              <w:rPr>
                <w:sz w:val="20"/>
                <w:szCs w:val="20"/>
              </w:rPr>
              <w:t>/EHS</w:t>
            </w:r>
          </w:p>
          <w:p w:rsidR="00034214" w:rsidRPr="00527C5B" w:rsidP="00034214">
            <w:pPr>
              <w:pStyle w:val="Heading4"/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5480" w:type="dxa"/>
          <w:tblInd w:w="-497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trHeight w:val="567"/>
        </w:trPr>
        <w:tc>
          <w:tcPr>
            <w:tcW w:w="52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34214" w:rsidRPr="00527C5B" w:rsidP="00034214">
            <w:pPr>
              <w:pStyle w:val="Heading4"/>
              <w:spacing w:before="120"/>
              <w:rPr>
                <w:sz w:val="20"/>
                <w:szCs w:val="20"/>
              </w:rPr>
            </w:pPr>
            <w:r w:rsidRPr="00527C5B">
              <w:rPr>
                <w:sz w:val="20"/>
                <w:szCs w:val="20"/>
              </w:rPr>
              <w:t>Smernica ES/EÚ</w:t>
            </w:r>
          </w:p>
          <w:p w:rsidR="00034214" w:rsidRPr="006E7ED9" w:rsidP="00034214">
            <w:pPr>
              <w:pStyle w:val="BodyText3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0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034214" w:rsidRPr="005761EF" w:rsidP="00034214">
            <w:pPr>
              <w:pStyle w:val="Heading4"/>
              <w:spacing w:before="120"/>
            </w:pPr>
            <w:r w:rsidRPr="00527C5B">
              <w:t>Právne predpisy Slovenskej republiky</w:t>
            </w:r>
          </w:p>
          <w:p w:rsidR="00034214" w:rsidRPr="00527C5B" w:rsidP="00034214">
            <w:pPr>
              <w:pStyle w:val="BodyTextIndent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>
        <w:tblPrEx>
          <w:tblW w:w="15480" w:type="dxa"/>
          <w:tblInd w:w="-497" w:type="dxa"/>
          <w:tblLayout w:type="fixed"/>
          <w:tblCellMar>
            <w:left w:w="43" w:type="dxa"/>
            <w:right w:w="43" w:type="dxa"/>
          </w:tblCellMar>
          <w:tblLook w:val="0000"/>
        </w:tblPrEx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4214" w:rsidRPr="00527C5B" w:rsidP="00034214">
            <w:pPr>
              <w:jc w:val="center"/>
              <w:rPr>
                <w:sz w:val="20"/>
                <w:szCs w:val="20"/>
              </w:rPr>
            </w:pPr>
            <w:r w:rsidRPr="00527C5B">
              <w:rPr>
                <w:sz w:val="20"/>
                <w:szCs w:val="20"/>
              </w:rPr>
              <w:t>1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14" w:rsidRPr="00527C5B" w:rsidP="00034214">
            <w:pPr>
              <w:jc w:val="center"/>
              <w:rPr>
                <w:sz w:val="20"/>
                <w:szCs w:val="20"/>
              </w:rPr>
            </w:pPr>
            <w:r w:rsidRPr="00527C5B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4214" w:rsidRPr="00527C5B" w:rsidP="00034214">
            <w:pPr>
              <w:jc w:val="center"/>
              <w:rPr>
                <w:sz w:val="20"/>
                <w:szCs w:val="20"/>
              </w:rPr>
            </w:pPr>
            <w:r w:rsidRPr="00527C5B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214" w:rsidRPr="00527C5B" w:rsidP="00034214">
            <w:pPr>
              <w:jc w:val="center"/>
              <w:rPr>
                <w:sz w:val="20"/>
                <w:szCs w:val="20"/>
              </w:rPr>
            </w:pPr>
            <w:r w:rsidRPr="00527C5B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14" w:rsidRPr="00527C5B" w:rsidP="00034214">
            <w:pPr>
              <w:pStyle w:val="BodyTextIndent"/>
              <w:spacing w:after="0" w:line="240" w:lineRule="exact"/>
              <w:jc w:val="center"/>
              <w:rPr>
                <w:sz w:val="20"/>
                <w:szCs w:val="20"/>
              </w:rPr>
            </w:pPr>
            <w:r w:rsidRPr="00527C5B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14" w:rsidRPr="00527C5B" w:rsidP="00034214">
            <w:pPr>
              <w:pStyle w:val="BodyTextIndent"/>
              <w:spacing w:after="0" w:line="240" w:lineRule="exact"/>
              <w:jc w:val="center"/>
              <w:rPr>
                <w:sz w:val="20"/>
                <w:szCs w:val="20"/>
              </w:rPr>
            </w:pPr>
            <w:r w:rsidRPr="00527C5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14" w:rsidRPr="00527C5B" w:rsidP="00034214">
            <w:pPr>
              <w:jc w:val="center"/>
              <w:rPr>
                <w:sz w:val="20"/>
                <w:szCs w:val="20"/>
              </w:rPr>
            </w:pPr>
            <w:r w:rsidRPr="00527C5B"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14" w:rsidRPr="00527C5B" w:rsidP="00034214">
            <w:pPr>
              <w:jc w:val="center"/>
              <w:rPr>
                <w:sz w:val="20"/>
                <w:szCs w:val="20"/>
              </w:rPr>
            </w:pPr>
            <w:r w:rsidRPr="00527C5B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214" w:rsidRPr="00527C5B" w:rsidP="00034214">
            <w:pPr>
              <w:jc w:val="center"/>
              <w:rPr>
                <w:sz w:val="20"/>
                <w:szCs w:val="20"/>
              </w:rPr>
            </w:pPr>
            <w:r w:rsidRPr="00527C5B">
              <w:rPr>
                <w:sz w:val="20"/>
                <w:szCs w:val="20"/>
              </w:rPr>
              <w:t>9</w:t>
            </w:r>
          </w:p>
        </w:tc>
      </w:tr>
      <w:tr>
        <w:tblPrEx>
          <w:tblW w:w="15480" w:type="dxa"/>
          <w:tblInd w:w="-497" w:type="dxa"/>
          <w:tblLayout w:type="fixed"/>
          <w:tblCellMar>
            <w:left w:w="43" w:type="dxa"/>
            <w:right w:w="43" w:type="dxa"/>
          </w:tblCellMar>
          <w:tblLook w:val="0000"/>
        </w:tblPrEx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4214" w:rsidRPr="00527C5B" w:rsidP="00034214">
            <w:pPr>
              <w:pStyle w:val="Normlny"/>
            </w:pPr>
            <w:r w:rsidRPr="00527C5B">
              <w:t>Článok</w:t>
            </w:r>
          </w:p>
          <w:p w:rsidR="00034214" w:rsidRPr="00527C5B" w:rsidP="00034214">
            <w:pPr>
              <w:pStyle w:val="Normlny"/>
            </w:pPr>
            <w:r w:rsidRPr="00527C5B">
              <w:t>(Č, O,</w:t>
            </w:r>
          </w:p>
          <w:p w:rsidR="00034214" w:rsidRPr="00527C5B" w:rsidP="00034214">
            <w:pPr>
              <w:pStyle w:val="Normlny"/>
            </w:pPr>
            <w:r w:rsidRPr="00527C5B">
              <w:t>V, P)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14" w:rsidRPr="00527C5B" w:rsidP="00034214">
            <w:pPr>
              <w:pStyle w:val="Normlny"/>
              <w:jc w:val="center"/>
            </w:pPr>
            <w:r w:rsidRPr="00527C5B">
              <w:t>Text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4214" w:rsidRPr="00527C5B" w:rsidP="00034214">
            <w:pPr>
              <w:pStyle w:val="Normlny"/>
              <w:jc w:val="center"/>
            </w:pPr>
            <w:r w:rsidRPr="00527C5B">
              <w:t>Spôsob transp.</w:t>
            </w:r>
          </w:p>
          <w:p w:rsidR="00034214" w:rsidRPr="00527C5B" w:rsidP="00034214">
            <w:pPr>
              <w:pStyle w:val="Normlny"/>
              <w:jc w:val="center"/>
            </w:pPr>
            <w:r w:rsidRPr="00527C5B">
              <w:t>(N, O, D, n.a.)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214" w:rsidRPr="00527C5B" w:rsidP="00034214">
            <w:pPr>
              <w:pStyle w:val="Normlny"/>
              <w:jc w:val="center"/>
            </w:pPr>
            <w:r w:rsidRPr="00527C5B">
              <w:t>Číslo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14" w:rsidRPr="00527C5B" w:rsidP="00034214">
            <w:pPr>
              <w:pStyle w:val="Normlny"/>
              <w:jc w:val="center"/>
            </w:pPr>
            <w:r w:rsidRPr="00527C5B">
              <w:t>Článok (Č, §, O, V, P)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14" w:rsidRPr="00527C5B" w:rsidP="00034214">
            <w:pPr>
              <w:pStyle w:val="Normlny"/>
              <w:jc w:val="center"/>
            </w:pPr>
            <w:r w:rsidRPr="00527C5B">
              <w:t>Text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14" w:rsidRPr="00527C5B" w:rsidP="00034214">
            <w:pPr>
              <w:pStyle w:val="Normlny"/>
              <w:jc w:val="center"/>
            </w:pPr>
            <w:r w:rsidRPr="00527C5B">
              <w:t>Zhoda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14" w:rsidRPr="00527C5B" w:rsidP="00034214">
            <w:pPr>
              <w:pStyle w:val="Normlny"/>
              <w:jc w:val="center"/>
            </w:pPr>
            <w:r w:rsidRPr="00527C5B">
              <w:t>Admin. infraštr.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214" w:rsidRPr="00527C5B" w:rsidP="00034214">
            <w:pPr>
              <w:pStyle w:val="Normlny"/>
              <w:jc w:val="center"/>
            </w:pPr>
            <w:r w:rsidRPr="00527C5B">
              <w:t>Poznámky</w:t>
            </w:r>
          </w:p>
          <w:p w:rsidR="00034214" w:rsidRPr="00527C5B" w:rsidP="00034214">
            <w:pPr>
              <w:pStyle w:val="Normlny"/>
            </w:pPr>
          </w:p>
        </w:tc>
      </w:tr>
      <w:tr>
        <w:tblPrEx>
          <w:tblW w:w="15480" w:type="dxa"/>
          <w:tblInd w:w="-497" w:type="dxa"/>
          <w:tblLayout w:type="fixed"/>
          <w:tblCellMar>
            <w:left w:w="43" w:type="dxa"/>
            <w:right w:w="43" w:type="dxa"/>
          </w:tblCellMar>
          <w:tblLook w:val="0000"/>
        </w:tblPrEx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4214" w:rsidRPr="00527C5B" w:rsidP="00034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14" w:rsidRPr="00527C5B" w:rsidP="00034214">
            <w:pPr>
              <w:pStyle w:val="Normlny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4214" w:rsidRPr="00527C5B" w:rsidP="00034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214" w:rsidRPr="00527C5B" w:rsidP="00034214">
            <w:pPr>
              <w:jc w:val="center"/>
              <w:rPr>
                <w:sz w:val="20"/>
                <w:szCs w:val="20"/>
              </w:rPr>
            </w:pPr>
            <w:r w:rsidRPr="00527C5B">
              <w:rPr>
                <w:sz w:val="20"/>
                <w:szCs w:val="20"/>
              </w:rPr>
              <w:t>číslo predpisu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14" w:rsidRPr="00527C5B" w:rsidP="00034214">
            <w:pPr>
              <w:pStyle w:val="Normlny"/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14" w:rsidRPr="00527C5B" w:rsidP="00034214">
            <w:pPr>
              <w:pStyle w:val="Normlny"/>
              <w:jc w:val="both"/>
            </w:pPr>
            <w:r w:rsidRPr="00527C5B">
              <w:t>názov predpisu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14" w:rsidRPr="00527C5B" w:rsidP="00034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14" w:rsidRPr="00527C5B" w:rsidP="00034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214" w:rsidRPr="00527C5B" w:rsidP="00034214">
            <w:pPr>
              <w:pStyle w:val="Heading1"/>
              <w:rPr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5480" w:type="dxa"/>
          <w:tblInd w:w="-497" w:type="dxa"/>
          <w:tblLayout w:type="fixed"/>
          <w:tblCellMar>
            <w:left w:w="43" w:type="dxa"/>
            <w:right w:w="43" w:type="dxa"/>
          </w:tblCellMar>
          <w:tblLook w:val="0000"/>
        </w:tblPrEx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4214" w:rsidRPr="00D96AC4" w:rsidP="00034214">
            <w:pPr>
              <w:jc w:val="center"/>
              <w:rPr>
                <w:b/>
                <w:sz w:val="20"/>
                <w:szCs w:val="20"/>
              </w:rPr>
            </w:pPr>
            <w:r w:rsidRPr="00D96AC4">
              <w:rPr>
                <w:b/>
                <w:sz w:val="20"/>
                <w:szCs w:val="20"/>
              </w:rPr>
              <w:t>Č : 30</w:t>
            </w:r>
          </w:p>
          <w:p w:rsidR="00034214" w:rsidRPr="00D96AC4" w:rsidP="00034214">
            <w:pPr>
              <w:jc w:val="center"/>
              <w:rPr>
                <w:b/>
                <w:sz w:val="20"/>
                <w:szCs w:val="20"/>
              </w:rPr>
            </w:pPr>
          </w:p>
          <w:p w:rsidR="00034214" w:rsidRPr="00D96AC4" w:rsidP="00034214">
            <w:pPr>
              <w:jc w:val="center"/>
              <w:rPr>
                <w:sz w:val="20"/>
                <w:szCs w:val="20"/>
              </w:rPr>
            </w:pPr>
            <w:r w:rsidRPr="00D96AC4">
              <w:rPr>
                <w:sz w:val="20"/>
                <w:szCs w:val="20"/>
              </w:rPr>
              <w:t>O : 1</w:t>
            </w:r>
          </w:p>
          <w:p w:rsidR="00034214" w:rsidRPr="00D96AC4" w:rsidP="00034214">
            <w:pPr>
              <w:jc w:val="center"/>
              <w:rPr>
                <w:sz w:val="20"/>
                <w:szCs w:val="20"/>
              </w:rPr>
            </w:pPr>
          </w:p>
          <w:p w:rsidR="00034214" w:rsidRPr="00D96AC4" w:rsidP="00034214">
            <w:pPr>
              <w:jc w:val="center"/>
              <w:rPr>
                <w:sz w:val="20"/>
                <w:szCs w:val="20"/>
              </w:rPr>
            </w:pPr>
          </w:p>
          <w:p w:rsidR="00034214" w:rsidRPr="00D96AC4" w:rsidP="00034214">
            <w:pPr>
              <w:jc w:val="center"/>
              <w:rPr>
                <w:sz w:val="20"/>
                <w:szCs w:val="20"/>
              </w:rPr>
            </w:pPr>
          </w:p>
          <w:p w:rsidR="00034214" w:rsidRPr="00D96AC4" w:rsidP="00034214">
            <w:pPr>
              <w:jc w:val="center"/>
              <w:rPr>
                <w:sz w:val="20"/>
                <w:szCs w:val="20"/>
              </w:rPr>
            </w:pPr>
          </w:p>
          <w:p w:rsidR="00034214" w:rsidRPr="00D96AC4" w:rsidP="00034214">
            <w:pPr>
              <w:jc w:val="center"/>
              <w:rPr>
                <w:sz w:val="20"/>
                <w:szCs w:val="20"/>
              </w:rPr>
            </w:pPr>
            <w:r w:rsidRPr="00D96AC4">
              <w:rPr>
                <w:sz w:val="20"/>
                <w:szCs w:val="20"/>
              </w:rPr>
              <w:t>O : 2</w:t>
            </w:r>
          </w:p>
          <w:p w:rsidR="00034214" w:rsidRPr="00D96AC4" w:rsidP="00034214">
            <w:pPr>
              <w:jc w:val="center"/>
              <w:rPr>
                <w:sz w:val="20"/>
                <w:szCs w:val="20"/>
              </w:rPr>
            </w:pPr>
          </w:p>
          <w:p w:rsidR="00034214" w:rsidRPr="00D96AC4" w:rsidP="00034214">
            <w:pPr>
              <w:jc w:val="center"/>
              <w:rPr>
                <w:sz w:val="20"/>
                <w:szCs w:val="20"/>
              </w:rPr>
            </w:pPr>
          </w:p>
          <w:p w:rsidR="00034214" w:rsidRPr="00D96AC4" w:rsidP="00034214">
            <w:pPr>
              <w:jc w:val="center"/>
              <w:rPr>
                <w:sz w:val="20"/>
                <w:szCs w:val="20"/>
              </w:rPr>
            </w:pPr>
          </w:p>
          <w:p w:rsidR="00034214" w:rsidRPr="00D96AC4" w:rsidP="00034214">
            <w:pPr>
              <w:jc w:val="center"/>
              <w:rPr>
                <w:sz w:val="20"/>
                <w:szCs w:val="20"/>
              </w:rPr>
            </w:pPr>
          </w:p>
          <w:p w:rsidR="00034214" w:rsidRPr="00D96AC4" w:rsidP="00034214">
            <w:pPr>
              <w:jc w:val="center"/>
              <w:rPr>
                <w:sz w:val="20"/>
                <w:szCs w:val="20"/>
              </w:rPr>
            </w:pPr>
          </w:p>
          <w:p w:rsidR="00034214" w:rsidRPr="00D96AC4" w:rsidP="00034214">
            <w:pPr>
              <w:jc w:val="center"/>
              <w:rPr>
                <w:sz w:val="20"/>
                <w:szCs w:val="20"/>
              </w:rPr>
            </w:pPr>
          </w:p>
          <w:p w:rsidR="00034214" w:rsidRPr="00D96AC4" w:rsidP="00034214">
            <w:pPr>
              <w:jc w:val="center"/>
              <w:rPr>
                <w:sz w:val="20"/>
                <w:szCs w:val="20"/>
              </w:rPr>
            </w:pPr>
          </w:p>
          <w:p w:rsidR="00034214" w:rsidRPr="00D96AC4" w:rsidP="00034214">
            <w:pPr>
              <w:jc w:val="center"/>
              <w:rPr>
                <w:sz w:val="20"/>
                <w:szCs w:val="20"/>
              </w:rPr>
            </w:pPr>
            <w:r w:rsidRPr="00D96AC4">
              <w:rPr>
                <w:sz w:val="20"/>
                <w:szCs w:val="20"/>
              </w:rPr>
              <w:t>O : 3</w:t>
            </w:r>
          </w:p>
          <w:p w:rsidR="00034214" w:rsidRPr="00D96AC4" w:rsidP="000342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14" w:rsidRPr="00D96AC4" w:rsidP="00034214">
            <w:pPr>
              <w:tabs>
                <w:tab w:val="left" w:pos="3334"/>
              </w:tabs>
              <w:autoSpaceDE/>
              <w:autoSpaceDN/>
              <w:spacing w:before="100" w:after="100"/>
              <w:ind w:right="-43" w:hanging="43"/>
              <w:jc w:val="both"/>
              <w:rPr>
                <w:sz w:val="20"/>
                <w:szCs w:val="20"/>
              </w:rPr>
            </w:pPr>
            <w:r w:rsidRPr="00D96AC4">
              <w:rPr>
                <w:sz w:val="20"/>
                <w:szCs w:val="20"/>
              </w:rPr>
              <w:t>Oznámenie o rozhodnutiach</w:t>
            </w:r>
          </w:p>
          <w:p w:rsidR="00034214" w:rsidRPr="00D96AC4" w:rsidP="00034214">
            <w:pPr>
              <w:tabs>
                <w:tab w:val="left" w:pos="3334"/>
              </w:tabs>
              <w:autoSpaceDE/>
              <w:autoSpaceDN/>
              <w:spacing w:before="100" w:after="100"/>
              <w:ind w:right="-43" w:hanging="43"/>
              <w:jc w:val="both"/>
              <w:rPr>
                <w:sz w:val="20"/>
                <w:szCs w:val="20"/>
              </w:rPr>
            </w:pPr>
            <w:r w:rsidRPr="00D96AC4">
              <w:rPr>
                <w:sz w:val="20"/>
                <w:szCs w:val="20"/>
              </w:rPr>
              <w:t>1. Dané osoby dostanú písomné oznámenie o akýchkoľvek rozhodnutiach prijatých podľa článku 27 ods. 1 tak, aby boli schopné porozumieť ich obsahu a dôsledkom pre nich.</w:t>
            </w:r>
          </w:p>
          <w:p w:rsidR="00034214" w:rsidRPr="00D96AC4" w:rsidP="00034214">
            <w:pPr>
              <w:tabs>
                <w:tab w:val="left" w:pos="3334"/>
              </w:tabs>
              <w:autoSpaceDE/>
              <w:autoSpaceDN/>
              <w:spacing w:before="100" w:after="100"/>
              <w:ind w:right="-43" w:hanging="43"/>
              <w:jc w:val="both"/>
              <w:rPr>
                <w:sz w:val="20"/>
                <w:szCs w:val="20"/>
              </w:rPr>
            </w:pPr>
            <w:r w:rsidRPr="00D96AC4">
              <w:rPr>
                <w:sz w:val="20"/>
                <w:szCs w:val="20"/>
              </w:rPr>
              <w:t>2. Dané osoby budú presne a úplne informované o dôvodoch verejnej bezpečnosti, verejnej politiky alebo verejného zdravia, na základe ktorých sa rozhodnutia v ich prípade prijali, pokiaľ to nie je v rozpore so záujmami štátnej bezpečnosti.</w:t>
            </w:r>
          </w:p>
          <w:p w:rsidR="00034214" w:rsidRPr="00D96AC4" w:rsidP="00034214">
            <w:pPr>
              <w:tabs>
                <w:tab w:val="left" w:pos="3334"/>
              </w:tabs>
              <w:autoSpaceDE/>
              <w:autoSpaceDN/>
              <w:spacing w:before="100"/>
              <w:ind w:right="-43" w:hanging="43"/>
              <w:jc w:val="both"/>
              <w:rPr>
                <w:sz w:val="20"/>
                <w:szCs w:val="20"/>
              </w:rPr>
            </w:pPr>
            <w:r w:rsidRPr="00D96AC4">
              <w:rPr>
                <w:sz w:val="20"/>
                <w:szCs w:val="20"/>
              </w:rPr>
              <w:t>3. Takéto oznámenie uvádza súd alebo správny úrad, na ktorom môže daná osoba podať odvolanie, časový limit na podanie odvolania a prípadne čas, do kedy musí daná osoba opustiť územie členského štátu. Okrem riadne zdôvodnených súrnych prípadov, čas na opustenie územia nie je kratší ako jeden mesiac od dátumu oznámenia.</w:t>
            </w:r>
          </w:p>
          <w:p w:rsidR="00034214" w:rsidRPr="00D96AC4" w:rsidP="00034214">
            <w:pPr>
              <w:pStyle w:val="Header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4214" w:rsidRPr="00D96AC4" w:rsidP="00034214">
            <w:pPr>
              <w:jc w:val="center"/>
              <w:rPr>
                <w:sz w:val="20"/>
                <w:szCs w:val="20"/>
              </w:rPr>
            </w:pPr>
            <w:r w:rsidRPr="00D96AC4">
              <w:rPr>
                <w:sz w:val="20"/>
                <w:szCs w:val="20"/>
              </w:rPr>
              <w:t>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214" w:rsidRPr="00D96AC4" w:rsidP="00034214">
            <w:pPr>
              <w:jc w:val="center"/>
              <w:rPr>
                <w:sz w:val="20"/>
                <w:szCs w:val="20"/>
              </w:rPr>
            </w:pPr>
            <w:r w:rsidRPr="00D96AC4">
              <w:rPr>
                <w:sz w:val="20"/>
                <w:szCs w:val="20"/>
              </w:rPr>
              <w:t>48/2002 Z. z.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14" w:rsidRPr="00D96AC4" w:rsidP="00034214">
            <w:pPr>
              <w:jc w:val="center"/>
              <w:rPr>
                <w:sz w:val="20"/>
                <w:szCs w:val="20"/>
              </w:rPr>
            </w:pPr>
            <w:r w:rsidRPr="00D96AC4">
              <w:rPr>
                <w:sz w:val="20"/>
                <w:szCs w:val="20"/>
              </w:rPr>
              <w:t>§ 14</w:t>
            </w:r>
          </w:p>
          <w:p w:rsidR="00034214" w:rsidRPr="00D96AC4" w:rsidP="00034214">
            <w:pPr>
              <w:jc w:val="center"/>
              <w:rPr>
                <w:sz w:val="20"/>
                <w:szCs w:val="20"/>
              </w:rPr>
            </w:pPr>
            <w:r w:rsidRPr="00D96AC4">
              <w:rPr>
                <w:sz w:val="20"/>
                <w:szCs w:val="20"/>
              </w:rPr>
              <w:t xml:space="preserve">O : </w:t>
            </w:r>
            <w:r w:rsidR="0034199D">
              <w:rPr>
                <w:sz w:val="20"/>
                <w:szCs w:val="20"/>
              </w:rPr>
              <w:t>6</w:t>
            </w:r>
          </w:p>
          <w:p w:rsidR="00034214" w:rsidRPr="00D96AC4" w:rsidP="00034214">
            <w:pPr>
              <w:jc w:val="center"/>
              <w:rPr>
                <w:sz w:val="20"/>
                <w:szCs w:val="20"/>
              </w:rPr>
            </w:pPr>
            <w:r w:rsidRPr="00D96AC4">
              <w:rPr>
                <w:sz w:val="20"/>
                <w:szCs w:val="20"/>
              </w:rPr>
              <w:tab/>
            </w:r>
          </w:p>
          <w:p w:rsidR="00034214" w:rsidRPr="00D96AC4" w:rsidP="00034214">
            <w:pPr>
              <w:jc w:val="center"/>
              <w:rPr>
                <w:sz w:val="20"/>
                <w:szCs w:val="20"/>
              </w:rPr>
            </w:pPr>
          </w:p>
          <w:p w:rsidR="00034214" w:rsidRPr="00D96AC4" w:rsidP="00034214">
            <w:pPr>
              <w:jc w:val="center"/>
              <w:rPr>
                <w:sz w:val="20"/>
                <w:szCs w:val="20"/>
              </w:rPr>
            </w:pPr>
          </w:p>
          <w:p w:rsidR="00034214" w:rsidRPr="00D96AC4" w:rsidP="00034214">
            <w:pPr>
              <w:jc w:val="center"/>
              <w:rPr>
                <w:sz w:val="20"/>
                <w:szCs w:val="20"/>
              </w:rPr>
            </w:pPr>
          </w:p>
          <w:p w:rsidR="00034214" w:rsidRPr="00D96AC4" w:rsidP="00034214">
            <w:pPr>
              <w:jc w:val="center"/>
              <w:rPr>
                <w:sz w:val="20"/>
                <w:szCs w:val="20"/>
              </w:rPr>
            </w:pPr>
          </w:p>
          <w:p w:rsidR="00034214" w:rsidRPr="00D96AC4" w:rsidP="00034214">
            <w:pPr>
              <w:jc w:val="center"/>
              <w:rPr>
                <w:sz w:val="20"/>
                <w:szCs w:val="20"/>
              </w:rPr>
            </w:pPr>
          </w:p>
          <w:p w:rsidR="00034214" w:rsidRPr="00D96AC4" w:rsidP="00034214">
            <w:pPr>
              <w:jc w:val="center"/>
              <w:rPr>
                <w:sz w:val="20"/>
                <w:szCs w:val="20"/>
              </w:rPr>
            </w:pPr>
          </w:p>
          <w:p w:rsidR="00034214" w:rsidRPr="00D96AC4" w:rsidP="00034214">
            <w:pPr>
              <w:jc w:val="center"/>
              <w:rPr>
                <w:sz w:val="20"/>
                <w:szCs w:val="20"/>
              </w:rPr>
            </w:pPr>
          </w:p>
          <w:p w:rsidR="00034214" w:rsidRPr="00D96AC4" w:rsidP="00034214">
            <w:pPr>
              <w:jc w:val="center"/>
              <w:rPr>
                <w:sz w:val="20"/>
                <w:szCs w:val="20"/>
              </w:rPr>
            </w:pPr>
            <w:r w:rsidRPr="00D96AC4">
              <w:rPr>
                <w:sz w:val="20"/>
                <w:szCs w:val="20"/>
              </w:rPr>
              <w:t xml:space="preserve">§ 14 </w:t>
            </w:r>
          </w:p>
          <w:p w:rsidR="00034214" w:rsidRPr="00D96AC4" w:rsidP="00034214">
            <w:pPr>
              <w:jc w:val="center"/>
              <w:rPr>
                <w:sz w:val="20"/>
                <w:szCs w:val="20"/>
              </w:rPr>
            </w:pPr>
            <w:r w:rsidRPr="00D96AC4">
              <w:rPr>
                <w:sz w:val="20"/>
                <w:szCs w:val="20"/>
              </w:rPr>
              <w:t xml:space="preserve">O : </w:t>
            </w:r>
            <w:r w:rsidR="0034199D">
              <w:rPr>
                <w:sz w:val="20"/>
                <w:szCs w:val="20"/>
              </w:rPr>
              <w:t>8</w:t>
            </w:r>
          </w:p>
          <w:p w:rsidR="00034214" w:rsidRPr="00D96AC4" w:rsidP="00034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14" w:rsidRPr="00D96AC4" w:rsidP="00034214">
            <w:pPr>
              <w:tabs>
                <w:tab w:val="left" w:pos="567"/>
              </w:tabs>
              <w:ind w:hanging="567"/>
              <w:jc w:val="both"/>
              <w:rPr>
                <w:sz w:val="20"/>
                <w:szCs w:val="20"/>
              </w:rPr>
            </w:pPr>
          </w:p>
          <w:p w:rsidR="00034214" w:rsidRPr="00D96AC4" w:rsidP="00034214">
            <w:pPr>
              <w:jc w:val="both"/>
              <w:rPr>
                <w:sz w:val="20"/>
                <w:szCs w:val="20"/>
              </w:rPr>
            </w:pPr>
            <w:r w:rsidR="0034199D">
              <w:rPr>
                <w:sz w:val="20"/>
                <w:szCs w:val="20"/>
              </w:rPr>
              <w:t xml:space="preserve">       „</w:t>
            </w:r>
            <w:r w:rsidRPr="0034199D" w:rsidR="0034199D">
              <w:rPr>
                <w:sz w:val="20"/>
                <w:szCs w:val="20"/>
              </w:rPr>
              <w:t>(6) Na udelenie víza nie je právny nárok a dôvod neudelenia víza sa cudzincovi neoznamuje; to neplatí, ak ide o udelenie víza rodinnému príslušníkovi občana Európ</w:t>
            </w:r>
            <w:smartTag w:uri="urn:schemas-microsoft-com:office:smarttags" w:element="PersonName">
              <w:r w:rsidRPr="0034199D" w:rsidR="0034199D">
                <w:rPr>
                  <w:sz w:val="20"/>
                  <w:szCs w:val="20"/>
                </w:rPr>
                <w:t>sk</w:t>
              </w:r>
            </w:smartTag>
            <w:r w:rsidRPr="0034199D" w:rsidR="0034199D">
              <w:rPr>
                <w:sz w:val="20"/>
                <w:szCs w:val="20"/>
              </w:rPr>
              <w:t>eho hospodár</w:t>
            </w:r>
            <w:smartTag w:uri="urn:schemas-microsoft-com:office:smarttags" w:element="PersonName">
              <w:r w:rsidRPr="0034199D" w:rsidR="0034199D">
                <w:rPr>
                  <w:sz w:val="20"/>
                  <w:szCs w:val="20"/>
                </w:rPr>
                <w:t>sk</w:t>
              </w:r>
            </w:smartTag>
            <w:r w:rsidRPr="0034199D" w:rsidR="0034199D">
              <w:rPr>
                <w:sz w:val="20"/>
                <w:szCs w:val="20"/>
              </w:rPr>
              <w:t>eho priestoru a o udelenie víza s obmedzenou územnou platnosťou cudzincovi, ktorý je rodinným príslušníkom azylanta podľa osobitného predpisu</w:t>
            </w:r>
            <w:r w:rsidRPr="0034199D" w:rsidR="0034199D">
              <w:rPr>
                <w:sz w:val="20"/>
                <w:szCs w:val="20"/>
                <w:vertAlign w:val="superscript"/>
              </w:rPr>
              <w:t>5a</w:t>
            </w:r>
            <w:r w:rsidRPr="0034199D" w:rsidR="0034199D">
              <w:rPr>
                <w:sz w:val="20"/>
                <w:szCs w:val="20"/>
              </w:rPr>
              <w:t>).</w:t>
            </w:r>
            <w:r w:rsidR="0034199D">
              <w:rPr>
                <w:sz w:val="20"/>
                <w:szCs w:val="20"/>
              </w:rPr>
              <w:t>“</w:t>
            </w:r>
          </w:p>
          <w:p w:rsidR="00034214" w:rsidRPr="00D96AC4" w:rsidP="00034214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34199D" w:rsidRPr="0034199D" w:rsidP="003419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„</w:t>
            </w:r>
            <w:r w:rsidRPr="0034199D">
              <w:rPr>
                <w:sz w:val="20"/>
                <w:szCs w:val="20"/>
              </w:rPr>
              <w:t>(8) Na rozhodovanie o udelení víza a na rozhodovanie o zrušení víza sa nevzťahuje všeobecný predpis o správnom konaní;</w:t>
            </w:r>
            <w:r w:rsidRPr="0034199D">
              <w:rPr>
                <w:sz w:val="20"/>
                <w:szCs w:val="20"/>
                <w:vertAlign w:val="superscript"/>
              </w:rPr>
              <w:t>6</w:t>
            </w:r>
            <w:r w:rsidRPr="0034199D">
              <w:rPr>
                <w:sz w:val="20"/>
                <w:szCs w:val="20"/>
              </w:rPr>
              <w:t>) to neplatí ak ide o cudzinca podľa odseku 6. Ak sa žiadosti o udelenie víza cudzincovi podľa odseku 6 vyhovie, rozhodnutie sa nevydáva.</w:t>
            </w:r>
            <w:r>
              <w:rPr>
                <w:sz w:val="20"/>
                <w:szCs w:val="20"/>
              </w:rPr>
              <w:t>“</w:t>
            </w:r>
          </w:p>
          <w:p w:rsidR="00034214" w:rsidRPr="00D96AC4" w:rsidP="00034214">
            <w:pPr>
              <w:tabs>
                <w:tab w:val="left" w:pos="567"/>
              </w:tabs>
              <w:ind w:left="567" w:hanging="567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14" w:rsidP="00034214">
            <w:pPr>
              <w:jc w:val="center"/>
              <w:rPr>
                <w:sz w:val="20"/>
                <w:szCs w:val="20"/>
              </w:rPr>
            </w:pPr>
            <w:r w:rsidRPr="00D96AC4">
              <w:rPr>
                <w:sz w:val="20"/>
                <w:szCs w:val="20"/>
              </w:rPr>
              <w:t>Ú</w:t>
            </w:r>
          </w:p>
          <w:p w:rsidR="007C201D" w:rsidP="00034214">
            <w:pPr>
              <w:jc w:val="center"/>
              <w:rPr>
                <w:sz w:val="20"/>
                <w:szCs w:val="20"/>
              </w:rPr>
            </w:pPr>
          </w:p>
          <w:p w:rsidR="007C201D" w:rsidP="00034214">
            <w:pPr>
              <w:jc w:val="center"/>
              <w:rPr>
                <w:sz w:val="20"/>
                <w:szCs w:val="20"/>
              </w:rPr>
            </w:pPr>
          </w:p>
          <w:p w:rsidR="007C201D" w:rsidP="00034214">
            <w:pPr>
              <w:jc w:val="center"/>
              <w:rPr>
                <w:sz w:val="20"/>
                <w:szCs w:val="20"/>
              </w:rPr>
            </w:pPr>
          </w:p>
          <w:p w:rsidR="007C201D" w:rsidP="00034214">
            <w:pPr>
              <w:jc w:val="center"/>
              <w:rPr>
                <w:sz w:val="20"/>
                <w:szCs w:val="20"/>
              </w:rPr>
            </w:pPr>
          </w:p>
          <w:p w:rsidR="007C201D" w:rsidP="00034214">
            <w:pPr>
              <w:jc w:val="center"/>
              <w:rPr>
                <w:sz w:val="20"/>
                <w:szCs w:val="20"/>
              </w:rPr>
            </w:pPr>
          </w:p>
          <w:p w:rsidR="007C201D" w:rsidP="00034214">
            <w:pPr>
              <w:jc w:val="center"/>
              <w:rPr>
                <w:sz w:val="20"/>
                <w:szCs w:val="20"/>
              </w:rPr>
            </w:pPr>
          </w:p>
          <w:p w:rsidR="007C201D" w:rsidP="00034214">
            <w:pPr>
              <w:jc w:val="center"/>
              <w:rPr>
                <w:sz w:val="20"/>
                <w:szCs w:val="20"/>
              </w:rPr>
            </w:pPr>
          </w:p>
          <w:p w:rsidR="007C201D" w:rsidP="00034214">
            <w:pPr>
              <w:jc w:val="center"/>
              <w:rPr>
                <w:sz w:val="20"/>
                <w:szCs w:val="20"/>
              </w:rPr>
            </w:pPr>
          </w:p>
          <w:p w:rsidR="007C201D" w:rsidP="00034214">
            <w:pPr>
              <w:jc w:val="center"/>
              <w:rPr>
                <w:sz w:val="20"/>
                <w:szCs w:val="20"/>
              </w:rPr>
            </w:pPr>
          </w:p>
          <w:p w:rsidR="007C201D" w:rsidRPr="00D96AC4" w:rsidP="0003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14" w:rsidRPr="00D96AC4" w:rsidP="00034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14" w:rsidRPr="00D96AC4" w:rsidP="00034214">
            <w:pPr>
              <w:pStyle w:val="Heading1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:rsidR="00034214" w:rsidRPr="00D96AC4" w:rsidP="00034214">
      <w:pPr>
        <w:rPr>
          <w:sz w:val="20"/>
          <w:szCs w:val="20"/>
        </w:rPr>
      </w:pPr>
    </w:p>
    <w:p w:rsidR="00034214" w:rsidRPr="00D96AC4" w:rsidP="00034214">
      <w:pPr>
        <w:rPr>
          <w:sz w:val="20"/>
          <w:szCs w:val="20"/>
        </w:rPr>
      </w:pPr>
    </w:p>
    <w:p w:rsidR="00034214"/>
    <w:sectPr w:rsidSect="00325B6E">
      <w:footerReference w:type="even" r:id="rId4"/>
      <w:footerReference w:type="default" r:id="rId5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7A87" w:usb1="80000000" w:usb2="00000008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B6E" w:rsidP="00325B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25B6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B6E" w:rsidP="00325B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25B6E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4214"/>
    <w:rsid w:val="00034214"/>
    <w:rsid w:val="00325B6E"/>
    <w:rsid w:val="0034199D"/>
    <w:rsid w:val="00527C5B"/>
    <w:rsid w:val="005761EF"/>
    <w:rsid w:val="006E7ED9"/>
    <w:rsid w:val="007C201D"/>
    <w:rsid w:val="00D96AC4"/>
    <w:rsid w:val="00DE2BD4"/>
    <w:rsid w:val="00E45EF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214"/>
    <w:pPr>
      <w:autoSpaceDE w:val="0"/>
      <w:autoSpaceDN w:val="0"/>
    </w:pPr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uiPriority w:val="9"/>
    <w:qFormat/>
    <w:rsid w:val="00034214"/>
    <w:pPr>
      <w:keepNext/>
      <w:jc w:val="center"/>
      <w:outlineLvl w:val="0"/>
    </w:pPr>
    <w:rPr>
      <w:b/>
      <w:bCs/>
    </w:rPr>
  </w:style>
  <w:style w:type="paragraph" w:styleId="Heading4">
    <w:name w:val="heading 4"/>
    <w:basedOn w:val="Normal"/>
    <w:next w:val="Normal"/>
    <w:uiPriority w:val="9"/>
    <w:qFormat/>
    <w:rsid w:val="00034214"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rsid w:val="00034214"/>
    <w:pPr>
      <w:spacing w:line="240" w:lineRule="atLeast"/>
      <w:jc w:val="both"/>
    </w:pPr>
  </w:style>
  <w:style w:type="paragraph" w:styleId="Header">
    <w:name w:val="header"/>
    <w:basedOn w:val="Normal"/>
    <w:rsid w:val="00034214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rsid w:val="00034214"/>
    <w:pPr>
      <w:spacing w:after="120" w:line="480" w:lineRule="auto"/>
    </w:pPr>
  </w:style>
  <w:style w:type="paragraph" w:customStyle="1" w:styleId="Normlny">
    <w:name w:val="_Normálny"/>
    <w:basedOn w:val="Normal"/>
    <w:rsid w:val="00034214"/>
    <w:rPr>
      <w:sz w:val="20"/>
      <w:szCs w:val="20"/>
      <w:lang w:eastAsia="en-US"/>
    </w:rPr>
  </w:style>
  <w:style w:type="paragraph" w:styleId="Footer">
    <w:name w:val="footer"/>
    <w:basedOn w:val="Normal"/>
    <w:rsid w:val="00325B6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25B6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 ZHODY</vt:lpstr>
    </vt:vector>
  </TitlesOfParts>
  <Company>MV SR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loksova</dc:creator>
  <cp:lastModifiedBy>harustak</cp:lastModifiedBy>
  <cp:revision>6</cp:revision>
  <cp:lastPrinted>2007-06-06T04:55:00Z</cp:lastPrinted>
  <dcterms:created xsi:type="dcterms:W3CDTF">2007-04-25T08:19:00Z</dcterms:created>
  <dcterms:modified xsi:type="dcterms:W3CDTF">2007-06-06T04:55:00Z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1234277269</vt:i4>
  </property>
  <property fmtid="{D5CDD505-2E9C-101B-9397-08002B2CF9AE}" pid="3" name="_AuthorEmail">
    <vt:lpwstr>loksova@minv.sk</vt:lpwstr>
  </property>
  <property fmtid="{D5CDD505-2E9C-101B-9397-08002B2CF9AE}" pid="4" name="_AuthorEmailDisplayName">
    <vt:lpwstr>Loksova Renata</vt:lpwstr>
  </property>
  <property fmtid="{D5CDD505-2E9C-101B-9397-08002B2CF9AE}" pid="5" name="_EmailSubject">
    <vt:lpwstr>Doložka + TZ</vt:lpwstr>
  </property>
  <property fmtid="{D5CDD505-2E9C-101B-9397-08002B2CF9AE}" pid="6" name="_ReviewingToolsShownOnce">
    <vt:lpwstr/>
  </property>
</Properties>
</file>