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3766A" w:rsidRPr="00555CBF" w:rsidP="0083766A">
      <w:pPr>
        <w:jc w:val="center"/>
        <w:rPr>
          <w:rFonts w:ascii="Arial" w:hAnsi="Arial" w:cs="Arial"/>
          <w:b/>
        </w:rPr>
      </w:pPr>
      <w:r w:rsidRPr="00555CBF">
        <w:rPr>
          <w:rFonts w:ascii="Arial" w:hAnsi="Arial" w:cs="Arial"/>
          <w:b/>
        </w:rPr>
        <w:t>DOLOŽKA  ZLUČITEĽNOSTI</w:t>
      </w:r>
    </w:p>
    <w:p w:rsidR="0083766A" w:rsidRPr="00555CBF" w:rsidP="0083766A">
      <w:pPr>
        <w:jc w:val="center"/>
        <w:rPr>
          <w:rFonts w:ascii="Arial" w:hAnsi="Arial" w:cs="Arial"/>
          <w:b/>
        </w:rPr>
      </w:pPr>
      <w:r w:rsidRPr="00555CBF">
        <w:rPr>
          <w:rFonts w:ascii="Arial" w:hAnsi="Arial" w:cs="Arial"/>
          <w:b/>
        </w:rPr>
        <w:t>návrhu zákona s právom Európskych spoločenstiev a právom Európskej únie</w:t>
      </w:r>
    </w:p>
    <w:p w:rsidR="0083766A" w:rsidRPr="00555CBF" w:rsidP="0083766A">
      <w:pPr>
        <w:jc w:val="center"/>
        <w:rPr>
          <w:rFonts w:ascii="Arial" w:hAnsi="Arial" w:cs="Arial"/>
          <w:b/>
        </w:rPr>
      </w:pPr>
    </w:p>
    <w:p w:rsidR="0083766A" w:rsidRPr="00555CBF" w:rsidP="008376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Predkladatelia </w:t>
      </w:r>
      <w:r w:rsidRPr="00555CBF">
        <w:rPr>
          <w:rFonts w:ascii="Arial" w:hAnsi="Arial" w:cs="Arial"/>
          <w:b/>
        </w:rPr>
        <w:t xml:space="preserve">  právneho predpisu:</w:t>
      </w:r>
    </w:p>
    <w:p w:rsidR="0083766A" w:rsidRPr="00555CBF" w:rsidP="0083766A">
      <w:pPr>
        <w:jc w:val="both"/>
        <w:rPr>
          <w:rFonts w:ascii="Arial" w:hAnsi="Arial" w:cs="Arial"/>
        </w:rPr>
      </w:pPr>
      <w:r w:rsidRPr="00555CBF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 xml:space="preserve"> </w:t>
      </w:r>
      <w:r w:rsidR="0067591A">
        <w:rPr>
          <w:rFonts w:ascii="Arial" w:hAnsi="Arial" w:cs="Arial"/>
        </w:rPr>
        <w:t>Rafael Rafaj, Jozef Rydlo a Ján Slota</w:t>
      </w:r>
      <w:r>
        <w:rPr>
          <w:rFonts w:ascii="Arial" w:hAnsi="Arial" w:cs="Arial"/>
        </w:rPr>
        <w:t>, poslan</w:t>
      </w:r>
      <w:r w:rsidRPr="00555CB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i </w:t>
      </w:r>
      <w:r w:rsidRPr="00555CBF">
        <w:rPr>
          <w:rFonts w:ascii="Arial" w:hAnsi="Arial" w:cs="Arial"/>
        </w:rPr>
        <w:t xml:space="preserve"> Národnej rady SR</w:t>
      </w:r>
    </w:p>
    <w:p w:rsidR="0083766A" w:rsidRPr="00555CBF" w:rsidP="0083766A">
      <w:pPr>
        <w:jc w:val="both"/>
        <w:rPr>
          <w:rFonts w:ascii="Arial" w:hAnsi="Arial" w:cs="Arial"/>
          <w:b/>
        </w:rPr>
      </w:pPr>
    </w:p>
    <w:p w:rsidR="0083766A" w:rsidRPr="00555CBF" w:rsidP="0083766A">
      <w:pPr>
        <w:jc w:val="both"/>
        <w:rPr>
          <w:rFonts w:ascii="Arial" w:hAnsi="Arial" w:cs="Arial"/>
          <w:b/>
        </w:rPr>
      </w:pPr>
      <w:r w:rsidRPr="00555CBF">
        <w:rPr>
          <w:rFonts w:ascii="Arial" w:hAnsi="Arial" w:cs="Arial"/>
          <w:b/>
        </w:rPr>
        <w:t>2. Názov právneho predpisu:</w:t>
      </w:r>
    </w:p>
    <w:p w:rsidR="0083766A" w:rsidRPr="00555CBF" w:rsidP="0083766A">
      <w:pPr>
        <w:ind w:left="180"/>
        <w:jc w:val="both"/>
        <w:rPr>
          <w:rFonts w:ascii="Arial" w:hAnsi="Arial" w:cs="Arial"/>
        </w:rPr>
      </w:pPr>
      <w:r w:rsidRPr="00555CBF">
        <w:rPr>
          <w:rFonts w:ascii="Arial" w:hAnsi="Arial" w:cs="Arial"/>
        </w:rPr>
        <w:t>Zákon, ktorým sa mení a dopĺňa zákon č. 726/2004 Z. z. o poskytnutí jednorazového peňažného  príspevku  osobám  zaradeným  v  rokoch  1948  až 1954  do vojenských táborov nútených prác a pozostalým manželkám po  týchto osobách v znení zákona č. 612/2005 Z. z.</w:t>
      </w:r>
    </w:p>
    <w:p w:rsidR="0083766A" w:rsidRPr="00555CBF" w:rsidP="0083766A">
      <w:pPr>
        <w:ind w:left="180"/>
        <w:jc w:val="both"/>
        <w:rPr>
          <w:rFonts w:ascii="Arial" w:hAnsi="Arial" w:cs="Arial"/>
        </w:rPr>
      </w:pPr>
    </w:p>
    <w:p w:rsidR="0083766A" w:rsidRPr="00555CBF" w:rsidP="0083766A">
      <w:pPr>
        <w:jc w:val="both"/>
        <w:rPr>
          <w:rFonts w:ascii="Arial" w:hAnsi="Arial" w:cs="Arial"/>
          <w:b/>
        </w:rPr>
      </w:pPr>
      <w:r w:rsidRPr="00555CBF">
        <w:rPr>
          <w:rFonts w:ascii="Arial" w:hAnsi="Arial" w:cs="Arial"/>
          <w:b/>
        </w:rPr>
        <w:t>3. Problematika n</w:t>
      </w:r>
      <w:r w:rsidRPr="00555CBF">
        <w:rPr>
          <w:rFonts w:ascii="Arial" w:hAnsi="Arial" w:cs="Arial"/>
          <w:b/>
        </w:rPr>
        <w:t>ávrhu právneho predpisu :</w:t>
      </w:r>
    </w:p>
    <w:p w:rsidR="0083766A" w:rsidRPr="00555CBF" w:rsidP="0083766A">
      <w:pPr>
        <w:jc w:val="both"/>
        <w:rPr>
          <w:rFonts w:ascii="Arial" w:hAnsi="Arial" w:cs="Arial"/>
        </w:rPr>
      </w:pPr>
      <w:r w:rsidRPr="00555CBF">
        <w:rPr>
          <w:rFonts w:ascii="Arial" w:hAnsi="Arial" w:cs="Arial"/>
        </w:rPr>
        <w:t>a) nie je upravená v práve Európskych spoločenstiev,</w:t>
      </w:r>
    </w:p>
    <w:p w:rsidR="0083766A" w:rsidRPr="00555CBF" w:rsidP="0083766A">
      <w:pPr>
        <w:jc w:val="both"/>
        <w:rPr>
          <w:rFonts w:ascii="Arial" w:hAnsi="Arial" w:cs="Arial"/>
        </w:rPr>
      </w:pPr>
      <w:r w:rsidRPr="00555CBF">
        <w:rPr>
          <w:rFonts w:ascii="Arial" w:hAnsi="Arial" w:cs="Arial"/>
        </w:rPr>
        <w:t xml:space="preserve">b) nie je upravená v práve Európskej únie, </w:t>
      </w:r>
    </w:p>
    <w:p w:rsidR="0041702C" w:rsidP="0083766A">
      <w:pPr>
        <w:jc w:val="both"/>
        <w:rPr>
          <w:rFonts w:ascii="Arial" w:hAnsi="Arial" w:cs="Arial"/>
        </w:rPr>
      </w:pPr>
      <w:r w:rsidRPr="00555CBF" w:rsidR="0083766A">
        <w:rPr>
          <w:rFonts w:ascii="Arial" w:hAnsi="Arial" w:cs="Arial"/>
        </w:rPr>
        <w:t xml:space="preserve">c) nie je upravená v judikatúre Súdneho dvora Európskych spoločenstiev ani </w:t>
      </w:r>
    </w:p>
    <w:p w:rsidR="0083766A" w:rsidRPr="00555CBF" w:rsidP="0041702C">
      <w:pPr>
        <w:jc w:val="both"/>
        <w:rPr>
          <w:rFonts w:ascii="Arial" w:hAnsi="Arial" w:cs="Arial"/>
        </w:rPr>
      </w:pPr>
      <w:r w:rsidR="0041702C">
        <w:rPr>
          <w:rFonts w:ascii="Arial" w:hAnsi="Arial" w:cs="Arial"/>
        </w:rPr>
        <w:t xml:space="preserve">    </w:t>
      </w:r>
      <w:r w:rsidRPr="00555CBF">
        <w:rPr>
          <w:rFonts w:ascii="Arial" w:hAnsi="Arial" w:cs="Arial"/>
        </w:rPr>
        <w:t>v judikatúre Súdu prvého stupňa,</w:t>
      </w:r>
    </w:p>
    <w:p w:rsidR="0083766A" w:rsidRPr="00555CBF" w:rsidP="0083766A">
      <w:pPr>
        <w:spacing w:after="240"/>
        <w:ind w:left="360" w:hanging="360"/>
        <w:jc w:val="both"/>
        <w:rPr>
          <w:rFonts w:ascii="Arial" w:hAnsi="Arial" w:cs="Arial"/>
        </w:rPr>
      </w:pPr>
      <w:r w:rsidRPr="00555CBF">
        <w:rPr>
          <w:rFonts w:ascii="Arial" w:hAnsi="Arial" w:cs="Arial"/>
        </w:rPr>
        <w:t>d) nepatrí medzi prioritné oblasti aproximácie práva uvedené v čl. 70 Európskej dohody  o pridružení a svojou problematikou nepatrí ani medzi priority odporúčané v Bielej knihe.</w:t>
      </w:r>
    </w:p>
    <w:p w:rsidR="0083766A" w:rsidRPr="00555CBF" w:rsidP="0083766A">
      <w:pPr>
        <w:spacing w:after="240"/>
        <w:ind w:left="360" w:hanging="360"/>
        <w:jc w:val="both"/>
        <w:rPr>
          <w:rFonts w:ascii="Arial" w:hAnsi="Arial" w:cs="Arial"/>
        </w:rPr>
      </w:pPr>
      <w:r w:rsidRPr="00555CBF">
        <w:rPr>
          <w:rFonts w:ascii="Arial" w:hAnsi="Arial" w:cs="Arial"/>
          <w:b/>
        </w:rPr>
        <w:t>4. Vyjadrenie stupňa kompatibility s právnou normou Európskej únie:</w:t>
      </w:r>
      <w:r w:rsidRPr="00555CBF">
        <w:rPr>
          <w:rFonts w:ascii="Arial" w:hAnsi="Arial" w:cs="Arial"/>
        </w:rPr>
        <w:t xml:space="preserve"> </w:t>
      </w:r>
    </w:p>
    <w:p w:rsidR="0083766A" w:rsidRPr="00555CBF" w:rsidP="0083766A">
      <w:pPr>
        <w:ind w:firstLine="360"/>
        <w:jc w:val="both"/>
        <w:rPr>
          <w:rFonts w:ascii="Arial" w:hAnsi="Arial" w:cs="Arial"/>
        </w:rPr>
      </w:pPr>
      <w:r w:rsidRPr="00555CBF">
        <w:rPr>
          <w:rFonts w:ascii="Arial" w:hAnsi="Arial" w:cs="Arial"/>
        </w:rPr>
        <w:t>Vzhľadom na vnútroštátny charakter upravenej problematiky je vyjadrovanie  stupňa zlučiteľnosti s právom ES/EÚ bezpredmetné.</w:t>
      </w:r>
    </w:p>
    <w:p w:rsidR="0083766A" w:rsidRPr="00555CBF" w:rsidP="0083766A">
      <w:pPr>
        <w:ind w:left="720"/>
        <w:rPr>
          <w:rFonts w:ascii="Arial" w:hAnsi="Arial" w:cs="Arial"/>
        </w:rPr>
      </w:pPr>
    </w:p>
    <w:p w:rsidR="0083766A" w:rsidRPr="00555CBF" w:rsidP="0083766A">
      <w:pPr>
        <w:ind w:left="720"/>
        <w:rPr>
          <w:rFonts w:ascii="Arial" w:hAnsi="Arial" w:cs="Arial"/>
        </w:rPr>
      </w:pPr>
    </w:p>
    <w:p w:rsidR="0083766A" w:rsidRPr="00555CBF" w:rsidP="0083766A">
      <w:pPr>
        <w:jc w:val="both"/>
        <w:rPr>
          <w:rFonts w:ascii="Arial" w:hAnsi="Arial" w:cs="Arial"/>
        </w:rPr>
      </w:pPr>
    </w:p>
    <w:p w:rsidR="0083766A" w:rsidRPr="00555CBF" w:rsidP="0083766A">
      <w:pPr>
        <w:jc w:val="both"/>
        <w:rPr>
          <w:rFonts w:ascii="Arial" w:hAnsi="Arial" w:cs="Arial"/>
        </w:rPr>
      </w:pPr>
    </w:p>
    <w:p w:rsidR="0083766A" w:rsidRPr="00555CBF" w:rsidP="0083766A">
      <w:pPr>
        <w:jc w:val="both"/>
        <w:rPr>
          <w:rFonts w:ascii="Arial" w:hAnsi="Arial" w:cs="Arial"/>
        </w:rPr>
      </w:pPr>
    </w:p>
    <w:p w:rsidR="0083766A" w:rsidRPr="00555CBF" w:rsidP="0083766A">
      <w:pPr>
        <w:jc w:val="both"/>
        <w:rPr>
          <w:rFonts w:ascii="Arial" w:hAnsi="Arial" w:cs="Arial"/>
        </w:rPr>
      </w:pPr>
    </w:p>
    <w:p w:rsidR="0083766A" w:rsidRPr="00555CBF" w:rsidP="0083766A">
      <w:pPr>
        <w:jc w:val="both"/>
        <w:rPr>
          <w:rFonts w:ascii="Arial" w:hAnsi="Arial" w:cs="Arial"/>
        </w:rPr>
      </w:pPr>
    </w:p>
    <w:p w:rsidR="0083766A" w:rsidRPr="00555CBF" w:rsidP="0083766A">
      <w:pPr>
        <w:jc w:val="both"/>
        <w:rPr>
          <w:rFonts w:ascii="Arial" w:hAnsi="Arial" w:cs="Arial"/>
        </w:rPr>
      </w:pPr>
    </w:p>
    <w:p w:rsidR="0083766A" w:rsidRPr="00555CBF" w:rsidP="0083766A">
      <w:pPr>
        <w:jc w:val="both"/>
        <w:rPr>
          <w:rFonts w:ascii="Arial" w:hAnsi="Arial" w:cs="Arial"/>
        </w:rPr>
      </w:pPr>
    </w:p>
    <w:p w:rsidR="0083766A" w:rsidRPr="00555CBF" w:rsidP="0083766A">
      <w:pPr>
        <w:jc w:val="both"/>
        <w:rPr>
          <w:rFonts w:ascii="Arial" w:hAnsi="Arial" w:cs="Arial"/>
        </w:rPr>
      </w:pPr>
    </w:p>
    <w:p w:rsidR="0083766A" w:rsidRPr="00555CBF" w:rsidP="0083766A">
      <w:pPr>
        <w:jc w:val="both"/>
        <w:rPr>
          <w:rFonts w:ascii="Arial" w:hAnsi="Arial" w:cs="Arial"/>
        </w:rPr>
      </w:pPr>
    </w:p>
    <w:p w:rsidR="0083766A" w:rsidRPr="00555CBF" w:rsidP="0083766A">
      <w:pPr>
        <w:jc w:val="both"/>
        <w:rPr>
          <w:rFonts w:ascii="Arial" w:hAnsi="Arial" w:cs="Arial"/>
        </w:rPr>
      </w:pPr>
    </w:p>
    <w:p w:rsidR="0083766A" w:rsidRPr="00555CBF" w:rsidP="0083766A">
      <w:pPr>
        <w:jc w:val="both"/>
        <w:rPr>
          <w:rFonts w:ascii="Arial" w:hAnsi="Arial" w:cs="Arial"/>
        </w:rPr>
      </w:pPr>
    </w:p>
    <w:p w:rsidR="0083766A" w:rsidRPr="00555CBF" w:rsidP="0083766A">
      <w:pPr>
        <w:jc w:val="both"/>
        <w:rPr>
          <w:rFonts w:ascii="Arial" w:hAnsi="Arial" w:cs="Arial"/>
        </w:rPr>
      </w:pPr>
    </w:p>
    <w:p w:rsidR="0083766A" w:rsidRPr="00555CBF" w:rsidP="0083766A">
      <w:pPr>
        <w:jc w:val="both"/>
        <w:rPr>
          <w:rFonts w:ascii="Arial" w:hAnsi="Arial" w:cs="Arial"/>
        </w:rPr>
      </w:pPr>
    </w:p>
    <w:p w:rsidR="0083766A" w:rsidRPr="00555CBF" w:rsidP="0083766A">
      <w:pPr>
        <w:jc w:val="both"/>
        <w:rPr>
          <w:rFonts w:ascii="Arial" w:hAnsi="Arial" w:cs="Arial"/>
        </w:rPr>
      </w:pPr>
    </w:p>
    <w:p w:rsidR="0083766A" w:rsidRPr="00555CBF" w:rsidP="0083766A">
      <w:pPr>
        <w:jc w:val="both"/>
        <w:rPr>
          <w:rFonts w:ascii="Arial" w:hAnsi="Arial" w:cs="Arial"/>
        </w:rPr>
      </w:pPr>
    </w:p>
    <w:p w:rsidR="0083766A" w:rsidP="0083766A">
      <w:pPr>
        <w:rPr>
          <w:rFonts w:ascii="Times New Roman" w:hAnsi="Times New Roman" w:cs="Times New Roman"/>
        </w:rPr>
      </w:pPr>
    </w:p>
    <w:p w:rsidR="0083766A">
      <w:pPr>
        <w:rPr>
          <w:rFonts w:ascii="Times New Roman" w:hAnsi="Times New Roman" w:cs="Times New Roman"/>
        </w:rPr>
      </w:pPr>
    </w:p>
    <w:sectPr>
      <w:pgSz w:w="11906" w:h="16838" w:code="9"/>
      <w:pgMar w:top="1417" w:right="1417" w:bottom="1417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1702C"/>
    <w:rsid w:val="00555CBF"/>
    <w:rsid w:val="0067591A"/>
    <w:rsid w:val="0083766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6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969</Characters>
  <Application>Microsoft Office Word</Application>
  <DocSecurity>0</DocSecurity>
  <Lines>0</Lines>
  <Paragraphs>0</Paragraphs>
  <ScaleCrop>false</ScaleCrop>
  <Company>Kancelaria NR SR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ZLUČITEĽNOSTI</dc:title>
  <dc:creator>Rafael_Rafaj</dc:creator>
  <cp:lastModifiedBy>Rafaj</cp:lastModifiedBy>
  <cp:revision>2</cp:revision>
  <cp:lastPrinted>2007-05-31T10:13:00Z</cp:lastPrinted>
  <dcterms:created xsi:type="dcterms:W3CDTF">2007-05-31T10:30:00Z</dcterms:created>
  <dcterms:modified xsi:type="dcterms:W3CDTF">2007-05-31T10:30:00Z</dcterms:modified>
</cp:coreProperties>
</file>