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2123" w:rsidRPr="00CB1E99" w:rsidP="004B2123">
      <w:pPr>
        <w:pStyle w:val="Title"/>
        <w:rPr>
          <w:rFonts w:ascii="Times New Roman" w:hAnsi="Times New Roman" w:cs="Times New Roman"/>
          <w:caps/>
          <w:sz w:val="28"/>
          <w:szCs w:val="28"/>
        </w:rPr>
      </w:pPr>
      <w:r w:rsidRPr="00CB1E99">
        <w:rPr>
          <w:rFonts w:ascii="Times New Roman" w:hAnsi="Times New Roman" w:cs="Times New Roman"/>
          <w:caps/>
          <w:sz w:val="28"/>
          <w:szCs w:val="28"/>
        </w:rPr>
        <w:t>Dôvodová správa</w:t>
      </w:r>
    </w:p>
    <w:p w:rsidR="004B2123" w:rsidP="004B2123">
      <w:pPr>
        <w:jc w:val="center"/>
        <w:rPr>
          <w:rFonts w:ascii="Times New Roman" w:hAnsi="Times New Roman" w:cs="Times New Roman"/>
          <w:b/>
          <w:bCs/>
        </w:rPr>
      </w:pPr>
    </w:p>
    <w:p w:rsidR="004B2123" w:rsidP="004B2123">
      <w:pPr>
        <w:pStyle w:val="Heading1"/>
        <w:numPr>
          <w:numId w:val="0"/>
        </w:numPr>
        <w:rPr>
          <w:rFonts w:ascii="Times New Roman" w:hAnsi="Times New Roman" w:cs="Times New Roman"/>
          <w:b w:val="0"/>
          <w:bCs w:val="0"/>
        </w:rPr>
      </w:pPr>
      <w:r>
        <w:rPr>
          <w:rFonts w:ascii="Times New Roman" w:hAnsi="Times New Roman" w:cs="Times New Roman"/>
          <w:b w:val="0"/>
          <w:bCs w:val="0"/>
        </w:rPr>
        <w:t>A. Všeobecná časť</w:t>
      </w:r>
    </w:p>
    <w:p w:rsidR="004B2123" w:rsidP="004B2123">
      <w:pPr>
        <w:jc w:val="both"/>
        <w:rPr>
          <w:rFonts w:ascii="Times New Roman" w:hAnsi="Times New Roman" w:cs="Times New Roman"/>
          <w:b/>
          <w:bCs/>
        </w:rPr>
      </w:pPr>
    </w:p>
    <w:p w:rsidR="004B2123" w:rsidP="004B2123">
      <w:pPr>
        <w:pStyle w:val="BodyText"/>
        <w:ind w:firstLine="708"/>
        <w:rPr>
          <w:rFonts w:ascii="Times New Roman" w:hAnsi="Times New Roman" w:cs="Times New Roman"/>
        </w:rPr>
      </w:pPr>
      <w:r>
        <w:rPr>
          <w:rFonts w:ascii="Times New Roman" w:hAnsi="Times New Roman" w:cs="Times New Roman"/>
        </w:rPr>
        <w:t xml:space="preserve">Predkladaný návrh novely Ústavy Slovenskej republiky mení </w:t>
      </w:r>
      <w:r w:rsidR="00CB1E99">
        <w:rPr>
          <w:rFonts w:ascii="Times New Roman" w:hAnsi="Times New Roman" w:cs="Times New Roman"/>
        </w:rPr>
        <w:t>platný ústavný stav</w:t>
      </w:r>
      <w:r>
        <w:rPr>
          <w:rFonts w:ascii="Times New Roman" w:hAnsi="Times New Roman" w:cs="Times New Roman"/>
        </w:rPr>
        <w:t xml:space="preserve"> v smere zúženia imunity poslancov Národnej rady Slovenskej republiky (ďalej </w:t>
      </w:r>
      <w:r w:rsidR="00CB1E99">
        <w:rPr>
          <w:rFonts w:ascii="Times New Roman" w:hAnsi="Times New Roman" w:cs="Times New Roman"/>
        </w:rPr>
        <w:t>„</w:t>
      </w:r>
      <w:r>
        <w:rPr>
          <w:rFonts w:ascii="Times New Roman" w:hAnsi="Times New Roman" w:cs="Times New Roman"/>
        </w:rPr>
        <w:t>NR SR</w:t>
      </w:r>
      <w:r w:rsidR="00CB1E99">
        <w:rPr>
          <w:rFonts w:ascii="Times New Roman" w:hAnsi="Times New Roman" w:cs="Times New Roman"/>
        </w:rPr>
        <w:t>“</w:t>
      </w:r>
      <w:r>
        <w:rPr>
          <w:rFonts w:ascii="Times New Roman" w:hAnsi="Times New Roman" w:cs="Times New Roman"/>
        </w:rPr>
        <w:t>) a sudcov a taktiež odbúrava potrebu súhlasu NR SR</w:t>
      </w:r>
      <w:r w:rsidR="00CB1E99">
        <w:rPr>
          <w:rFonts w:ascii="Times New Roman" w:hAnsi="Times New Roman" w:cs="Times New Roman"/>
        </w:rPr>
        <w:t>,</w:t>
      </w:r>
      <w:r>
        <w:rPr>
          <w:rFonts w:ascii="Times New Roman" w:hAnsi="Times New Roman" w:cs="Times New Roman"/>
        </w:rPr>
        <w:t xml:space="preserve"> resp. Ústavného súdu Slovenskej republiky (ďalej „ústavný súd“) na trestné stíhanie poslancov NR SR resp. sudcov.</w:t>
      </w:r>
    </w:p>
    <w:p w:rsidR="004B2123" w:rsidP="004B2123">
      <w:pPr>
        <w:pStyle w:val="BodyText"/>
        <w:ind w:firstLine="708"/>
        <w:rPr>
          <w:rFonts w:ascii="Times New Roman" w:hAnsi="Times New Roman" w:cs="Times New Roman"/>
        </w:rPr>
      </w:pPr>
    </w:p>
    <w:p w:rsidR="004B2123" w:rsidP="004B2123">
      <w:pPr>
        <w:ind w:firstLine="708"/>
        <w:jc w:val="both"/>
        <w:rPr>
          <w:rFonts w:ascii="Times New Roman" w:hAnsi="Times New Roman" w:cs="Times New Roman"/>
        </w:rPr>
      </w:pPr>
      <w:r>
        <w:rPr>
          <w:rFonts w:ascii="Times New Roman" w:hAnsi="Times New Roman" w:cs="Times New Roman"/>
        </w:rPr>
        <w:t>Doteraz platný stav vyžaduje pre trestné stíhanie poslancov NR SR jej súhlas, obdobne u sudcov ústavného súdu i všeobecných súdov a generálneho prokurátora sa na trestné stíhanie vyžaduje súhlas ústavného súdu.</w:t>
      </w:r>
    </w:p>
    <w:p w:rsidR="004B2123" w:rsidP="004B2123">
      <w:pPr>
        <w:ind w:firstLine="708"/>
        <w:jc w:val="both"/>
        <w:rPr>
          <w:rFonts w:ascii="Times New Roman" w:hAnsi="Times New Roman" w:cs="Times New Roman"/>
        </w:rPr>
      </w:pPr>
    </w:p>
    <w:p w:rsidR="004B2123" w:rsidP="004B2123">
      <w:pPr>
        <w:ind w:firstLine="708"/>
        <w:jc w:val="both"/>
        <w:rPr>
          <w:rFonts w:ascii="Times New Roman" w:hAnsi="Times New Roman" w:cs="Times New Roman"/>
        </w:rPr>
      </w:pPr>
      <w:r>
        <w:rPr>
          <w:rFonts w:ascii="Times New Roman" w:hAnsi="Times New Roman" w:cs="Times New Roman"/>
        </w:rPr>
        <w:t>Imunita poslancov a sudcov je historicky overený inštitút, ktorého zmyslom je garantovanie čo najväčšej miery slobody politického zápasu na pôde parlamentu a istoty (ochrany) sudcov pri výkone rozhodovacej činnosti. Toto je jediný legitímny cieľ, ktorý tento inštitút zaručuje. Nemôže chrániť poslancov a sudcov pred trestným stíhaním vo veciach, ktoré s ich poslaneckou a sudcovskou činnosťou nesúvisia. Preto predkladaný návrh v tomto smere zrovnoprávňuje poslancov a sudcov s ostatnými občanmi štátu a ponecháva im imunitu len za hlasovanie v parlamente, za výroky prednesené v NR SR a u sudcov za ich rozhodovaciu činnosť. Takto sa lepšie zabezpečí obrana občianskej spoločnosti pred potencionálnym zneužívaním moci, pričom navrhovaná úprava bude aj ochranou pred neprimeraným zvýhodňovaním vyčlenených skupín. Naďalej pritom zostáva zakotvenie potreby súhlasu NR SR resp. ústavného súdu na vzatie poslanca, resp. sudcu a generálneho prokurátora do väzby.</w:t>
      </w:r>
      <w:r>
        <w:rPr>
          <w:rFonts w:ascii="Times New Roman" w:hAnsi="Times New Roman" w:cs="Times New Roman"/>
        </w:rPr>
        <w:t xml:space="preserve">     </w:t>
      </w:r>
    </w:p>
    <w:p w:rsidR="004B2123" w:rsidP="004B2123">
      <w:pPr>
        <w:ind w:firstLine="708"/>
        <w:jc w:val="both"/>
        <w:rPr>
          <w:rFonts w:ascii="Times New Roman" w:hAnsi="Times New Roman" w:cs="Times New Roman"/>
        </w:rPr>
      </w:pPr>
    </w:p>
    <w:p w:rsidR="004B2123" w:rsidP="00665071">
      <w:pPr>
        <w:ind w:firstLine="708"/>
        <w:jc w:val="both"/>
        <w:rPr>
          <w:rFonts w:ascii="Times New Roman" w:hAnsi="Times New Roman" w:cs="Times New Roman"/>
        </w:rPr>
      </w:pPr>
      <w:r>
        <w:rPr>
          <w:rFonts w:ascii="Times New Roman" w:hAnsi="Times New Roman" w:cs="Times New Roman"/>
        </w:rPr>
        <w:t xml:space="preserve">Zúženie imunity poslancov a sudcov </w:t>
      </w:r>
      <w:r w:rsidR="006A0267">
        <w:rPr>
          <w:rFonts w:ascii="Times New Roman" w:hAnsi="Times New Roman" w:cs="Times New Roman"/>
        </w:rPr>
        <w:t>je v súlade s požiadavkami</w:t>
      </w:r>
      <w:r>
        <w:rPr>
          <w:rFonts w:ascii="Times New Roman" w:hAnsi="Times New Roman" w:cs="Times New Roman"/>
        </w:rPr>
        <w:t xml:space="preserve"> Rímsk</w:t>
      </w:r>
      <w:r w:rsidR="006A0267">
        <w:rPr>
          <w:rFonts w:ascii="Times New Roman" w:hAnsi="Times New Roman" w:cs="Times New Roman"/>
        </w:rPr>
        <w:t>eho</w:t>
      </w:r>
      <w:r>
        <w:rPr>
          <w:rFonts w:ascii="Times New Roman" w:hAnsi="Times New Roman" w:cs="Times New Roman"/>
        </w:rPr>
        <w:t xml:space="preserve"> Štatút</w:t>
      </w:r>
      <w:r w:rsidR="006A0267">
        <w:rPr>
          <w:rFonts w:ascii="Times New Roman" w:hAnsi="Times New Roman" w:cs="Times New Roman"/>
        </w:rPr>
        <w:t>u</w:t>
      </w:r>
      <w:r>
        <w:rPr>
          <w:rFonts w:ascii="Times New Roman" w:hAnsi="Times New Roman" w:cs="Times New Roman"/>
        </w:rPr>
        <w:t xml:space="preserve"> medzinárodného trestného súdu, ktorého je Slovenská republika zmluvnou stranou, a ktorý nadobudol platnosť aj pre Slovenskú republiku dňom 1. júla 2002 (vyhlásený v Zbierke zákonov pod č. 333/2002). </w:t>
      </w:r>
    </w:p>
    <w:p w:rsidR="004B2123" w:rsidP="00665071">
      <w:pPr>
        <w:jc w:val="both"/>
        <w:rPr>
          <w:rFonts w:ascii="Times New Roman" w:hAnsi="Times New Roman" w:cs="Times New Roman"/>
        </w:rPr>
      </w:pPr>
    </w:p>
    <w:p w:rsidR="004B2123" w:rsidP="00665071">
      <w:pPr>
        <w:jc w:val="both"/>
        <w:rPr>
          <w:rFonts w:ascii="Times New Roman" w:hAnsi="Times New Roman" w:cs="Times New Roman"/>
        </w:rPr>
      </w:pPr>
      <w:r>
        <w:rPr>
          <w:rFonts w:ascii="Times New Roman" w:hAnsi="Times New Roman" w:cs="Times New Roman"/>
        </w:rPr>
        <w:tab/>
        <w:t xml:space="preserve">Predkladaný návrh nepredpokladá zvýšenie nárokov na štátny rozpočet ani na rozpočty obcí a vyšších územných celkov, nemá priamy dopad na obyvateľstvo, zamestnanosť ani životné prostredie. </w:t>
      </w:r>
    </w:p>
    <w:p w:rsidR="00774F4C" w:rsidP="00665071">
      <w:pPr>
        <w:pStyle w:val="Title"/>
        <w:rPr>
          <w:rFonts w:ascii="Times New Roman" w:hAnsi="Times New Roman" w:cs="Times New Roman"/>
        </w:rPr>
      </w:pPr>
      <w:r>
        <w:br w:type="page"/>
      </w:r>
      <w:r>
        <w:rPr>
          <w:rFonts w:ascii="Times New Roman" w:hAnsi="Times New Roman" w:cs="Times New Roman"/>
        </w:rPr>
        <w:t>DOLOŽKA ZLUČITEĽNOSTI</w:t>
      </w:r>
    </w:p>
    <w:p w:rsidR="00774F4C" w:rsidP="00665071">
      <w:pPr>
        <w:jc w:val="center"/>
        <w:rPr>
          <w:rFonts w:ascii="Times New Roman" w:hAnsi="Times New Roman" w:cs="Times New Roman"/>
          <w:b/>
          <w:bCs/>
        </w:rPr>
      </w:pPr>
      <w:r>
        <w:rPr>
          <w:rFonts w:ascii="Times New Roman" w:hAnsi="Times New Roman" w:cs="Times New Roman"/>
          <w:b/>
          <w:bCs/>
        </w:rPr>
        <w:t>s právom Európskych spoločenstiev a právom Európskej únie</w:t>
      </w:r>
    </w:p>
    <w:p w:rsidR="00774F4C" w:rsidP="00665071">
      <w:pPr>
        <w:jc w:val="center"/>
        <w:rPr>
          <w:rFonts w:ascii="Times New Roman" w:hAnsi="Times New Roman" w:cs="Times New Roman"/>
          <w:b/>
          <w:bCs/>
          <w:sz w:val="28"/>
          <w:szCs w:val="28"/>
        </w:rPr>
      </w:pPr>
    </w:p>
    <w:p w:rsidR="00665071" w:rsidP="00665071">
      <w:pPr>
        <w:numPr>
          <w:ilvl w:val="0"/>
          <w:numId w:val="2"/>
        </w:numPr>
        <w:tabs>
          <w:tab w:val="left" w:pos="720"/>
        </w:tabs>
        <w:jc w:val="both"/>
        <w:rPr>
          <w:rFonts w:ascii="Times New Roman" w:hAnsi="Times New Roman" w:cs="Times New Roman"/>
        </w:rPr>
      </w:pPr>
      <w:r w:rsidR="00774F4C">
        <w:rPr>
          <w:rFonts w:ascii="Times New Roman" w:hAnsi="Times New Roman" w:cs="Times New Roman"/>
          <w:b/>
          <w:bCs/>
        </w:rPr>
        <w:t>Navrhovateľ právneho predpisu</w:t>
      </w:r>
      <w:r w:rsidR="00774F4C">
        <w:rPr>
          <w:rFonts w:ascii="Times New Roman" w:hAnsi="Times New Roman" w:cs="Times New Roman"/>
        </w:rPr>
        <w:t xml:space="preserve">: </w:t>
      </w:r>
    </w:p>
    <w:p w:rsidR="00774F4C" w:rsidP="00665071">
      <w:pPr>
        <w:ind w:left="360" w:firstLine="348"/>
        <w:jc w:val="both"/>
        <w:rPr>
          <w:rFonts w:ascii="Times New Roman" w:hAnsi="Times New Roman" w:cs="Times New Roman"/>
        </w:rPr>
      </w:pPr>
      <w:r w:rsidR="00665071">
        <w:rPr>
          <w:rFonts w:ascii="Times New Roman" w:hAnsi="Times New Roman" w:cs="Times New Roman"/>
        </w:rPr>
        <w:t>skupina poslancov Národnej rady</w:t>
      </w:r>
      <w:r>
        <w:rPr>
          <w:rFonts w:ascii="Times New Roman" w:hAnsi="Times New Roman" w:cs="Times New Roman"/>
        </w:rPr>
        <w:t xml:space="preserve"> Slovenskej republiky</w:t>
      </w:r>
    </w:p>
    <w:p w:rsidR="00774F4C" w:rsidP="00665071">
      <w:pPr>
        <w:ind w:left="360"/>
        <w:jc w:val="both"/>
        <w:rPr>
          <w:rFonts w:ascii="Times New Roman" w:hAnsi="Times New Roman" w:cs="Times New Roman"/>
          <w:b/>
          <w:bCs/>
        </w:rPr>
      </w:pPr>
    </w:p>
    <w:p w:rsidR="00665071" w:rsidRPr="00665071" w:rsidP="00665071">
      <w:pPr>
        <w:numPr>
          <w:ilvl w:val="0"/>
          <w:numId w:val="2"/>
        </w:numPr>
        <w:tabs>
          <w:tab w:val="left" w:pos="720"/>
        </w:tabs>
        <w:rPr>
          <w:rFonts w:ascii="Times New Roman" w:hAnsi="Times New Roman" w:cs="Times New Roman"/>
        </w:rPr>
      </w:pPr>
      <w:r w:rsidR="00774F4C">
        <w:rPr>
          <w:rFonts w:ascii="Times New Roman" w:hAnsi="Times New Roman" w:cs="Times New Roman"/>
          <w:b/>
          <w:bCs/>
        </w:rPr>
        <w:t xml:space="preserve">Názov právneho predpisu: </w:t>
      </w:r>
    </w:p>
    <w:p w:rsidR="00774F4C" w:rsidP="00665071">
      <w:pPr>
        <w:ind w:left="708"/>
        <w:rPr>
          <w:rFonts w:ascii="Times New Roman" w:hAnsi="Times New Roman" w:cs="Times New Roman"/>
        </w:rPr>
      </w:pPr>
      <w:r>
        <w:rPr>
          <w:rFonts w:ascii="Times New Roman" w:hAnsi="Times New Roman" w:cs="Times New Roman"/>
        </w:rPr>
        <w:t>Návrh ústavného zákona, ktorým sa mení a dopĺňa Ústava Slovenskej republiky č. 460/1992 Zb. v zne</w:t>
      </w:r>
      <w:r>
        <w:rPr>
          <w:rFonts w:ascii="Times New Roman" w:hAnsi="Times New Roman" w:cs="Times New Roman"/>
        </w:rPr>
        <w:t xml:space="preserve">ní </w:t>
      </w:r>
      <w:r w:rsidR="00665071">
        <w:rPr>
          <w:rFonts w:ascii="Times New Roman" w:hAnsi="Times New Roman" w:cs="Times New Roman"/>
        </w:rPr>
        <w:t>neskorších predpisov</w:t>
      </w:r>
    </w:p>
    <w:p w:rsidR="00774F4C" w:rsidP="00665071">
      <w:pPr>
        <w:rPr>
          <w:rFonts w:ascii="Times New Roman" w:hAnsi="Times New Roman" w:cs="Times New Roman"/>
          <w:b/>
          <w:bCs/>
        </w:rPr>
      </w:pPr>
    </w:p>
    <w:p w:rsidR="00774F4C" w:rsidP="00665071">
      <w:pPr>
        <w:numPr>
          <w:ilvl w:val="0"/>
          <w:numId w:val="2"/>
        </w:numPr>
        <w:tabs>
          <w:tab w:val="left" w:pos="720"/>
        </w:tabs>
        <w:rPr>
          <w:rFonts w:ascii="Times New Roman" w:hAnsi="Times New Roman" w:cs="Times New Roman"/>
          <w:b/>
          <w:bCs/>
        </w:rPr>
      </w:pPr>
      <w:r>
        <w:rPr>
          <w:rFonts w:ascii="Times New Roman" w:hAnsi="Times New Roman" w:cs="Times New Roman"/>
          <w:b/>
          <w:bCs/>
        </w:rPr>
        <w:t>Záväzky Slovenskej republiky vo vzťahu k Európskym spoločenstvám a Európskej únii:</w:t>
      </w:r>
    </w:p>
    <w:p w:rsidR="00774F4C" w:rsidRPr="00665071" w:rsidP="00665071">
      <w:pPr>
        <w:spacing w:after="0"/>
        <w:ind w:left="708"/>
        <w:jc w:val="both"/>
        <w:rPr>
          <w:rFonts w:ascii="Times New Roman" w:hAnsi="Times New Roman" w:cs="Times New Roman"/>
        </w:rPr>
      </w:pPr>
      <w:r>
        <w:rPr>
          <w:rFonts w:ascii="Times New Roman" w:hAnsi="Times New Roman" w:cs="Times New Roman"/>
        </w:rPr>
        <w:t>a) identifikácia predmetu návrhu právneho predpisu z pohľadu Zmluvy o    pristúpení    Slovenskej republiky k Európskej únii, najmä z Aktu o podmien</w:t>
      </w:r>
      <w:r>
        <w:rPr>
          <w:rFonts w:ascii="Times New Roman" w:hAnsi="Times New Roman" w:cs="Times New Roman"/>
        </w:rPr>
        <w:t xml:space="preserve">kach pristúpenia a </w:t>
      </w:r>
      <w:r w:rsidRPr="00665071">
        <w:rPr>
          <w:rFonts w:ascii="Times New Roman" w:hAnsi="Times New Roman" w:cs="Times New Roman"/>
        </w:rPr>
        <w:t>jeho príloh a z hľadiska plánu legislatívnych úloh vlády Slovenskej republiky:</w:t>
      </w:r>
    </w:p>
    <w:p w:rsidR="00774F4C" w:rsidRPr="00665071" w:rsidP="00665071">
      <w:pPr>
        <w:pStyle w:val="BodyTextIndent3"/>
        <w:spacing w:after="0"/>
        <w:ind w:left="1134"/>
        <w:jc w:val="both"/>
        <w:rPr>
          <w:rFonts w:ascii="Times New Roman" w:hAnsi="Times New Roman" w:cs="Times New Roman"/>
          <w:sz w:val="24"/>
          <w:szCs w:val="24"/>
        </w:rPr>
      </w:pPr>
      <w:r w:rsidRPr="00665071">
        <w:rPr>
          <w:rFonts w:ascii="Times New Roman" w:hAnsi="Times New Roman" w:cs="Times New Roman"/>
          <w:sz w:val="24"/>
          <w:szCs w:val="24"/>
        </w:rPr>
        <w:t>- Zo Zmluvy o pristúpení Slovenskej republiky k Európskej únii nevyplývajú vzhľadom na predmet návrhu žiadne záväzky.</w:t>
      </w:r>
    </w:p>
    <w:p w:rsidR="00774F4C" w:rsidP="00665071">
      <w:pPr>
        <w:ind w:left="720"/>
        <w:jc w:val="both"/>
        <w:rPr>
          <w:rFonts w:ascii="Times New Roman" w:hAnsi="Times New Roman" w:cs="Times New Roman"/>
          <w:color w:val="000000"/>
        </w:rPr>
      </w:pPr>
      <w:r>
        <w:rPr>
          <w:rFonts w:ascii="Times New Roman" w:hAnsi="Times New Roman" w:cs="Times New Roman"/>
          <w:color w:val="000000"/>
        </w:rPr>
        <w:t>b) identifikácia záväzkov vyplývajúcich z určených gestorstviev smerníc:</w:t>
      </w:r>
    </w:p>
    <w:p w:rsidR="00774F4C" w:rsidP="00665071">
      <w:pPr>
        <w:ind w:left="1080"/>
        <w:jc w:val="both"/>
        <w:rPr>
          <w:rFonts w:ascii="Times New Roman" w:hAnsi="Times New Roman" w:cs="Times New Roman"/>
        </w:rPr>
      </w:pPr>
      <w:r>
        <w:rPr>
          <w:rFonts w:ascii="Times New Roman" w:hAnsi="Times New Roman" w:cs="Times New Roman"/>
        </w:rPr>
        <w:t>- Z určených gestorstiev smerníc nevyplývajú vzhľadom na predmet    predkladaného návrhu žiadne záväzky.</w:t>
      </w:r>
    </w:p>
    <w:p w:rsidR="00774F4C" w:rsidP="00665071">
      <w:pPr>
        <w:rPr>
          <w:rFonts w:ascii="Times New Roman" w:hAnsi="Times New Roman" w:cs="Times New Roman"/>
          <w:b/>
          <w:bCs/>
        </w:rPr>
      </w:pPr>
    </w:p>
    <w:p w:rsidR="00774F4C" w:rsidP="00665071">
      <w:pPr>
        <w:numPr>
          <w:ilvl w:val="0"/>
          <w:numId w:val="2"/>
        </w:numPr>
        <w:tabs>
          <w:tab w:val="left" w:pos="720"/>
        </w:tabs>
        <w:rPr>
          <w:rFonts w:ascii="Times New Roman" w:hAnsi="Times New Roman" w:cs="Times New Roman"/>
        </w:rPr>
      </w:pPr>
      <w:r>
        <w:rPr>
          <w:rFonts w:ascii="Times New Roman" w:hAnsi="Times New Roman" w:cs="Times New Roman"/>
          <w:b/>
          <w:bCs/>
        </w:rPr>
        <w:t>Problematika návrhu právneho predpisu:</w:t>
      </w:r>
    </w:p>
    <w:p w:rsidR="00774F4C" w:rsidP="00665071">
      <w:pPr>
        <w:ind w:left="720"/>
        <w:rPr>
          <w:rFonts w:ascii="Times New Roman" w:hAnsi="Times New Roman" w:cs="Times New Roman"/>
        </w:rPr>
      </w:pPr>
      <w:r>
        <w:rPr>
          <w:rFonts w:ascii="Times New Roman" w:hAnsi="Times New Roman" w:cs="Times New Roman"/>
        </w:rPr>
        <w:t xml:space="preserve">      a)</w:t>
      </w:r>
    </w:p>
    <w:p w:rsidR="00774F4C" w:rsidP="00665071">
      <w:pPr>
        <w:ind w:left="720"/>
        <w:rPr>
          <w:rFonts w:ascii="Times New Roman" w:hAnsi="Times New Roman" w:cs="Times New Roman"/>
        </w:rPr>
      </w:pPr>
      <w:r>
        <w:rPr>
          <w:rFonts w:ascii="Times New Roman" w:hAnsi="Times New Roman" w:cs="Times New Roman"/>
        </w:rPr>
        <w:t xml:space="preserve">      b) nie je upravená v práve Európskych spoločenstiev </w:t>
      </w:r>
    </w:p>
    <w:p w:rsidR="00774F4C" w:rsidP="00665071">
      <w:pPr>
        <w:ind w:left="720"/>
        <w:rPr>
          <w:rFonts w:ascii="Times New Roman" w:hAnsi="Times New Roman" w:cs="Times New Roman"/>
        </w:rPr>
      </w:pPr>
      <w:r>
        <w:rPr>
          <w:rFonts w:ascii="Times New Roman" w:hAnsi="Times New Roman" w:cs="Times New Roman"/>
        </w:rPr>
        <w:t xml:space="preserve">      c)</w:t>
      </w:r>
    </w:p>
    <w:p w:rsidR="00774F4C" w:rsidP="00665071">
      <w:pPr>
        <w:ind w:left="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d) nie je upravená v práve Európskej únie</w:t>
      </w:r>
    </w:p>
    <w:p w:rsidR="00774F4C" w:rsidP="00665071">
      <w:pPr>
        <w:rPr>
          <w:rFonts w:ascii="Times New Roman" w:hAnsi="Times New Roman" w:cs="Times New Roman"/>
        </w:rPr>
      </w:pPr>
    </w:p>
    <w:p w:rsidR="00774F4C" w:rsidP="00665071">
      <w:pPr>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5.</w:t>
        <w:tab/>
        <w:t>Stupeň zlučiteľnosti návrhu vyhlášky s právnymi normami Európskej únie:</w:t>
        <w:tab/>
      </w:r>
    </w:p>
    <w:p w:rsidR="00774F4C" w:rsidP="00665071">
      <w:pPr>
        <w:ind w:left="720"/>
        <w:jc w:val="both"/>
        <w:rPr>
          <w:rFonts w:ascii="Times New Roman" w:hAnsi="Times New Roman" w:cs="Times New Roman"/>
        </w:rPr>
      </w:pPr>
      <w:r>
        <w:rPr>
          <w:rFonts w:ascii="Times New Roman" w:hAnsi="Times New Roman" w:cs="Times New Roman"/>
        </w:rPr>
        <w:t>Vzhľadom na vnútroštátny charakter upravenej problematiky je vyjadrovanie stupňa zlučiteľnosti s právom ES/EÚ bezpredmetné.</w:t>
      </w:r>
    </w:p>
    <w:p w:rsidR="00665071" w:rsidP="00665071">
      <w:pPr>
        <w:ind w:left="720"/>
        <w:rPr>
          <w:rFonts w:ascii="Times New Roman" w:hAnsi="Times New Roman" w:cs="Times New Roman"/>
        </w:rPr>
      </w:pPr>
    </w:p>
    <w:p w:rsidR="00774F4C" w:rsidP="00665071">
      <w:p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6.</w:t>
        <w:tab/>
        <w:t>Gestor (spolupracujúce rezorty)</w:t>
      </w:r>
    </w:p>
    <w:p w:rsidR="00774F4C" w:rsidRPr="00665071" w:rsidP="00665071">
      <w:pPr>
        <w:rPr>
          <w:rFonts w:ascii="Times New Roman" w:hAnsi="Times New Roman" w:cs="Times New Roman"/>
          <w:bCs/>
        </w:rPr>
      </w:pPr>
      <w:r w:rsidR="00665071">
        <w:rPr>
          <w:rFonts w:ascii="Times New Roman" w:hAnsi="Times New Roman" w:cs="Times New Roman"/>
          <w:b/>
          <w:bCs/>
        </w:rPr>
        <w:tab/>
      </w:r>
      <w:r w:rsidRPr="00665071" w:rsidR="00665071">
        <w:rPr>
          <w:rFonts w:ascii="Times New Roman" w:hAnsi="Times New Roman" w:cs="Times New Roman"/>
          <w:bCs/>
        </w:rPr>
        <w:t>Bezpredmetné.</w:t>
      </w:r>
    </w:p>
    <w:p w:rsidR="00665071" w:rsidP="00665071">
      <w:pPr>
        <w:rPr>
          <w:rFonts w:ascii="Times New Roman" w:hAnsi="Times New Roman" w:cs="Times New Roman"/>
          <w:b/>
          <w:bCs/>
        </w:rPr>
      </w:pPr>
    </w:p>
    <w:p w:rsidR="00774F4C" w:rsidP="00665071">
      <w:pPr>
        <w:numPr>
          <w:ilvl w:val="0"/>
          <w:numId w:val="3"/>
        </w:numPr>
        <w:tabs>
          <w:tab w:val="left" w:pos="720"/>
        </w:tabs>
        <w:jc w:val="both"/>
        <w:rPr>
          <w:rFonts w:ascii="Times New Roman" w:hAnsi="Times New Roman" w:cs="Times New Roman"/>
          <w:b/>
          <w:bCs/>
        </w:rPr>
      </w:pPr>
      <w:r>
        <w:rPr>
          <w:rFonts w:ascii="Times New Roman" w:hAnsi="Times New Roman" w:cs="Times New Roman"/>
          <w:b/>
          <w:bCs/>
        </w:rPr>
        <w:t>Účasť expertov pri príprave návrhu právneho predpisu a ich stanovisko k zlučiteľnosti  návrhu právneho predpisu s právom Eur</w:t>
      </w:r>
      <w:r w:rsidR="00665071">
        <w:rPr>
          <w:rFonts w:ascii="Times New Roman" w:hAnsi="Times New Roman" w:cs="Times New Roman"/>
          <w:b/>
          <w:bCs/>
        </w:rPr>
        <w:t>ópskych spoločenstiev a právom E</w:t>
      </w:r>
      <w:r>
        <w:rPr>
          <w:rFonts w:ascii="Times New Roman" w:hAnsi="Times New Roman" w:cs="Times New Roman"/>
          <w:b/>
          <w:bCs/>
        </w:rPr>
        <w:t>urópskej únie (špecifikácia úrovne a spôsobu expertnej účasti, napr. konzultácie a pod.):</w:t>
      </w:r>
    </w:p>
    <w:p w:rsidR="00774F4C" w:rsidP="00665071">
      <w:pPr>
        <w:ind w:firstLine="708"/>
        <w:rPr>
          <w:rFonts w:ascii="Times New Roman" w:hAnsi="Times New Roman" w:cs="Times New Roman"/>
        </w:rPr>
      </w:pPr>
      <w:r>
        <w:rPr>
          <w:rFonts w:ascii="Times New Roman" w:hAnsi="Times New Roman" w:cs="Times New Roman"/>
        </w:rPr>
        <w:t>Na príprave návrhu zákona sa nezúčastnili experti.</w:t>
      </w:r>
    </w:p>
    <w:p w:rsidR="004B2123" w:rsidP="00665071">
      <w:pPr>
        <w:jc w:val="both"/>
        <w:rPr>
          <w:rFonts w:ascii="Times New Roman" w:hAnsi="Times New Roman" w:cs="Times New Roman"/>
        </w:rPr>
      </w:pPr>
      <w:r w:rsidR="00665071">
        <w:rPr>
          <w:rFonts w:ascii="Times New Roman" w:hAnsi="Times New Roman" w:cs="Times New Roman"/>
        </w:rPr>
        <w:br w:type="page"/>
      </w:r>
    </w:p>
    <w:p w:rsidR="004B2123" w:rsidP="00665071">
      <w:pPr>
        <w:pStyle w:val="Heading2"/>
        <w:numPr>
          <w:ilvl w:val="0"/>
          <w:numId w:val="0"/>
        </w:numPr>
        <w:spacing w:before="0"/>
        <w:rPr>
          <w:rFonts w:ascii="Times New Roman" w:hAnsi="Times New Roman" w:cs="Times New Roman"/>
          <w:sz w:val="28"/>
          <w:szCs w:val="28"/>
        </w:rPr>
      </w:pPr>
      <w:r>
        <w:rPr>
          <w:rFonts w:ascii="Times New Roman" w:hAnsi="Times New Roman" w:cs="Times New Roman"/>
          <w:sz w:val="28"/>
          <w:szCs w:val="28"/>
        </w:rPr>
        <w:t>B. Osobitná časť</w:t>
      </w:r>
    </w:p>
    <w:p w:rsidR="00CB1E99" w:rsidP="00CB1E99">
      <w:pPr>
        <w:rPr>
          <w:rFonts w:ascii="Times New Roman" w:hAnsi="Times New Roman" w:cs="Times New Roman"/>
          <w:b/>
          <w:bCs/>
        </w:rPr>
      </w:pPr>
    </w:p>
    <w:p w:rsidR="004B2123" w:rsidRPr="00F56B56" w:rsidP="00CB1E99">
      <w:pPr>
        <w:rPr>
          <w:rFonts w:ascii="Times New Roman" w:hAnsi="Times New Roman" w:cs="Times New Roman"/>
          <w:b/>
          <w:bCs/>
          <w:u w:val="single"/>
        </w:rPr>
      </w:pPr>
      <w:r w:rsidRPr="00F56B56" w:rsidR="00CB1E99">
        <w:rPr>
          <w:rFonts w:ascii="Times New Roman" w:hAnsi="Times New Roman" w:cs="Times New Roman"/>
          <w:b/>
          <w:bCs/>
          <w:u w:val="single"/>
        </w:rPr>
        <w:t>K</w:t>
      </w:r>
      <w:r w:rsidRPr="00F56B56">
        <w:rPr>
          <w:rFonts w:ascii="Times New Roman" w:hAnsi="Times New Roman" w:cs="Times New Roman"/>
          <w:b/>
          <w:bCs/>
          <w:u w:val="single"/>
        </w:rPr>
        <w:t> čl. I.</w:t>
      </w:r>
    </w:p>
    <w:p w:rsidR="004B2123" w:rsidP="004B2123">
      <w:pPr>
        <w:pStyle w:val="Heading2"/>
        <w:numPr>
          <w:ilvl w:val="0"/>
          <w:numId w:val="0"/>
        </w:numPr>
        <w:rPr>
          <w:rFonts w:ascii="Times New Roman" w:hAnsi="Times New Roman" w:cs="Times New Roman"/>
          <w:b/>
          <w:bCs/>
        </w:rPr>
      </w:pPr>
      <w:r>
        <w:rPr>
          <w:rFonts w:ascii="Times New Roman" w:hAnsi="Times New Roman" w:cs="Times New Roman"/>
          <w:b/>
          <w:bCs/>
        </w:rPr>
        <w:t>K bodu 1</w:t>
      </w:r>
    </w:p>
    <w:p w:rsidR="004B2123" w:rsidP="004B2123">
      <w:pPr>
        <w:pStyle w:val="BodyText"/>
        <w:rPr>
          <w:rFonts w:ascii="Times New Roman" w:hAnsi="Times New Roman" w:cs="Times New Roman"/>
        </w:rPr>
      </w:pPr>
      <w:r>
        <w:rPr>
          <w:rFonts w:ascii="Times New Roman" w:hAnsi="Times New Roman" w:cs="Times New Roman"/>
        </w:rPr>
        <w:tab/>
        <w:t xml:space="preserve">Zakotvuje sa pravidlo, že ak bude poslanec pristihnutý a zadržaný pri trestnom čine, príslušný orgán musí tento fakt ihneď oznámiť predsedovi NR SR (stav totožný s doteraz platným stavom) a predsedovi mandátového a imunitného výboru (pravidlo nové). Zároveň sa </w:t>
      </w:r>
      <w:r w:rsidR="00F56B56">
        <w:rPr>
          <w:rFonts w:ascii="Times New Roman" w:hAnsi="Times New Roman" w:cs="Times New Roman"/>
        </w:rPr>
        <w:t>u</w:t>
      </w:r>
      <w:r>
        <w:rPr>
          <w:rFonts w:ascii="Times New Roman" w:hAnsi="Times New Roman" w:cs="Times New Roman"/>
        </w:rPr>
        <w:t>stanovuje, že poslanca možno vziať do väzby len po tom, čo k tomuto dá predbežný súhlas mandátový a imunitný výbor. Tento predbežný súhlas musí schváliť NR SR na svojej najbližšej schôdzi. Ak sa tak neudeje, poslanec musí byť prepustený na slobodu.</w:t>
      </w:r>
    </w:p>
    <w:p w:rsidR="004B2123" w:rsidP="004B2123">
      <w:pPr>
        <w:pStyle w:val="BodyText"/>
        <w:rPr>
          <w:rFonts w:ascii="Times New Roman" w:hAnsi="Times New Roman" w:cs="Times New Roman"/>
          <w:b/>
          <w:bCs/>
          <w:i/>
          <w:iCs/>
        </w:rPr>
      </w:pPr>
      <w:r>
        <w:rPr>
          <w:rFonts w:ascii="Times New Roman" w:hAnsi="Times New Roman" w:cs="Times New Roman"/>
        </w:rPr>
        <w:tab/>
        <w:t xml:space="preserve">Navrhovanou úpravou </w:t>
      </w:r>
      <w:r w:rsidR="00F56B56">
        <w:rPr>
          <w:rFonts w:ascii="Times New Roman" w:hAnsi="Times New Roman" w:cs="Times New Roman"/>
        </w:rPr>
        <w:t xml:space="preserve">čl. 78 </w:t>
      </w:r>
      <w:r>
        <w:rPr>
          <w:rFonts w:ascii="Times New Roman" w:hAnsi="Times New Roman" w:cs="Times New Roman"/>
        </w:rPr>
        <w:t>ods</w:t>
      </w:r>
      <w:r w:rsidR="00F56B56">
        <w:rPr>
          <w:rFonts w:ascii="Times New Roman" w:hAnsi="Times New Roman" w:cs="Times New Roman"/>
        </w:rPr>
        <w:t>.</w:t>
      </w:r>
      <w:r>
        <w:rPr>
          <w:rFonts w:ascii="Times New Roman" w:hAnsi="Times New Roman" w:cs="Times New Roman"/>
        </w:rPr>
        <w:t xml:space="preserve"> 3 a 4 týkajúcou sa len práv poslanca pokiaľ ide o jeho zadržanie a väzbu sa tak odbúra potreba súhlasu NR SR s trestným stíhaním poslanca. Takto sa dosiahne stav, že eventuálne trestné stíhanie poslancov bude podobne ako u všetkých ostatných občanov závisieť len od vyhodnotenia dôkazov orgánmi činnými v trestnom konaní bez akýchkoľvek možností ovplyvňovať ich rozhodnutie zvonku.     </w:t>
      </w:r>
      <w:r>
        <w:rPr>
          <w:rFonts w:ascii="Times New Roman" w:hAnsi="Times New Roman" w:cs="Times New Roman"/>
          <w:b/>
          <w:bCs/>
          <w:i/>
          <w:iCs/>
        </w:rPr>
        <w:tab/>
      </w:r>
    </w:p>
    <w:p w:rsidR="004B2123" w:rsidP="004B2123">
      <w:pPr>
        <w:rPr>
          <w:rFonts w:ascii="Times New Roman" w:hAnsi="Times New Roman" w:cs="Times New Roman"/>
        </w:rPr>
      </w:pPr>
    </w:p>
    <w:p w:rsidR="004B2123" w:rsidP="004B2123">
      <w:pPr>
        <w:pStyle w:val="Heading2"/>
        <w:numPr>
          <w:ilvl w:val="0"/>
          <w:numId w:val="0"/>
        </w:numPr>
        <w:rPr>
          <w:rFonts w:ascii="Times New Roman" w:hAnsi="Times New Roman" w:cs="Times New Roman"/>
          <w:b/>
          <w:bCs/>
        </w:rPr>
      </w:pPr>
      <w:r>
        <w:rPr>
          <w:rFonts w:ascii="Times New Roman" w:hAnsi="Times New Roman" w:cs="Times New Roman"/>
          <w:b/>
          <w:bCs/>
        </w:rPr>
        <w:t>K bodu 2</w:t>
      </w:r>
    </w:p>
    <w:p w:rsidR="004B2123" w:rsidP="00F56B56">
      <w:pPr>
        <w:pStyle w:val="BodyText"/>
        <w:ind w:firstLine="708"/>
        <w:rPr>
          <w:rFonts w:ascii="Times New Roman" w:hAnsi="Times New Roman" w:cs="Times New Roman"/>
        </w:rPr>
      </w:pPr>
      <w:r>
        <w:rPr>
          <w:rFonts w:ascii="Times New Roman" w:hAnsi="Times New Roman" w:cs="Times New Roman"/>
        </w:rPr>
        <w:t xml:space="preserve">Zrušenie možnosti odoprieť svedectvo vo veciach, o ktorých sa poslanci dozvedeli pri výkone svojej funkcie vyžadujú od Slovenskej republiky čl. 27 a 93 Rímskeho štatútu medzinárodného trestného súdu, ktorý je pre Slovenskú republiku platný od 1. 7. 2002 </w:t>
      </w:r>
    </w:p>
    <w:p w:rsidR="004B2123" w:rsidP="004B2123">
      <w:pPr>
        <w:rPr>
          <w:rFonts w:ascii="Times New Roman" w:hAnsi="Times New Roman" w:cs="Times New Roman"/>
        </w:rPr>
      </w:pPr>
    </w:p>
    <w:p w:rsidR="004B2123" w:rsidP="004B2123">
      <w:pPr>
        <w:pStyle w:val="Heading2"/>
        <w:numPr>
          <w:ilvl w:val="0"/>
          <w:numId w:val="0"/>
        </w:numPr>
        <w:rPr>
          <w:rFonts w:ascii="Times New Roman" w:hAnsi="Times New Roman" w:cs="Times New Roman"/>
          <w:b/>
          <w:bCs/>
        </w:rPr>
      </w:pPr>
      <w:r>
        <w:rPr>
          <w:rFonts w:ascii="Times New Roman" w:hAnsi="Times New Roman" w:cs="Times New Roman"/>
          <w:b/>
          <w:bCs/>
        </w:rPr>
        <w:t>K bodu 3</w:t>
      </w:r>
    </w:p>
    <w:p w:rsidR="004B2123" w:rsidP="004B2123">
      <w:pPr>
        <w:ind w:firstLine="708"/>
        <w:jc w:val="both"/>
        <w:rPr>
          <w:rFonts w:ascii="Times New Roman" w:hAnsi="Times New Roman" w:cs="Times New Roman"/>
        </w:rPr>
      </w:pPr>
      <w:r>
        <w:rPr>
          <w:rFonts w:ascii="Times New Roman" w:hAnsi="Times New Roman" w:cs="Times New Roman"/>
        </w:rPr>
        <w:t>Novo koncipovaný čl. 136 zakotvuje zásadu, že sudcu ústavného súdu nemožno stíhať za jeho rozhodovanie (obdobná zásada je zakotvená u sudcov všeobecných súdov v zákone č. 385/2000 Z. z. o sudcoch a prísediacich v § 29a). Pozícia sudcov ústavného i všeobecných súdov ohľadne imunity bude obdobná ako u poslancov – odbúrava sa potreba súhlasu s trestným stíhaním a súhlasné stanovisko ústavného súdu sa bude vyžadovať len u vzatia do väzby sudcov ústavného súdu, sudcov všeobecných súdov a generálneho prokurátora.</w:t>
      </w:r>
    </w:p>
    <w:p w:rsidR="004B2123" w:rsidP="004B2123">
      <w:pPr>
        <w:pStyle w:val="BodyText"/>
        <w:rPr>
          <w:rFonts w:ascii="Times New Roman" w:hAnsi="Times New Roman" w:cs="Times New Roman"/>
        </w:rPr>
      </w:pPr>
      <w:r>
        <w:rPr>
          <w:rFonts w:ascii="Times New Roman" w:hAnsi="Times New Roman" w:cs="Times New Roman"/>
        </w:rPr>
        <w:tab/>
        <w:t xml:space="preserve">Takto sa aj u tejto kategórie ústavných činiteľov dosiahne stav, že ich eventuálne trestné stíhanie bude podobne ako u všetkých ostatných občanov závisieť len od vyhodnotenia dôkazov orgánmi činnými v trestnom konaní bez akýchkoľvek možností ovplyvňovať ich rozhodnutie zvonku. Obdobne ako u poslancov, aj tu sa zakotvuje oznamovacia povinnosť príslušných orgánov v súvislosti s pristihnutím a zadržaním pri trestnom čine. </w:t>
      </w:r>
    </w:p>
    <w:p w:rsidR="004B2123" w:rsidP="004B2123">
      <w:pPr>
        <w:pStyle w:val="BodyText"/>
        <w:rPr>
          <w:rFonts w:ascii="Times New Roman" w:hAnsi="Times New Roman" w:cs="Times New Roman"/>
        </w:rPr>
      </w:pPr>
      <w:r>
        <w:rPr>
          <w:rFonts w:ascii="Times New Roman" w:hAnsi="Times New Roman" w:cs="Times New Roman"/>
        </w:rPr>
        <w:t xml:space="preserve">    </w:t>
      </w:r>
    </w:p>
    <w:p w:rsidR="004B2123" w:rsidP="004B2123">
      <w:pPr>
        <w:jc w:val="both"/>
        <w:rPr>
          <w:rFonts w:ascii="Times New Roman" w:hAnsi="Times New Roman" w:cs="Times New Roman"/>
        </w:rPr>
      </w:pPr>
    </w:p>
    <w:p w:rsidR="004B2123" w:rsidRPr="00F56B56" w:rsidP="00F56B56">
      <w:pPr>
        <w:pStyle w:val="Heading3"/>
        <w:numPr>
          <w:ilvl w:val="0"/>
          <w:numId w:val="0"/>
        </w:numPr>
        <w:rPr>
          <w:rFonts w:ascii="Times New Roman" w:hAnsi="Times New Roman" w:cs="Times New Roman"/>
          <w:b/>
          <w:bCs/>
          <w:u w:val="single"/>
        </w:rPr>
      </w:pPr>
      <w:r w:rsidRPr="00F56B56">
        <w:rPr>
          <w:rFonts w:ascii="Times New Roman" w:hAnsi="Times New Roman" w:cs="Times New Roman"/>
          <w:b/>
          <w:bCs/>
          <w:u w:val="single"/>
        </w:rPr>
        <w:t>K čl. II</w:t>
      </w:r>
    </w:p>
    <w:p w:rsidR="004B2123" w:rsidP="00F56B56">
      <w:pPr>
        <w:ind w:firstLine="708"/>
        <w:rPr>
          <w:rFonts w:ascii="Times New Roman" w:hAnsi="Times New Roman" w:cs="Times New Roman"/>
        </w:rPr>
      </w:pPr>
      <w:r w:rsidR="00F56B56">
        <w:rPr>
          <w:rFonts w:ascii="Times New Roman" w:hAnsi="Times New Roman" w:cs="Times New Roman"/>
        </w:rPr>
        <w:t xml:space="preserve">Účinnosť ústavného zákona sa navrhuje od 1. </w:t>
      </w:r>
      <w:r w:rsidR="00AA15A2">
        <w:rPr>
          <w:rFonts w:ascii="Times New Roman" w:hAnsi="Times New Roman" w:cs="Times New Roman"/>
        </w:rPr>
        <w:t>novembra</w:t>
      </w:r>
      <w:r w:rsidR="00F56B56">
        <w:rPr>
          <w:rFonts w:ascii="Times New Roman" w:hAnsi="Times New Roman" w:cs="Times New Roman"/>
        </w:rPr>
        <w:t xml:space="preserve"> 200</w:t>
      </w:r>
      <w:r w:rsidR="006A0267">
        <w:rPr>
          <w:rFonts w:ascii="Times New Roman" w:hAnsi="Times New Roman" w:cs="Times New Roman"/>
        </w:rPr>
        <w:t>7</w:t>
      </w:r>
      <w:r w:rsidR="00F56B56">
        <w:rPr>
          <w:rFonts w:ascii="Times New Roman" w:hAnsi="Times New Roman" w:cs="Times New Roman"/>
        </w:rPr>
        <w:t>.</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b/>
        <w:bCs/>
        <w:i w:val="0"/>
        <w:iCs w:val="0"/>
        <w:sz w:val="28"/>
        <w:szCs w:val="28"/>
        <w:rtl w:val="0"/>
      </w:rPr>
    </w:lvl>
    <w:lvl w:ilvl="1">
      <w:start w:val="1"/>
      <w:numFmt w:val="decimal"/>
      <w:pStyle w:val="Heading2"/>
      <w:lvlText w:val="%1.%2."/>
      <w:lvlJc w:val="left"/>
      <w:pPr>
        <w:tabs>
          <w:tab w:val="num" w:pos="1418"/>
        </w:tabs>
        <w:ind w:left="1418" w:hanging="851"/>
      </w:pPr>
      <w:rPr>
        <w:rFonts w:ascii="Times New Roman" w:hAnsi="Times New Roman" w:cs="Times New Roman"/>
        <w:b w:val="0"/>
        <w:bCs w:val="0"/>
        <w:i w:val="0"/>
        <w:iCs w:val="0"/>
        <w:sz w:val="24"/>
        <w:szCs w:val="24"/>
        <w:rtl w:val="0"/>
      </w:rPr>
    </w:lvl>
    <w:lvl w:ilvl="2">
      <w:start w:val="1"/>
      <w:numFmt w:val="none"/>
      <w:lvlRestart w:val="0"/>
      <w:pStyle w:val="Heading3"/>
      <w:lvlJc w:val="left"/>
      <w:pPr>
        <w:tabs>
          <w:tab w:val="num" w:pos="1418"/>
        </w:tabs>
        <w:ind w:left="1418" w:hanging="851"/>
      </w:pPr>
      <w:rPr>
        <w:rFonts w:ascii="Times New Roman" w:hAnsi="Times New Roman" w:cs="Times New Roman"/>
        <w:b w:val="0"/>
        <w:bCs w:val="0"/>
        <w:i w:val="0"/>
        <w:iCs w:val="0"/>
        <w:sz w:val="24"/>
        <w:szCs w:val="24"/>
        <w:rtl w:val="0"/>
      </w:rPr>
    </w:lvl>
    <w:lvl w:ilvl="3">
      <w:start w:val="1"/>
      <w:numFmt w:val="none"/>
      <w:pStyle w:val="Heading4"/>
      <w:lvlText w:val="%4"/>
      <w:lvlJc w:val="left"/>
      <w:pPr>
        <w:tabs>
          <w:tab w:val="num" w:pos="1418"/>
        </w:tabs>
        <w:ind w:left="1418" w:hanging="1418"/>
      </w:pPr>
      <w:rPr>
        <w:rFonts w:ascii="Times New Roman" w:hAnsi="Times New Roman" w:cs="Times New Roman"/>
        <w:b w:val="0"/>
        <w:bCs w:val="0"/>
        <w:i/>
        <w:iCs/>
        <w:sz w:val="24"/>
        <w:szCs w:val="24"/>
        <w:rtl w:val="0"/>
      </w:rPr>
    </w:lvl>
    <w:lvl w:ilvl="4">
      <w:start w:val="1"/>
      <w:numFmt w:val="decimal"/>
      <w:pStyle w:val="Heading5"/>
      <w:lvlText w:val="(%5)"/>
      <w:lvlJc w:val="left"/>
      <w:pPr>
        <w:tabs>
          <w:tab w:val="num" w:pos="3240"/>
        </w:tabs>
        <w:ind w:left="288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1">
    <w:nsid w:val="2384340B"/>
    <w:multiLevelType w:val="hybridMultilevel"/>
    <w:tmpl w:val="41C6AB9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3497057"/>
    <w:multiLevelType w:val="hybridMultilevel"/>
    <w:tmpl w:val="ADAE7128"/>
    <w:lvl w:ilvl="0">
      <w:start w:val="1"/>
      <w:numFmt w:val="decimal"/>
      <w:lvlText w:val="%1."/>
      <w:lvlJc w:val="left"/>
      <w:pPr>
        <w:tabs>
          <w:tab w:val="num" w:pos="720"/>
        </w:tabs>
        <w:ind w:left="720" w:hanging="360"/>
      </w:pPr>
      <w:rPr>
        <w:b/>
        <w:bCs/>
        <w:rtl w:val="0"/>
      </w:rPr>
    </w:lvl>
    <w:lvl w:ilvl="1">
      <w:start w:val="1"/>
      <w:numFmt w:val="lowerLetter"/>
      <w:lvlText w:val="%2)"/>
      <w:lvlJc w:val="left"/>
      <w:pPr>
        <w:tabs>
          <w:tab w:val="num" w:pos="1785"/>
        </w:tabs>
        <w:ind w:left="1785" w:hanging="705"/>
      </w:pPr>
      <w:rPr>
        <w:rFonts w:ascii="Times New Roman" w:hAnsi="Times New Roman"/>
        <w:rtl w:val="0"/>
      </w:rPr>
    </w:lvl>
    <w:lvl w:ilvl="2">
      <w:start w:val="1"/>
      <w:numFmt w:val="bullet"/>
      <w:lvlText w:val="-"/>
      <w:lvlJc w:val="left"/>
      <w:pPr>
        <w:tabs>
          <w:tab w:val="num" w:pos="2340"/>
        </w:tabs>
        <w:ind w:left="2340" w:hanging="360"/>
      </w:pPr>
      <w:rPr>
        <w:rFonts w:ascii="Times New Roman" w:hAnsi="Times New Roman"/>
        <w:b w:val="0"/>
        <w:b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000000"/>
    <w:rsid w:val="004B2123"/>
    <w:rsid w:val="00665071"/>
    <w:rsid w:val="006A0267"/>
    <w:rsid w:val="00774F4C"/>
    <w:rsid w:val="00AA15A2"/>
    <w:rsid w:val="00CB1E99"/>
    <w:rsid w:val="00F56B5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123"/>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aliases w:val="Čo robí (časť)"/>
    <w:basedOn w:val="Normal"/>
    <w:next w:val="Normal"/>
    <w:qFormat/>
    <w:rsid w:val="004B2123"/>
    <w:pPr>
      <w:keepNext/>
      <w:numPr>
        <w:ilvl w:val="0"/>
        <w:numId w:val="1"/>
      </w:numPr>
      <w:tabs>
        <w:tab w:val="left" w:pos="567"/>
      </w:tabs>
      <w:spacing w:before="360"/>
      <w:ind w:left="567" w:hanging="567"/>
      <w:jc w:val="left"/>
      <w:outlineLvl w:val="0"/>
    </w:pPr>
    <w:rPr>
      <w:b/>
      <w:bCs/>
      <w:kern w:val="32"/>
      <w:sz w:val="28"/>
      <w:szCs w:val="28"/>
    </w:rPr>
  </w:style>
  <w:style w:type="paragraph" w:styleId="Heading2">
    <w:name w:val="heading 2"/>
    <w:aliases w:val="Úloha"/>
    <w:basedOn w:val="Normal"/>
    <w:qFormat/>
    <w:rsid w:val="004B2123"/>
    <w:pPr>
      <w:numPr>
        <w:ilvl w:val="1"/>
        <w:numId w:val="1"/>
      </w:numPr>
      <w:tabs>
        <w:tab w:val="left" w:pos="1418"/>
      </w:tabs>
      <w:spacing w:before="120"/>
      <w:ind w:left="1418" w:hanging="851"/>
      <w:jc w:val="both"/>
      <w:outlineLvl w:val="1"/>
    </w:pPr>
  </w:style>
  <w:style w:type="paragraph" w:styleId="Heading3">
    <w:name w:val="heading 3"/>
    <w:aliases w:val="Podúloha"/>
    <w:basedOn w:val="Normal"/>
    <w:qFormat/>
    <w:rsid w:val="004B2123"/>
    <w:pPr>
      <w:keepNext/>
      <w:numPr>
        <w:ilvl w:val="2"/>
        <w:numId w:val="1"/>
      </w:numPr>
      <w:tabs>
        <w:tab w:val="left" w:pos="1418"/>
      </w:tabs>
      <w:spacing w:before="120"/>
      <w:ind w:left="2269" w:hanging="851"/>
      <w:jc w:val="left"/>
      <w:outlineLvl w:val="2"/>
    </w:pPr>
  </w:style>
  <w:style w:type="paragraph" w:styleId="Heading4">
    <w:name w:val="heading 4"/>
    <w:aliases w:val="Termín"/>
    <w:basedOn w:val="Normal"/>
    <w:next w:val="Heading2"/>
    <w:qFormat/>
    <w:rsid w:val="004B2123"/>
    <w:pPr>
      <w:numPr>
        <w:ilvl w:val="3"/>
        <w:numId w:val="1"/>
      </w:numPr>
      <w:tabs>
        <w:tab w:val="left" w:pos="1418"/>
      </w:tabs>
      <w:spacing w:before="120" w:after="120"/>
      <w:ind w:left="1418" w:hanging="1418"/>
      <w:jc w:val="left"/>
      <w:outlineLvl w:val="3"/>
    </w:pPr>
    <w:rPr>
      <w:i/>
      <w:iCs/>
    </w:rPr>
  </w:style>
  <w:style w:type="paragraph" w:styleId="Heading5">
    <w:name w:val="heading 5"/>
    <w:basedOn w:val="Normal"/>
    <w:next w:val="Normal"/>
    <w:qFormat/>
    <w:rsid w:val="004B2123"/>
    <w:pPr>
      <w:numPr>
        <w:ilvl w:val="4"/>
        <w:numId w:val="1"/>
      </w:numPr>
      <w:tabs>
        <w:tab w:val="left" w:pos="3240"/>
      </w:tabs>
      <w:spacing w:before="240" w:after="60"/>
      <w:ind w:left="2880"/>
      <w:jc w:val="left"/>
      <w:outlineLvl w:val="4"/>
    </w:pPr>
    <w:rPr>
      <w:b/>
      <w:bCs/>
      <w:i/>
      <w:iCs/>
      <w:sz w:val="26"/>
      <w:szCs w:val="26"/>
    </w:rPr>
  </w:style>
  <w:style w:type="paragraph" w:styleId="Heading6">
    <w:name w:val="heading 6"/>
    <w:basedOn w:val="Normal"/>
    <w:next w:val="Normal"/>
    <w:qFormat/>
    <w:rsid w:val="004B2123"/>
    <w:pPr>
      <w:numPr>
        <w:ilvl w:val="5"/>
        <w:numId w:val="1"/>
      </w:numPr>
      <w:tabs>
        <w:tab w:val="left" w:pos="3960"/>
      </w:tabs>
      <w:spacing w:before="240" w:after="60"/>
      <w:ind w:left="3600"/>
      <w:jc w:val="left"/>
      <w:outlineLvl w:val="5"/>
    </w:pPr>
    <w:rPr>
      <w:b/>
      <w:bCs/>
      <w:sz w:val="22"/>
      <w:szCs w:val="22"/>
    </w:rPr>
  </w:style>
  <w:style w:type="paragraph" w:styleId="Heading7">
    <w:name w:val="heading 7"/>
    <w:basedOn w:val="Normal"/>
    <w:next w:val="Normal"/>
    <w:qFormat/>
    <w:rsid w:val="004B2123"/>
    <w:pPr>
      <w:numPr>
        <w:ilvl w:val="6"/>
        <w:numId w:val="1"/>
      </w:numPr>
      <w:tabs>
        <w:tab w:val="left" w:pos="4680"/>
      </w:tabs>
      <w:spacing w:before="240" w:after="60"/>
      <w:ind w:left="4320"/>
      <w:jc w:val="left"/>
      <w:outlineLvl w:val="6"/>
    </w:pPr>
  </w:style>
  <w:style w:type="paragraph" w:styleId="Heading8">
    <w:name w:val="heading 8"/>
    <w:basedOn w:val="Normal"/>
    <w:next w:val="Normal"/>
    <w:qFormat/>
    <w:rsid w:val="004B2123"/>
    <w:pPr>
      <w:numPr>
        <w:ilvl w:val="7"/>
        <w:numId w:val="1"/>
      </w:numPr>
      <w:tabs>
        <w:tab w:val="left" w:pos="5400"/>
      </w:tabs>
      <w:spacing w:before="240" w:after="60"/>
      <w:ind w:left="5040"/>
      <w:jc w:val="left"/>
      <w:outlineLvl w:val="7"/>
    </w:pPr>
    <w:rPr>
      <w:i/>
      <w:iCs/>
    </w:rPr>
  </w:style>
  <w:style w:type="paragraph" w:styleId="Heading9">
    <w:name w:val="heading 9"/>
    <w:basedOn w:val="Normal"/>
    <w:next w:val="Normal"/>
    <w:qFormat/>
    <w:rsid w:val="004B2123"/>
    <w:pPr>
      <w:numPr>
        <w:ilvl w:val="8"/>
        <w:numId w:val="1"/>
      </w:numPr>
      <w:tabs>
        <w:tab w:val="left" w:pos="6120"/>
      </w:tabs>
      <w:spacing w:before="240" w:after="60"/>
      <w:ind w:left="5760"/>
      <w:jc w:val="left"/>
      <w:outlineLvl w:val="8"/>
    </w:pPr>
    <w:rPr>
      <w:rFonts w:ascii="Arial" w:hAnsi="Arial" w:cs="Arial"/>
      <w:sz w:val="22"/>
      <w:szCs w:val="22"/>
    </w:rPr>
  </w:style>
  <w:style w:type="character" w:default="1" w:styleId="DefaultParagraphFont">
    <w:name w:val="Default Paragraph Font"/>
    <w:semiHidden/>
  </w:style>
  <w:style w:type="paragraph" w:styleId="Title">
    <w:name w:val="Title"/>
    <w:basedOn w:val="Normal"/>
    <w:qFormat/>
    <w:rsid w:val="004B2123"/>
    <w:pPr>
      <w:jc w:val="center"/>
    </w:pPr>
    <w:rPr>
      <w:rFonts w:ascii="Verdana" w:hAnsi="Verdana" w:cs="Verdana"/>
      <w:b/>
      <w:bCs/>
    </w:rPr>
  </w:style>
  <w:style w:type="paragraph" w:styleId="BodyText">
    <w:name w:val="Body Text"/>
    <w:basedOn w:val="Normal"/>
    <w:rsid w:val="004B2123"/>
    <w:pPr>
      <w:jc w:val="both"/>
    </w:pPr>
    <w:rPr>
      <w:rFonts w:ascii="Verdana" w:hAnsi="Verdana" w:cs="Verdana"/>
    </w:rPr>
  </w:style>
  <w:style w:type="paragraph" w:styleId="BodyTextIndent2">
    <w:name w:val="Body Text Indent 2"/>
    <w:basedOn w:val="Normal"/>
    <w:rsid w:val="004B2123"/>
    <w:pPr>
      <w:spacing w:before="120"/>
      <w:ind w:firstLine="708"/>
      <w:jc w:val="both"/>
    </w:pPr>
  </w:style>
  <w:style w:type="paragraph" w:styleId="BodyTextIndent3">
    <w:name w:val="Body Text Indent 3"/>
    <w:basedOn w:val="Normal"/>
    <w:rsid w:val="00774F4C"/>
    <w:pPr>
      <w:spacing w:after="120"/>
      <w:ind w:left="283"/>
      <w:jc w:val="left"/>
    </w:pPr>
    <w:rPr>
      <w:sz w:val="16"/>
      <w:szCs w:val="16"/>
    </w:rPr>
  </w:style>
  <w:style w:type="paragraph" w:styleId="BodyTextIndent">
    <w:name w:val="Body Text Indent"/>
    <w:basedOn w:val="Normal"/>
    <w:rsid w:val="00774F4C"/>
    <w:pPr>
      <w:autoSpaceDE/>
      <w:autoSpaceDN/>
      <w:jc w:val="cente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886</Words>
  <Characters>5053</Characters>
  <Application>Microsoft Office Word</Application>
  <DocSecurity>0</DocSecurity>
  <Lines>0</Lines>
  <Paragraphs>0</Paragraphs>
  <ScaleCrop>false</ScaleCrop>
  <Company>Úrad Vlády SR</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jost</dc:creator>
  <cp:lastModifiedBy>Daniel_Lipsic</cp:lastModifiedBy>
  <cp:revision>2</cp:revision>
  <cp:lastPrinted>2007-05-16T08:01:00Z</cp:lastPrinted>
  <dcterms:created xsi:type="dcterms:W3CDTF">2007-06-01T10:50:00Z</dcterms:created>
  <dcterms:modified xsi:type="dcterms:W3CDTF">2007-06-01T10:50:00Z</dcterms:modified>
</cp:coreProperties>
</file>