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1B32" w:rsidRPr="00F50E3E" w:rsidP="00041B32">
      <w:pPr>
        <w:jc w:val="center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>DOLOŽKA ZLUČITEĽNOSTI</w:t>
      </w:r>
    </w:p>
    <w:p w:rsidR="00041B32" w:rsidRPr="00F50E3E" w:rsidP="00F50E3E">
      <w:pPr>
        <w:pBdr>
          <w:bottom w:val="single" w:sz="6" w:space="2" w:color="auto"/>
        </w:pBdr>
        <w:jc w:val="center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 xml:space="preserve">návrhu zákona, </w:t>
      </w:r>
      <w:r w:rsidRPr="00F50E3E">
        <w:rPr>
          <w:rFonts w:ascii="Times New Roman" w:hAnsi="Times New Roman" w:cs="Arial Narrow"/>
          <w:b/>
          <w:szCs w:val="22"/>
        </w:rPr>
        <w:t xml:space="preserve">ktorým </w:t>
      </w:r>
      <w:r w:rsidRPr="00F50E3E">
        <w:rPr>
          <w:rFonts w:ascii="Times New Roman" w:hAnsi="Times New Roman" w:cs="Arial"/>
          <w:b/>
        </w:rPr>
        <w:t xml:space="preserve">sa mení zákon č. 595/2003 Z. z. o dani z príjmov v znení neskorších predpisov </w:t>
      </w:r>
      <w:r w:rsidR="008C40B3">
        <w:rPr>
          <w:rFonts w:ascii="Times New Roman" w:hAnsi="Times New Roman" w:cs="Arial"/>
          <w:b/>
        </w:rPr>
        <w:t>a ktorým sa mení zákon č.564/2004 Z. z. o rozpočtovom určení dane z príjmov územnej samospráve a o zmene a doplnení niektorých zákonov v znení zákona č. 171/2005 Z. z. s právom Európskych spoločenstiev a právom Európskej únie</w:t>
      </w:r>
    </w:p>
    <w:p w:rsidR="00041B32" w:rsidRPr="00F50E3E" w:rsidP="00041B32">
      <w:pPr>
        <w:jc w:val="center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jc w:val="center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jc w:val="center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numPr>
          <w:ilvl w:val="0"/>
          <w:numId w:val="1"/>
        </w:numPr>
        <w:spacing w:after="120"/>
        <w:jc w:val="both"/>
        <w:rPr>
          <w:rFonts w:ascii="Times New Roman" w:hAnsi="Times New Roman" w:cs="Arial Narrow"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>Predkladateľ zákona:</w:t>
      </w:r>
      <w:r w:rsidR="00F50E3E">
        <w:rPr>
          <w:rFonts w:ascii="Times New Roman" w:hAnsi="Times New Roman" w:cs="Arial Narrow"/>
          <w:b/>
          <w:bCs/>
          <w:szCs w:val="22"/>
        </w:rPr>
        <w:t xml:space="preserve"> </w:t>
      </w:r>
    </w:p>
    <w:p w:rsidR="00041B32" w:rsidP="008C40B3">
      <w:pPr>
        <w:ind w:left="425"/>
        <w:jc w:val="both"/>
        <w:rPr>
          <w:rFonts w:ascii="Times New Roman" w:hAnsi="Times New Roman" w:cs="Arial Narrow"/>
          <w:b/>
          <w:bCs/>
          <w:szCs w:val="22"/>
        </w:rPr>
      </w:pPr>
      <w:r w:rsidR="008C40B3">
        <w:rPr>
          <w:rFonts w:ascii="Times New Roman" w:hAnsi="Times New Roman" w:cs="Arial Narrow"/>
          <w:b/>
          <w:bCs/>
          <w:szCs w:val="22"/>
        </w:rPr>
        <w:t>Skupina poslancov</w:t>
      </w:r>
    </w:p>
    <w:p w:rsidR="00132116" w:rsidRPr="00F50E3E" w:rsidP="008C40B3">
      <w:pPr>
        <w:ind w:left="425"/>
        <w:jc w:val="both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numPr>
          <w:ilvl w:val="0"/>
          <w:numId w:val="1"/>
        </w:numPr>
        <w:spacing w:after="12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>Názov návrhu zákona:</w:t>
      </w:r>
    </w:p>
    <w:p w:rsidR="00041B32" w:rsidRPr="00F50E3E" w:rsidP="00041B32">
      <w:pPr>
        <w:ind w:left="425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szCs w:val="22"/>
        </w:rPr>
        <w:t xml:space="preserve">Návrh zákona, ktorým </w:t>
      </w:r>
      <w:r w:rsidRPr="00F50E3E">
        <w:rPr>
          <w:rFonts w:ascii="Times New Roman" w:hAnsi="Times New Roman" w:cs="Arial"/>
        </w:rPr>
        <w:t>sa mení zákon č. 595/2003 Z. z. o dani z príjmov v znení neskorších predpisov</w:t>
      </w:r>
      <w:r w:rsidR="008C40B3">
        <w:rPr>
          <w:rFonts w:ascii="Times New Roman" w:hAnsi="Times New Roman" w:cs="Arial Narrow"/>
          <w:szCs w:val="22"/>
        </w:rPr>
        <w:t xml:space="preserve"> </w:t>
      </w:r>
      <w:r w:rsidR="008C40B3">
        <w:rPr>
          <w:rFonts w:ascii="Times New Roman" w:hAnsi="Times New Roman" w:cs="Arial Narrow"/>
          <w:szCs w:val="22"/>
        </w:rPr>
        <w:t>a</w:t>
      </w:r>
      <w:r w:rsidR="00132116">
        <w:rPr>
          <w:rFonts w:ascii="Times New Roman" w:hAnsi="Times New Roman" w:cs="Arial Narrow"/>
          <w:szCs w:val="22"/>
        </w:rPr>
        <w:t>  ktorým sa mení zákon č.564/2004 Z. z. o rozpočtovom určení dane z príjmov územnej samospráve a o zmene a doplnení niektorých zákonov v znení zákona č. 171/2005 Z. z.</w:t>
      </w:r>
    </w:p>
    <w:p w:rsidR="00041B32" w:rsidRPr="00F50E3E" w:rsidP="00041B32">
      <w:pPr>
        <w:jc w:val="both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numPr>
          <w:ilvl w:val="0"/>
          <w:numId w:val="1"/>
        </w:numPr>
        <w:spacing w:after="12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 xml:space="preserve">Problematika návrhu zákona: </w:t>
      </w:r>
    </w:p>
    <w:p w:rsidR="00041B32" w:rsidRPr="00F50E3E" w:rsidP="00041B32">
      <w:pPr>
        <w:numPr>
          <w:ilvl w:val="1"/>
          <w:numId w:val="1"/>
        </w:numPr>
        <w:spacing w:after="120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je upravená v práve Európskych spoločenstiev:</w:t>
      </w:r>
    </w:p>
    <w:p w:rsidR="00041B32" w:rsidRPr="00F50E3E" w:rsidP="00041B32">
      <w:pPr>
        <w:spacing w:after="120"/>
        <w:ind w:left="900" w:hanging="425"/>
        <w:rPr>
          <w:rFonts w:ascii="Times New Roman" w:hAnsi="Times New Roman" w:cs="Arial Narrow"/>
          <w:b/>
          <w:bCs/>
          <w:i/>
          <w:iCs/>
          <w:szCs w:val="22"/>
          <w:lang w:eastAsia="cs-CZ"/>
        </w:rPr>
      </w:pPr>
      <w:r w:rsidRPr="00F50E3E">
        <w:rPr>
          <w:rFonts w:ascii="Times New Roman" w:hAnsi="Times New Roman" w:cs="Arial Narrow"/>
          <w:b/>
          <w:bCs/>
          <w:i/>
          <w:iCs/>
          <w:szCs w:val="22"/>
          <w:lang w:eastAsia="cs-CZ"/>
        </w:rPr>
        <w:t>v primárnom</w:t>
      </w:r>
      <w:r w:rsidRPr="00F50E3E">
        <w:rPr>
          <w:rFonts w:ascii="Times New Roman" w:hAnsi="Times New Roman" w:cs="Arial Narrow"/>
          <w:b/>
          <w:bCs/>
          <w:i/>
          <w:iCs/>
          <w:szCs w:val="22"/>
          <w:lang w:eastAsia="cs-CZ"/>
        </w:rPr>
        <w:t xml:space="preserve"> práve: </w:t>
      </w:r>
    </w:p>
    <w:p w:rsidR="00041B32" w:rsidRPr="00F50E3E" w:rsidP="00041B32">
      <w:pPr>
        <w:numPr>
          <w:ilvl w:val="0"/>
          <w:numId w:val="2"/>
        </w:numPr>
        <w:tabs>
          <w:tab w:val="left" w:pos="900"/>
        </w:tabs>
        <w:spacing w:after="120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 xml:space="preserve">v čl. 90 až 93 Zmluvy o založení Európskeho spoločenstva v platnom znení, </w:t>
      </w:r>
    </w:p>
    <w:p w:rsidR="00041B32" w:rsidRPr="00F50E3E" w:rsidP="00041B32">
      <w:pPr>
        <w:spacing w:after="120"/>
        <w:ind w:firstLine="471"/>
        <w:jc w:val="both"/>
        <w:rPr>
          <w:rFonts w:ascii="Times New Roman" w:hAnsi="Times New Roman" w:cs="Arial Narrow"/>
          <w:b/>
          <w:bCs/>
          <w:i/>
          <w:iCs/>
          <w:szCs w:val="22"/>
        </w:rPr>
      </w:pPr>
      <w:r w:rsidRPr="00F50E3E">
        <w:rPr>
          <w:rFonts w:ascii="Times New Roman" w:hAnsi="Times New Roman" w:cs="Arial Narrow"/>
          <w:b/>
          <w:bCs/>
          <w:i/>
          <w:iCs/>
          <w:szCs w:val="22"/>
        </w:rPr>
        <w:t xml:space="preserve">v sekundárnom práve: </w:t>
      </w:r>
    </w:p>
    <w:p w:rsidR="00041B32" w:rsidRPr="00F50E3E" w:rsidP="00041B32">
      <w:pPr>
        <w:numPr>
          <w:ilvl w:val="0"/>
          <w:numId w:val="3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i/>
          <w:iCs/>
        </w:rPr>
      </w:pPr>
      <w:r w:rsidRPr="00F50E3E">
        <w:rPr>
          <w:rFonts w:ascii="Times New Roman" w:hAnsi="Times New Roman" w:cs="Tahoma"/>
          <w:szCs w:val="22"/>
        </w:rPr>
        <w:t xml:space="preserve">v smernici Rady 69/335/EHS zo 17. júla 1969 o nepriamych daniach z tvorby a navyšovania základného imania v platnom znení </w:t>
      </w:r>
      <w:r w:rsidRPr="00F50E3E">
        <w:rPr>
          <w:rFonts w:ascii="Times New Roman" w:hAnsi="Times New Roman" w:cs="Arial Narrow"/>
          <w:color w:val="000000"/>
        </w:rPr>
        <w:t>(</w:t>
      </w:r>
      <w:r w:rsidRPr="00F50E3E">
        <w:rPr>
          <w:rFonts w:ascii="Times New Roman" w:hAnsi="Times New Roman" w:cs="Arial Narrow"/>
        </w:rPr>
        <w:t xml:space="preserve">Mimoriadne vydanie </w:t>
      </w:r>
      <w:r w:rsidRPr="00F50E3E">
        <w:rPr>
          <w:rFonts w:ascii="Times New Roman" w:hAnsi="Times New Roman" w:cs="Arial Narrow"/>
          <w:color w:val="000000"/>
        </w:rPr>
        <w:t>Ú.v.</w:t>
      </w:r>
      <w:r w:rsidRPr="00F50E3E">
        <w:rPr>
          <w:rFonts w:ascii="Times New Roman" w:hAnsi="Times New Roman" w:cs="Arial Narrow"/>
          <w:i/>
          <w:iCs/>
          <w:color w:val="000000"/>
        </w:rPr>
        <w:t xml:space="preserve"> </w:t>
      </w:r>
      <w:r w:rsidRPr="00F50E3E">
        <w:rPr>
          <w:rFonts w:ascii="Times New Roman" w:hAnsi="Times New Roman" w:cs="Arial Narrow"/>
        </w:rPr>
        <w:t xml:space="preserve">EÚ </w:t>
      </w:r>
      <w:r w:rsidRPr="00F50E3E">
        <w:rPr>
          <w:rFonts w:ascii="Times New Roman" w:hAnsi="Times New Roman" w:cs="Arial Narrow"/>
        </w:rPr>
        <w:t>9/ zv. 1),</w:t>
      </w:r>
    </w:p>
    <w:p w:rsidR="00041B32" w:rsidRPr="00F50E3E" w:rsidP="00041B32">
      <w:pPr>
        <w:numPr>
          <w:ilvl w:val="0"/>
          <w:numId w:val="4"/>
        </w:numPr>
        <w:tabs>
          <w:tab w:val="left" w:pos="900"/>
        </w:tabs>
        <w:spacing w:after="120"/>
        <w:jc w:val="both"/>
        <w:rPr>
          <w:rFonts w:ascii="Times New Roman" w:hAnsi="Times New Roman" w:cs="Arial Narrow"/>
        </w:rPr>
      </w:pPr>
      <w:r w:rsidRPr="00F50E3E">
        <w:rPr>
          <w:rFonts w:ascii="Times New Roman" w:hAnsi="Times New Roman" w:cs="Tahoma"/>
          <w:szCs w:val="22"/>
        </w:rPr>
        <w:t xml:space="preserve">v smernici Rady 90/434/EHS z 23. júla 1990 o spoločnom systéme zdaňovania pri zlúčeniach, rozdeleniach, prevodoch majetku a výmene akcií týkajúcich sa spoločností rôznych členských štátov v platnom znení </w:t>
      </w:r>
      <w:r w:rsidRPr="00F50E3E">
        <w:rPr>
          <w:rFonts w:ascii="Times New Roman" w:hAnsi="Times New Roman" w:cs="Arial Narrow"/>
          <w:color w:val="000000"/>
        </w:rPr>
        <w:t>(</w:t>
      </w:r>
      <w:r w:rsidRPr="00F50E3E">
        <w:rPr>
          <w:rFonts w:ascii="Times New Roman" w:hAnsi="Times New Roman" w:cs="Arial Narrow"/>
        </w:rPr>
        <w:t xml:space="preserve">Mimoriadne vydanie </w:t>
      </w:r>
      <w:r w:rsidRPr="00F50E3E">
        <w:rPr>
          <w:rFonts w:ascii="Times New Roman" w:hAnsi="Times New Roman" w:cs="Arial Narrow"/>
          <w:color w:val="000000"/>
        </w:rPr>
        <w:t>Ú.v.</w:t>
      </w:r>
      <w:r w:rsidRPr="00F50E3E">
        <w:rPr>
          <w:rFonts w:ascii="Times New Roman" w:hAnsi="Times New Roman" w:cs="Arial Narrow"/>
          <w:i/>
          <w:iCs/>
          <w:color w:val="000000"/>
        </w:rPr>
        <w:t xml:space="preserve"> </w:t>
      </w:r>
      <w:r w:rsidRPr="00F50E3E">
        <w:rPr>
          <w:rFonts w:ascii="Times New Roman" w:hAnsi="Times New Roman" w:cs="Arial Narrow"/>
        </w:rPr>
        <w:t>EÚ 9/ zv. 1),</w:t>
      </w:r>
    </w:p>
    <w:p w:rsidR="00041B32" w:rsidRPr="00F50E3E" w:rsidP="00041B32">
      <w:pPr>
        <w:numPr>
          <w:ilvl w:val="0"/>
          <w:numId w:val="5"/>
        </w:numPr>
        <w:tabs>
          <w:tab w:val="left" w:pos="870"/>
        </w:tabs>
        <w:spacing w:after="120"/>
        <w:jc w:val="both"/>
        <w:rPr>
          <w:rFonts w:ascii="Times New Roman" w:hAnsi="Times New Roman" w:cs="Arial Narrow"/>
        </w:rPr>
      </w:pPr>
      <w:r w:rsidRPr="00F50E3E">
        <w:rPr>
          <w:rFonts w:ascii="Times New Roman" w:hAnsi="Times New Roman" w:cs="Tahoma"/>
          <w:szCs w:val="22"/>
        </w:rPr>
        <w:t xml:space="preserve">v smernici Rady 90/435/EHS z 23. júla 1990 o spoločnom systéme zdaňovania uplatňovanom v prípade materských spoločností a dcérskych spoločností v rozličných členských štátoch v platnom znení </w:t>
      </w:r>
      <w:r w:rsidRPr="00F50E3E">
        <w:rPr>
          <w:rFonts w:ascii="Times New Roman" w:hAnsi="Times New Roman" w:cs="Arial Narrow"/>
          <w:color w:val="000000"/>
        </w:rPr>
        <w:t>(</w:t>
      </w:r>
      <w:r w:rsidRPr="00F50E3E">
        <w:rPr>
          <w:rFonts w:ascii="Times New Roman" w:hAnsi="Times New Roman" w:cs="Arial Narrow"/>
        </w:rPr>
        <w:t xml:space="preserve">Mimoriadne vydanie </w:t>
      </w:r>
      <w:r w:rsidRPr="00F50E3E">
        <w:rPr>
          <w:rFonts w:ascii="Times New Roman" w:hAnsi="Times New Roman" w:cs="Arial Narrow"/>
          <w:color w:val="000000"/>
        </w:rPr>
        <w:t>Ú.v.</w:t>
      </w:r>
      <w:r w:rsidRPr="00F50E3E">
        <w:rPr>
          <w:rFonts w:ascii="Times New Roman" w:hAnsi="Times New Roman" w:cs="Arial Narrow"/>
          <w:i/>
          <w:iCs/>
          <w:color w:val="000000"/>
        </w:rPr>
        <w:t xml:space="preserve"> </w:t>
      </w:r>
      <w:r w:rsidRPr="00F50E3E">
        <w:rPr>
          <w:rFonts w:ascii="Times New Roman" w:hAnsi="Times New Roman" w:cs="Arial Narrow"/>
        </w:rPr>
        <w:t>EÚ 9/ zv. 1),</w:t>
      </w:r>
    </w:p>
    <w:p w:rsidR="00041B32" w:rsidRPr="00F50E3E" w:rsidP="00041B32">
      <w:pPr>
        <w:numPr>
          <w:ilvl w:val="0"/>
          <w:numId w:val="6"/>
        </w:numPr>
        <w:tabs>
          <w:tab w:val="left" w:pos="870"/>
        </w:tabs>
        <w:spacing w:after="120"/>
        <w:jc w:val="both"/>
        <w:rPr>
          <w:rFonts w:ascii="Times New Roman" w:hAnsi="Times New Roman" w:cs="Arial Narrow"/>
        </w:rPr>
      </w:pPr>
      <w:r w:rsidRPr="00F50E3E">
        <w:rPr>
          <w:rFonts w:ascii="Times New Roman" w:hAnsi="Times New Roman" w:cs="Tahoma"/>
          <w:bCs/>
          <w:szCs w:val="22"/>
        </w:rPr>
        <w:t>v smernici Rady 2003/48/ES z</w:t>
      </w:r>
      <w:r w:rsidRPr="00F50E3E">
        <w:rPr>
          <w:rFonts w:ascii="Times New Roman" w:hAnsi="Times New Roman" w:cs="Tahoma"/>
          <w:bCs/>
          <w:szCs w:val="22"/>
        </w:rPr>
        <w:t xml:space="preserve"> 3. júna 2003 </w:t>
      </w:r>
      <w:r w:rsidRPr="00F50E3E">
        <w:rPr>
          <w:rFonts w:ascii="Times New Roman" w:hAnsi="Times New Roman" w:cs="Tahoma"/>
          <w:szCs w:val="22"/>
        </w:rPr>
        <w:t>o zdaňovaní príjmu z úspor v podobe výplaty úrokov</w:t>
      </w:r>
      <w:r w:rsidRPr="00F50E3E">
        <w:rPr>
          <w:rFonts w:ascii="Times New Roman" w:hAnsi="Times New Roman" w:cs="Tahoma"/>
          <w:szCs w:val="17"/>
        </w:rPr>
        <w:t xml:space="preserve"> </w:t>
      </w:r>
      <w:r w:rsidRPr="00F50E3E">
        <w:rPr>
          <w:rFonts w:ascii="Times New Roman" w:hAnsi="Times New Roman" w:cs="Tahoma"/>
          <w:szCs w:val="22"/>
        </w:rPr>
        <w:t xml:space="preserve">v platnom znení </w:t>
      </w:r>
      <w:r w:rsidRPr="00F50E3E">
        <w:rPr>
          <w:rFonts w:ascii="Times New Roman" w:hAnsi="Times New Roman" w:cs="Arial Narrow"/>
          <w:color w:val="000000"/>
        </w:rPr>
        <w:t>(</w:t>
      </w:r>
      <w:r w:rsidRPr="00F50E3E">
        <w:rPr>
          <w:rFonts w:ascii="Times New Roman" w:hAnsi="Times New Roman" w:cs="Arial Narrow"/>
        </w:rPr>
        <w:t xml:space="preserve">Mimoriadne vydanie </w:t>
      </w:r>
      <w:r w:rsidRPr="00F50E3E">
        <w:rPr>
          <w:rFonts w:ascii="Times New Roman" w:hAnsi="Times New Roman" w:cs="Arial Narrow"/>
          <w:color w:val="000000"/>
        </w:rPr>
        <w:t>Ú.v.</w:t>
      </w:r>
      <w:r w:rsidRPr="00F50E3E">
        <w:rPr>
          <w:rFonts w:ascii="Times New Roman" w:hAnsi="Times New Roman" w:cs="Arial Narrow"/>
          <w:i/>
          <w:iCs/>
          <w:color w:val="000000"/>
        </w:rPr>
        <w:t xml:space="preserve"> </w:t>
      </w:r>
      <w:r w:rsidRPr="00F50E3E">
        <w:rPr>
          <w:rFonts w:ascii="Times New Roman" w:hAnsi="Times New Roman" w:cs="Arial Narrow"/>
        </w:rPr>
        <w:t>EÚ 9/ zv. 1),</w:t>
      </w:r>
    </w:p>
    <w:p w:rsidR="00041B32" w:rsidRPr="00F50E3E" w:rsidP="00041B32">
      <w:pPr>
        <w:numPr>
          <w:ilvl w:val="0"/>
          <w:numId w:val="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F50E3E">
        <w:rPr>
          <w:rFonts w:ascii="Times New Roman" w:hAnsi="Times New Roman" w:cs="Tahoma"/>
          <w:bCs/>
          <w:szCs w:val="22"/>
        </w:rPr>
        <w:t xml:space="preserve">v smernici Rady 2003/49/ES z 3. júna 2003 o spoločnom systéme zdaňovania uplatňovanom na výplaty úrokov a licenčných poplatkov medzi združenými spoločnosťami rôznych členských štátov v platnom znení </w:t>
      </w:r>
      <w:r w:rsidRPr="00F50E3E">
        <w:rPr>
          <w:rFonts w:ascii="Times New Roman" w:hAnsi="Times New Roman" w:cs="Arial Narrow"/>
          <w:color w:val="000000"/>
        </w:rPr>
        <w:t>(</w:t>
      </w:r>
      <w:r w:rsidRPr="00F50E3E">
        <w:rPr>
          <w:rFonts w:ascii="Times New Roman" w:hAnsi="Times New Roman" w:cs="Arial Narrow"/>
        </w:rPr>
        <w:t xml:space="preserve">Mimoriadne vydanie </w:t>
      </w:r>
      <w:r w:rsidRPr="00F50E3E">
        <w:rPr>
          <w:rFonts w:ascii="Times New Roman" w:hAnsi="Times New Roman" w:cs="Arial Narrow"/>
          <w:color w:val="000000"/>
        </w:rPr>
        <w:t>Ú.v.</w:t>
      </w:r>
      <w:r w:rsidRPr="00F50E3E">
        <w:rPr>
          <w:rFonts w:ascii="Times New Roman" w:hAnsi="Times New Roman" w:cs="Arial Narrow"/>
          <w:i/>
          <w:iCs/>
          <w:color w:val="000000"/>
        </w:rPr>
        <w:t xml:space="preserve"> </w:t>
      </w:r>
      <w:r w:rsidRPr="00F50E3E">
        <w:rPr>
          <w:rFonts w:ascii="Times New Roman" w:hAnsi="Times New Roman" w:cs="Arial Narrow"/>
        </w:rPr>
        <w:t>EÚ, 9/ zv. 1)</w:t>
      </w:r>
    </w:p>
    <w:p w:rsidR="00041B32" w:rsidRPr="00F50E3E" w:rsidP="00041B32">
      <w:pPr>
        <w:numPr>
          <w:ilvl w:val="1"/>
          <w:numId w:val="1"/>
        </w:numPr>
        <w:spacing w:after="120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 xml:space="preserve">nie je upravená v práve Európskej únie. </w:t>
      </w:r>
    </w:p>
    <w:p w:rsidR="00041B32" w:rsidRPr="00F50E3E" w:rsidP="00041B32">
      <w:pPr>
        <w:numPr>
          <w:ilvl w:val="1"/>
          <w:numId w:val="1"/>
        </w:numPr>
        <w:spacing w:after="120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Times New Roman"/>
          <w:szCs w:val="22"/>
          <w:lang w:eastAsia="cs-CZ"/>
        </w:rPr>
        <w:t>je obsiahnutá v judikatú</w:t>
      </w:r>
      <w:r w:rsidRPr="00F50E3E">
        <w:rPr>
          <w:rFonts w:ascii="Times New Roman" w:hAnsi="Times New Roman" w:cs="Times New Roman"/>
          <w:szCs w:val="22"/>
          <w:lang w:eastAsia="cs-CZ"/>
        </w:rPr>
        <w:t>re Súdneho dvora Európskych spoločenstiev alebo Súdu prvého stupňa Európskych spoločenstiev:</w:t>
      </w:r>
    </w:p>
    <w:p w:rsidR="00041B32" w:rsidRPr="00F50E3E" w:rsidP="00041B32">
      <w:pPr>
        <w:numPr>
          <w:ilvl w:val="0"/>
          <w:numId w:val="8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szCs w:val="22"/>
          <w:lang w:val="cs-CZ"/>
        </w:rPr>
      </w:pPr>
      <w:r w:rsidRPr="00F50E3E">
        <w:rPr>
          <w:rFonts w:ascii="Times New Roman" w:hAnsi="Times New Roman" w:cs="Times New Roman"/>
          <w:color w:val="000000"/>
          <w:szCs w:val="22"/>
          <w:lang w:val="cs-CZ"/>
        </w:rPr>
        <w:t xml:space="preserve">v rozhodnutí Súdneho dvora Európskych spoločenstiev vo veci C - 28/95, </w:t>
      </w:r>
      <w:r w:rsidRPr="00F50E3E">
        <w:rPr>
          <w:rFonts w:ascii="Times New Roman" w:hAnsi="Times New Roman" w:cs="Tahoma"/>
          <w:bCs/>
          <w:color w:val="000000"/>
          <w:szCs w:val="22"/>
          <w:lang w:val="cs-CZ"/>
        </w:rPr>
        <w:t>A. Leur-Bloem v. Inspecteur der Belastingdienst/Ondernemingen Amsterdam 2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, rok 1997,  Zb.roz. ESD (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 xml:space="preserve"> I-04161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),</w:t>
      </w:r>
    </w:p>
    <w:p w:rsidR="00041B32" w:rsidRPr="00F50E3E" w:rsidP="00041B32">
      <w:pPr>
        <w:numPr>
          <w:ilvl w:val="0"/>
          <w:numId w:val="9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szCs w:val="22"/>
          <w:lang w:val="cs-CZ"/>
        </w:rPr>
      </w:pPr>
      <w:r w:rsidRPr="00F50E3E">
        <w:rPr>
          <w:rFonts w:ascii="Times New Roman" w:hAnsi="Times New Roman" w:cs="Times New Roman"/>
          <w:color w:val="000000"/>
          <w:szCs w:val="22"/>
          <w:lang w:val="cs-CZ"/>
        </w:rPr>
        <w:t xml:space="preserve">v rozhodnutí Súdneho dvora Európskych spoločenstiev vo veci C - 43/2000, 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>Andersen og Jensen ApS v. Skatteministeriet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, rok 2002,  Zb.roz. ESD (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 xml:space="preserve"> I- 00379),</w:t>
      </w:r>
    </w:p>
    <w:p w:rsidR="00041B32" w:rsidRPr="00F50E3E" w:rsidP="00041B32">
      <w:pPr>
        <w:numPr>
          <w:ilvl w:val="0"/>
          <w:numId w:val="10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szCs w:val="22"/>
          <w:lang w:val="cs-CZ"/>
        </w:rPr>
      </w:pPr>
      <w:r w:rsidRPr="00F50E3E">
        <w:rPr>
          <w:rFonts w:ascii="Times New Roman" w:hAnsi="Times New Roman" w:cs="Times New Roman"/>
          <w:color w:val="000000"/>
          <w:szCs w:val="22"/>
          <w:lang w:val="cs-CZ"/>
        </w:rPr>
        <w:t xml:space="preserve">v rozhodnutí Súdneho dvora Európskych spoločenstiev vo veci C - 283/94, 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>Denkavit International BV, VITIC Amsterdam BV and Voormeer BV v. Bundesamt für Finanzen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, rok 1996, Zb.roz. ESD (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 xml:space="preserve"> I- 05063),</w:t>
      </w:r>
    </w:p>
    <w:p w:rsidR="00041B32" w:rsidRPr="00F50E3E" w:rsidP="00041B32">
      <w:pPr>
        <w:numPr>
          <w:ilvl w:val="0"/>
          <w:numId w:val="11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szCs w:val="22"/>
          <w:lang w:val="cs-CZ"/>
        </w:rPr>
      </w:pPr>
      <w:r w:rsidRPr="00F50E3E">
        <w:rPr>
          <w:rFonts w:ascii="Times New Roman" w:hAnsi="Times New Roman" w:cs="Times New Roman"/>
          <w:color w:val="000000"/>
          <w:szCs w:val="22"/>
          <w:lang w:val="cs-CZ"/>
        </w:rPr>
        <w:t xml:space="preserve">v rozhodnutí Súdneho dvora Európskych spoločenstiev vo veci C - 375/98, 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>Ministério Público and Fazenda Pública v. Epson Europe BV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, rok  2000,  Zb.roz. ESD (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 xml:space="preserve"> I- 04243),</w:t>
      </w:r>
    </w:p>
    <w:p w:rsidR="00041B32" w:rsidRPr="00F50E3E" w:rsidP="00041B32">
      <w:pPr>
        <w:numPr>
          <w:ilvl w:val="0"/>
          <w:numId w:val="12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szCs w:val="22"/>
          <w:lang w:val="cs-CZ"/>
        </w:rPr>
      </w:pPr>
      <w:r w:rsidRPr="00F50E3E">
        <w:rPr>
          <w:rFonts w:ascii="Times New Roman" w:hAnsi="Times New Roman" w:cs="Times New Roman"/>
          <w:color w:val="000000"/>
          <w:szCs w:val="22"/>
          <w:lang w:val="cs-CZ"/>
        </w:rPr>
        <w:t xml:space="preserve">v rozhodnutí Súdneho dvora Európskych spoločenstiev vo veci C - 2945/99, 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>Athinaïki Zythopoiia AE v. Elliniko Dimosio</w:t>
      </w:r>
      <w:r w:rsidRPr="00F50E3E">
        <w:rPr>
          <w:rFonts w:ascii="Times New Roman" w:hAnsi="Times New Roman" w:cs="Times New Roman"/>
          <w:color w:val="000000"/>
          <w:szCs w:val="22"/>
          <w:lang w:val="cs-CZ"/>
        </w:rPr>
        <w:t>, rok  2001,  Zb.roz. ESD (</w:t>
      </w:r>
      <w:r w:rsidRPr="00F50E3E">
        <w:rPr>
          <w:rFonts w:ascii="Times New Roman" w:hAnsi="Times New Roman" w:cs="Tahoma"/>
          <w:color w:val="000000"/>
          <w:szCs w:val="22"/>
          <w:lang w:val="cs-CZ"/>
        </w:rPr>
        <w:t xml:space="preserve"> I- 06797).</w:t>
      </w:r>
    </w:p>
    <w:p w:rsidR="00041B32" w:rsidRPr="00F50E3E" w:rsidP="00041B32">
      <w:pPr>
        <w:ind w:left="425"/>
        <w:rPr>
          <w:rFonts w:ascii="Times New Roman" w:hAnsi="Times New Roman" w:cs="Arial Narrow"/>
          <w:szCs w:val="22"/>
          <w:lang w:eastAsia="cs-CZ"/>
        </w:rPr>
      </w:pPr>
    </w:p>
    <w:p w:rsidR="00041B32" w:rsidRPr="00F50E3E" w:rsidP="00041B32">
      <w:pPr>
        <w:ind w:left="425"/>
        <w:rPr>
          <w:rFonts w:ascii="Times New Roman" w:hAnsi="Times New Roman" w:cs="Arial Narrow"/>
          <w:szCs w:val="22"/>
          <w:lang w:eastAsia="cs-CZ"/>
        </w:rPr>
      </w:pPr>
    </w:p>
    <w:p w:rsidR="00041B32" w:rsidRPr="00F50E3E" w:rsidP="00041B32">
      <w:pPr>
        <w:ind w:left="425"/>
        <w:rPr>
          <w:rFonts w:ascii="Times New Roman" w:hAnsi="Times New Roman" w:cs="Arial Narrow"/>
          <w:szCs w:val="22"/>
          <w:lang w:eastAsia="cs-CZ"/>
        </w:rPr>
      </w:pPr>
    </w:p>
    <w:p w:rsidR="00041B32" w:rsidRPr="00F50E3E" w:rsidP="00041B32">
      <w:pPr>
        <w:numPr>
          <w:ilvl w:val="0"/>
          <w:numId w:val="1"/>
        </w:numPr>
        <w:spacing w:after="120"/>
        <w:ind w:left="360" w:hanging="36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>Záväzky Slovenskej republiky vo vzťahu k Európskym spoločenstvám a Európskej únii:</w:t>
      </w:r>
    </w:p>
    <w:p w:rsidR="00041B32" w:rsidRPr="00F50E3E" w:rsidP="00041B32">
      <w:p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 w:rsidR="00041B32" w:rsidRPr="00F50E3E" w:rsidP="00041B32">
      <w:pPr>
        <w:tabs>
          <w:tab w:val="left" w:pos="360"/>
          <w:tab w:val="left" w:pos="540"/>
        </w:tabs>
        <w:spacing w:after="120"/>
        <w:ind w:left="357" w:hanging="357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b)</w:t>
        <w:tab/>
        <w:t>Podľa Zmluvy o pristúpení Slovenskej republiky k Európskej únii, najmä Aktu o podmienkach pristúpenia, nepožiadala SR o žiadne prechodné obdobia.</w:t>
      </w:r>
    </w:p>
    <w:p w:rsidR="00041B32" w:rsidRPr="00F50E3E" w:rsidP="00041B32">
      <w:p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c)</w:t>
        <w:tab/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041B32" w:rsidRPr="00F50E3E" w:rsidP="00041B32">
      <w:pPr>
        <w:numPr>
          <w:ilvl w:val="0"/>
          <w:numId w:val="13"/>
        </w:numPr>
        <w:tabs>
          <w:tab w:val="left" w:pos="360"/>
          <w:tab w:val="left" w:pos="720"/>
        </w:tabs>
        <w:spacing w:after="120"/>
        <w:ind w:left="360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Proti SR nebolo začaté konanie o porušení Zmluvy o založení Európskych spoločenstiev podľa čl. 226 až 228 Zmluvy o založení Európskych spoločenstiev v platnom znení.</w:t>
      </w:r>
    </w:p>
    <w:p w:rsidR="00041B32" w:rsidRPr="00F50E3E" w:rsidP="00041B32">
      <w:pPr>
        <w:numPr>
          <w:ilvl w:val="0"/>
          <w:numId w:val="13"/>
        </w:numPr>
        <w:tabs>
          <w:tab w:val="left" w:pos="360"/>
          <w:tab w:val="left" w:pos="720"/>
        </w:tabs>
        <w:ind w:left="360" w:hanging="357"/>
        <w:jc w:val="both"/>
        <w:rPr>
          <w:rFonts w:ascii="Times New Roman" w:hAnsi="Times New Roman" w:cs="Arial Narrow"/>
          <w:szCs w:val="22"/>
          <w:lang w:eastAsia="cs-CZ"/>
        </w:rPr>
      </w:pPr>
      <w:r w:rsidRPr="00F50E3E">
        <w:rPr>
          <w:rFonts w:ascii="Times New Roman" w:hAnsi="Times New Roman" w:cs="Arial Narrow"/>
          <w:szCs w:val="22"/>
          <w:lang w:eastAsia="cs-CZ"/>
        </w:rPr>
        <w:t>Smernica 2004/66/ES bola za MF SR úplne prebratá do zákona č. 95/2002 Z.z. o poisťovníctve a o zmene a doplnení niektorých zákonov v znení neskorších predpisov a do zákona č. 222/2004 Z.z. o dani z pridanej hodnoty v znení neskorších predpisov.</w:t>
      </w:r>
    </w:p>
    <w:p w:rsidR="00041B32" w:rsidRPr="00F50E3E" w:rsidP="00041B32">
      <w:pPr>
        <w:spacing w:after="120"/>
        <w:ind w:left="357" w:hanging="357"/>
        <w:jc w:val="both"/>
        <w:rPr>
          <w:rFonts w:ascii="Times New Roman" w:hAnsi="Times New Roman" w:cs="Arial Narrow"/>
          <w:szCs w:val="22"/>
        </w:rPr>
      </w:pPr>
    </w:p>
    <w:p w:rsidR="00041B32" w:rsidRPr="00F50E3E" w:rsidP="00041B32">
      <w:pPr>
        <w:numPr>
          <w:ilvl w:val="0"/>
          <w:numId w:val="1"/>
        </w:numPr>
        <w:spacing w:after="12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>Stupeň zlučiteľnosti návrhu zákona s právom Európskych spoločenstiev a právom Európskej únie:</w:t>
      </w:r>
    </w:p>
    <w:p w:rsidR="00041B32" w:rsidRPr="00F50E3E" w:rsidP="00041B32">
      <w:pPr>
        <w:spacing w:after="120"/>
        <w:ind w:left="425" w:hanging="425"/>
        <w:jc w:val="both"/>
        <w:rPr>
          <w:rFonts w:ascii="Times New Roman" w:hAnsi="Times New Roman" w:cs="Arial Narrow"/>
          <w:szCs w:val="22"/>
        </w:rPr>
      </w:pPr>
      <w:r w:rsidRPr="00F50E3E">
        <w:rPr>
          <w:rFonts w:ascii="Times New Roman" w:hAnsi="Times New Roman" w:cs="Arial Narrow"/>
          <w:szCs w:val="22"/>
        </w:rPr>
        <w:t xml:space="preserve"> </w:t>
        <w:tab/>
        <w:t>Úplný.</w:t>
      </w:r>
    </w:p>
    <w:p w:rsidR="00041B32" w:rsidRPr="00F50E3E" w:rsidP="00041B32">
      <w:pPr>
        <w:spacing w:after="120"/>
        <w:ind w:left="357"/>
        <w:jc w:val="both"/>
        <w:rPr>
          <w:rFonts w:ascii="Times New Roman" w:hAnsi="Times New Roman" w:cs="Arial Narrow"/>
          <w:b/>
          <w:bCs/>
          <w:szCs w:val="22"/>
        </w:rPr>
      </w:pPr>
    </w:p>
    <w:p w:rsidR="00041B32" w:rsidRPr="00F50E3E" w:rsidP="00041B32">
      <w:pPr>
        <w:numPr>
          <w:ilvl w:val="0"/>
          <w:numId w:val="1"/>
        </w:numPr>
        <w:spacing w:after="12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b/>
          <w:bCs/>
          <w:szCs w:val="22"/>
        </w:rPr>
        <w:t xml:space="preserve">Gestor a spolupracujúce rezorty: </w:t>
      </w:r>
    </w:p>
    <w:p w:rsidR="00041B32" w:rsidRPr="00F50E3E" w:rsidP="00041B32">
      <w:pPr>
        <w:spacing w:after="120"/>
        <w:ind w:left="360"/>
        <w:jc w:val="both"/>
        <w:rPr>
          <w:rFonts w:ascii="Times New Roman" w:hAnsi="Times New Roman" w:cs="Arial Narrow"/>
          <w:b/>
          <w:bCs/>
          <w:szCs w:val="22"/>
        </w:rPr>
      </w:pPr>
      <w:r w:rsidRPr="00F50E3E">
        <w:rPr>
          <w:rFonts w:ascii="Times New Roman" w:hAnsi="Times New Roman" w:cs="Arial Narrow"/>
          <w:szCs w:val="22"/>
        </w:rPr>
        <w:t>.</w:t>
      </w:r>
    </w:p>
    <w:p w:rsidR="00041B32" w:rsidRPr="00F50E3E" w:rsidP="00041B32">
      <w:pPr>
        <w:jc w:val="both"/>
        <w:rPr>
          <w:rFonts w:ascii="Times New Roman" w:hAnsi="Times New Roman" w:cs="Arial Narrow"/>
          <w:szCs w:val="22"/>
        </w:rPr>
      </w:pPr>
    </w:p>
    <w:p w:rsidR="00041B32" w:rsidRPr="00F50E3E" w:rsidP="00041B32">
      <w:pPr>
        <w:jc w:val="both"/>
        <w:rPr>
          <w:rFonts w:ascii="Times New Roman" w:hAnsi="Times New Roman" w:cs="Arial Narrow"/>
          <w:szCs w:val="22"/>
        </w:rPr>
      </w:pPr>
    </w:p>
    <w:p w:rsidR="001044F6" w:rsidRPr="00F50E3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3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4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5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7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2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B32"/>
    <w:rsid w:val="001044F6"/>
    <w:rsid w:val="00132116"/>
    <w:rsid w:val="008C40B3"/>
    <w:rsid w:val="00F50E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3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F50E3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608</Words>
  <Characters>3467</Characters>
  <Application>Microsoft Office Word</Application>
  <DocSecurity>0</DocSecurity>
  <Lines>0</Lines>
  <Paragraphs>0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;</dc:creator>
  <cp:lastModifiedBy>Ivan_Miklos</cp:lastModifiedBy>
  <cp:revision>2</cp:revision>
  <cp:lastPrinted>2007-05-31T13:16:00Z</cp:lastPrinted>
  <dcterms:created xsi:type="dcterms:W3CDTF">2007-05-31T15:39:00Z</dcterms:created>
  <dcterms:modified xsi:type="dcterms:W3CDTF">2007-05-31T15:39:00Z</dcterms:modified>
</cp:coreProperties>
</file>