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spacing w:before="120" w:after="120"/>
        <w:jc w:val="center"/>
        <w:outlineLvl w:val="0"/>
        <w:rPr>
          <w:rFonts w:ascii="Times New Roman" w:hAnsi="Times New Roman" w:cs="Times New Roman"/>
          <w:b/>
        </w:rPr>
      </w:pPr>
      <w:r>
        <w:rPr>
          <w:rFonts w:ascii="Times New Roman" w:hAnsi="Times New Roman" w:cs="Times New Roman"/>
          <w:b/>
          <w:caps/>
        </w:rPr>
        <w:t>d</w:t>
      </w:r>
      <w:r>
        <w:rPr>
          <w:rFonts w:ascii="Times New Roman" w:hAnsi="Times New Roman" w:cs="Times New Roman"/>
          <w:b/>
        </w:rPr>
        <w:t>ôvodová správa</w:t>
      </w:r>
    </w:p>
    <w:p>
      <w:pPr>
        <w:spacing w:before="120" w:after="120"/>
        <w:outlineLvl w:val="0"/>
        <w:rPr>
          <w:rFonts w:ascii="Times New Roman" w:hAnsi="Times New Roman" w:cs="Times New Roman"/>
          <w:b/>
        </w:rPr>
      </w:pPr>
      <w:r>
        <w:rPr>
          <w:rFonts w:ascii="Times New Roman" w:hAnsi="Times New Roman" w:cs="Times New Roman"/>
          <w:b/>
        </w:rPr>
        <w:t>Všeobecná časť</w:t>
      </w:r>
    </w:p>
    <w:p>
      <w:pPr>
        <w:spacing w:before="120" w:after="120"/>
        <w:rPr>
          <w:rFonts w:ascii="Times New Roman" w:hAnsi="Times New Roman" w:cs="Times New Roman"/>
          <w:b/>
          <w:i/>
        </w:rPr>
      </w:pPr>
    </w:p>
    <w:p>
      <w:pPr>
        <w:spacing w:before="120" w:after="120"/>
        <w:ind w:firstLine="680"/>
        <w:jc w:val="both"/>
        <w:rPr>
          <w:rFonts w:cs="Times New Roman"/>
        </w:rPr>
      </w:pPr>
      <w:r>
        <w:rPr>
          <w:rFonts w:ascii="Times New Roman" w:hAnsi="Times New Roman" w:cs="Times New Roman"/>
        </w:rPr>
        <w:t>Vláda Slovenskej republiky uznesením č. 660 z  31. júla 2006 schválila Programové vyhlásenie vlády Slovenskej republiky (ďalej len „PVV SR“). Z textu schváleného PVV SR vyplýva, že vláda SR má ambíciu vypracovať strategický dokument „Národohospodárska stratégia SR do roku 2020 s výhľadom do roku 2030“, ktorého cieľom je zabezpečiť maximálny ekonomický rast v podmienkach trvalo udržateľného rozvoja.</w:t>
      </w:r>
      <w:r>
        <w:rPr>
          <w:rFonts w:ascii="Times New Roman" w:hAnsi="Times New Roman" w:cs="Times New Roman"/>
          <w:highlight w:val="yellow"/>
        </w:rPr>
        <w:t xml:space="preserve"> </w:t>
      </w:r>
    </w:p>
    <w:p>
      <w:pPr>
        <w:spacing w:before="120" w:after="120"/>
        <w:ind w:firstLine="680"/>
        <w:jc w:val="both"/>
        <w:rPr>
          <w:rFonts w:ascii="Times New Roman" w:hAnsi="Times New Roman" w:cs="Times New Roman"/>
        </w:rPr>
      </w:pPr>
      <w:r>
        <w:rPr>
          <w:rFonts w:ascii="Times New Roman" w:hAnsi="Times New Roman" w:cs="Times New Roman"/>
        </w:rPr>
        <w:t xml:space="preserve">Za Slovenskú republiku spracováva Ministerstvo hospodárstva SR priemyselnú politiku, ktorá je súčasťou hospodárskej politiky a národohospodárskej stratégie. V rámci rezortu Ministerstva hospodárstva SR je cieľom zachovať a ďalej rozvíjať konkurencieschopný a efektívne vyrábajúci potenciál priemyselnej výroby, energetiky, ako aj potenciál cestovného ruchu a ďalších vybraných služieb v podmienkach trvalo udržateľného rozvoja, a tak účinne prispievať k zvyšovaniu ekonomickej výkonnosti Slovenska ako celku a k znižovaniu disparít ekonomickej výkonnosti v regiónoch SR. </w:t>
      </w:r>
    </w:p>
    <w:p>
      <w:pPr>
        <w:spacing w:before="120" w:after="120"/>
        <w:ind w:firstLine="680"/>
        <w:jc w:val="both"/>
        <w:rPr>
          <w:rFonts w:cs="Times New Roman"/>
        </w:rPr>
      </w:pPr>
      <w:r>
        <w:rPr>
          <w:rFonts w:ascii="Times New Roman" w:hAnsi="Times New Roman" w:cs="Times New Roman"/>
        </w:rPr>
        <w:t>Na základe vzájomných konzultácií Ministerstvo pôdohospodárstva SR, Ministerstvo výstavby a regionálneho rozvoja SR a Ministerstvo práce, sociálnych vecí a rodiny SR požaduje, aby Ministerstvo hospodárstva SR podporovalo podnikateľov z odvetvia potravinárskeho priemyslu a priemyslu stavebných výrobkov, ktorí sú pri súčasnej úprave</w:t>
      </w:r>
      <w:r>
        <w:rPr>
          <w:rFonts w:ascii="Times New Roman" w:hAnsi="Times New Roman" w:cs="Times New Roman"/>
          <w:b/>
          <w:i/>
          <w:lang w:eastAsia="en-US"/>
        </w:rPr>
        <w:t xml:space="preserve"> </w:t>
      </w:r>
      <w:r>
        <w:rPr>
          <w:rFonts w:ascii="Times New Roman" w:hAnsi="Times New Roman" w:cs="Times New Roman"/>
          <w:lang w:eastAsia="en-US"/>
        </w:rPr>
        <w:t xml:space="preserve">zákona </w:t>
      </w:r>
      <w:r>
        <w:rPr>
          <w:rFonts w:ascii="Times New Roman" w:hAnsi="Times New Roman" w:cs="Times New Roman"/>
        </w:rPr>
        <w:t>č.</w:t>
      </w:r>
      <w:bookmarkStart w:id="0" w:name="000"/>
      <w:bookmarkEnd w:id="0"/>
      <w:r>
        <w:rPr>
          <w:rFonts w:ascii="Times New Roman" w:hAnsi="Times New Roman" w:cs="Times New Roman"/>
          <w:i/>
        </w:rPr>
        <w:t xml:space="preserve"> </w:t>
      </w:r>
      <w:r>
        <w:rPr>
          <w:rFonts w:ascii="Times New Roman" w:hAnsi="Times New Roman" w:cs="Times New Roman"/>
        </w:rPr>
        <w:t>575/2001 Z. z. o organizácii činnosti vlády a organizácii ústrednej štátnej správy v znení neskorších predpisov</w:t>
      </w:r>
      <w:r>
        <w:rPr>
          <w:rFonts w:ascii="Times New Roman" w:hAnsi="Times New Roman" w:cs="Times New Roman"/>
          <w:i/>
        </w:rPr>
        <w:t xml:space="preserve"> </w:t>
      </w:r>
      <w:r>
        <w:rPr>
          <w:rFonts w:ascii="Times New Roman" w:hAnsi="Times New Roman" w:cs="Times New Roman"/>
        </w:rPr>
        <w:t>vylúčení z kompetencie Ministerstva hospodárstva SR. V súčasnosti za rozvo</w:t>
      </w:r>
      <w:r>
        <w:rPr>
          <w:rFonts w:ascii="Times New Roman" w:hAnsi="Times New Roman" w:cs="Times New Roman"/>
        </w:rPr>
        <w:t xml:space="preserve">j potravinárskeho priemyslu </w:t>
      </w:r>
      <w:r>
        <w:rPr>
          <w:rFonts w:ascii="Times New Roman" w:hAnsi="Times New Roman" w:cs="Times New Roman"/>
          <w:bCs/>
        </w:rPr>
        <w:t>a priemyslu stavebných výrobkov</w:t>
      </w:r>
      <w:r>
        <w:rPr>
          <w:rFonts w:ascii="Times New Roman" w:hAnsi="Times New Roman" w:cs="Times New Roman"/>
        </w:rPr>
        <w:t xml:space="preserve"> zodpovedá podľa § 9 ods. 1 písm. j) a § 10 písm. c) zákona č. 575/2001 Z. z. Ministerstvo pôdohospodárstva SR a Ministerstvo výstavby a regionálneho rozvoja SR. </w:t>
      </w:r>
    </w:p>
    <w:p>
      <w:pPr>
        <w:spacing w:before="120" w:after="120"/>
        <w:ind w:firstLine="680"/>
        <w:jc w:val="both"/>
        <w:rPr>
          <w:rFonts w:ascii="Times New Roman" w:hAnsi="Times New Roman" w:cs="Times New Roman"/>
          <w:b/>
        </w:rPr>
      </w:pPr>
      <w:r>
        <w:rPr>
          <w:rFonts w:ascii="Times New Roman" w:hAnsi="Times New Roman" w:cs="Times New Roman"/>
        </w:rPr>
        <w:t>Vláda Slovenskej republiky uznesením č. 837 z 8. októbra 2006 k zdôvodneniu a návrhu na vytvorenie Operačného programu pre Ministerstvo hospodárstva SR na roky 2007 - 2013 určila Ministerstvo hospodárstva SR ako riadiaci orgán  pre operačný program Konkurencieschopnosť a hospodársky rast.</w:t>
      </w:r>
    </w:p>
    <w:p>
      <w:pPr>
        <w:spacing w:before="120" w:after="120"/>
        <w:ind w:firstLine="680"/>
        <w:jc w:val="both"/>
        <w:rPr>
          <w:rFonts w:ascii="Times New Roman" w:hAnsi="Times New Roman" w:cs="Times New Roman"/>
          <w:bCs/>
        </w:rPr>
      </w:pPr>
      <w:r>
        <w:rPr>
          <w:rFonts w:ascii="Times New Roman" w:hAnsi="Times New Roman" w:cs="Times New Roman"/>
        </w:rPr>
        <w:t>Ministerstvo pôdohospodárstva SR, Ministerstvo výstavby a regionálneho rozvoja SR a Ministerstvo práce, sociálnych vecí a rodiny SR pokladá za racionálnejšie podporovať malých a stredných podnikateľov z jedného ministerstva, čo je v rozpore so znením § 6 p</w:t>
      </w:r>
      <w:r>
        <w:rPr>
          <w:rFonts w:ascii="Times New Roman" w:hAnsi="Times New Roman" w:cs="Times New Roman"/>
        </w:rPr>
        <w:t>ísm. a)</w:t>
      </w:r>
      <w:r>
        <w:rPr>
          <w:rFonts w:ascii="Times New Roman" w:hAnsi="Times New Roman" w:cs="Times New Roman"/>
          <w:lang w:eastAsia="en-US"/>
        </w:rPr>
        <w:t xml:space="preserve"> zákona </w:t>
      </w:r>
      <w:r>
        <w:rPr>
          <w:rFonts w:ascii="Times New Roman" w:hAnsi="Times New Roman" w:cs="Times New Roman"/>
        </w:rPr>
        <w:t xml:space="preserve">č. 575/2001 Z. z., podľa ktorého je Ministerstvo hospodárstva SR ústredným orgánom štátnej správy pre priemysel s výnimkou potravinárstva a stavebných výrobkov. Úpravou § 6 písm. e) a f) sa dosiahne, že podpora malých a stredných podnikateľov a podpora podnikateľského prostredia je v kompetencii Ministerstva hospodárstva SR, vrátane potravinárstva a priemyslu stavebných výrobkov. </w:t>
      </w:r>
      <w:r>
        <w:rPr>
          <w:rFonts w:ascii="Times New Roman" w:hAnsi="Times New Roman" w:cs="Times New Roman"/>
          <w:b/>
        </w:rPr>
        <w:t xml:space="preserve"> </w:t>
      </w:r>
      <w:r>
        <w:rPr>
          <w:rFonts w:ascii="Times New Roman" w:hAnsi="Times New Roman" w:cs="Times New Roman"/>
          <w:bCs/>
        </w:rPr>
        <w:t xml:space="preserve">Návrh na doplnenie ustanovenia § 6 písm. e) a f) odstráni pochybnosti vo väzbe na § 6 písm. a) zákona. </w:t>
      </w:r>
    </w:p>
    <w:p>
      <w:pPr>
        <w:spacing w:before="120" w:after="120"/>
        <w:ind w:firstLine="680"/>
        <w:jc w:val="both"/>
        <w:rPr>
          <w:rFonts w:ascii="Times New Roman" w:hAnsi="Times New Roman" w:cs="Times New Roman"/>
        </w:rPr>
      </w:pPr>
      <w:r>
        <w:rPr>
          <w:rFonts w:ascii="Times New Roman" w:hAnsi="Times New Roman" w:cs="Times New Roman"/>
          <w:bCs/>
        </w:rPr>
        <w:t xml:space="preserve">Potreba na zmenu a doplnenie § 6 písm. g) a § 7 vyplýva zo skutočného stavu výkonu kompetencií Ministerstva hospodárstva SR a Ministerstva financií SR. </w:t>
      </w:r>
    </w:p>
    <w:p>
      <w:pPr>
        <w:spacing w:before="120" w:after="120"/>
        <w:ind w:firstLine="708"/>
        <w:jc w:val="both"/>
        <w:rPr>
          <w:rFonts w:ascii="Times New Roman" w:hAnsi="Times New Roman" w:cs="Times New Roman"/>
        </w:rPr>
      </w:pPr>
      <w:r>
        <w:rPr>
          <w:rFonts w:ascii="Times New Roman" w:hAnsi="Times New Roman" w:cs="Times New Roman"/>
        </w:rPr>
        <w:t>Schválenie zákona nebude mať nijaké dôsledky na štátny rozpočet, ani na iné verejné rozpočty, pretože sa nezasah</w:t>
      </w:r>
      <w:r>
        <w:rPr>
          <w:rFonts w:ascii="Times New Roman" w:hAnsi="Times New Roman" w:cs="Times New Roman"/>
        </w:rPr>
        <w:t xml:space="preserve">uje do existujúcej štruktúry orgánov verejnej správy. </w:t>
      </w:r>
    </w:p>
    <w:p>
      <w:pPr>
        <w:pStyle w:val="BodyTextIndent2"/>
        <w:spacing w:before="120" w:after="120"/>
        <w:ind w:firstLine="0"/>
        <w:rPr>
          <w:rFonts w:ascii="Times New Roman" w:hAnsi="Times New Roman" w:cs="Times New Roman"/>
        </w:rPr>
      </w:pPr>
    </w:p>
    <w:p>
      <w:pPr>
        <w:spacing w:before="120" w:after="120"/>
        <w:ind w:firstLine="708"/>
        <w:jc w:val="both"/>
        <w:rPr>
          <w:rFonts w:ascii="Times New Roman" w:hAnsi="Times New Roman" w:cs="Times New Roman"/>
        </w:rPr>
      </w:pPr>
      <w:r>
        <w:rPr>
          <w:rFonts w:ascii="Times New Roman" w:hAnsi="Times New Roman" w:cs="Times New Roman"/>
        </w:rPr>
        <w:t>Zákon nebude mať vplyv na zamestnanosť, životné prostredie.</w:t>
      </w:r>
    </w:p>
    <w:p>
      <w:pPr>
        <w:pStyle w:val="BodyTextIndent3"/>
        <w:spacing w:before="120" w:after="120"/>
        <w:rPr>
          <w:rFonts w:cs="Times New Roman"/>
        </w:rPr>
      </w:pPr>
      <w:r>
        <w:rPr>
          <w:rFonts w:cs="Times New Roman"/>
        </w:rPr>
        <w:t>Návrh zákona je v súlade s Ústavou Slovenskej republiky i s medzinárodnými záväzkami Slovenskej republiky ako vyplývajú z medzinárodných zml</w:t>
      </w:r>
      <w:r>
        <w:rPr>
          <w:rFonts w:cs="Times New Roman"/>
        </w:rPr>
        <w:t>úv, ktorými je Slovenská republika viazaná.</w:t>
      </w:r>
    </w:p>
    <w:p>
      <w:pPr>
        <w:spacing w:before="120" w:after="120"/>
        <w:ind w:firstLine="374"/>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4"/>
        <w:spacing w:before="0" w:after="0"/>
        <w:jc w:val="center"/>
        <w:rPr>
          <w:rFonts w:cs="Times New Roman"/>
          <w:sz w:val="24"/>
        </w:rPr>
      </w:pPr>
      <w:r>
        <w:rPr>
          <w:rFonts w:cs="Times New Roman"/>
          <w:sz w:val="24"/>
        </w:rPr>
        <w:t>DOLOŽKA  ZLUČITEĽNOSTI</w:t>
      </w:r>
    </w:p>
    <w:p>
      <w:pPr>
        <w:jc w:val="center"/>
        <w:rPr>
          <w:rFonts w:ascii="Times New Roman" w:hAnsi="Times New Roman" w:cs="Times New Roman"/>
          <w:b/>
          <w:bCs/>
        </w:rPr>
      </w:pPr>
      <w:r>
        <w:rPr>
          <w:rFonts w:ascii="Times New Roman" w:hAnsi="Times New Roman" w:cs="Times New Roman"/>
          <w:b/>
          <w:bCs/>
        </w:rPr>
        <w:t>právneho predpisu</w:t>
      </w:r>
    </w:p>
    <w:p>
      <w:pPr>
        <w:jc w:val="center"/>
        <w:rPr>
          <w:rFonts w:ascii="Times New Roman" w:hAnsi="Times New Roman" w:cs="Times New Roman"/>
          <w:b/>
          <w:bCs/>
        </w:rPr>
      </w:pPr>
      <w:r>
        <w:rPr>
          <w:rFonts w:ascii="Times New Roman" w:hAnsi="Times New Roman" w:cs="Times New Roman"/>
          <w:b/>
          <w:bCs/>
        </w:rPr>
        <w:t>s právom Európskych spoločenstiev a právom Európskej únie</w:t>
      </w:r>
    </w:p>
    <w:p>
      <w:pPr>
        <w:spacing w:before="120" w:after="120"/>
        <w:jc w:val="both"/>
        <w:rPr>
          <w:rFonts w:ascii="Times New Roman" w:hAnsi="Times New Roman" w:cs="Times New Roman"/>
        </w:rPr>
      </w:pPr>
    </w:p>
    <w:p>
      <w:pPr>
        <w:numPr>
          <w:ilvl w:val="0"/>
          <w:numId w:val="6"/>
        </w:numPr>
        <w:tabs>
          <w:tab w:val="left" w:pos="360"/>
        </w:tabs>
        <w:jc w:val="both"/>
        <w:rPr>
          <w:rFonts w:ascii="Times New Roman" w:hAnsi="Times New Roman" w:cs="Times New Roman"/>
        </w:rPr>
      </w:pPr>
      <w:r>
        <w:rPr>
          <w:rFonts w:ascii="Times New Roman" w:hAnsi="Times New Roman" w:cs="Times New Roman"/>
          <w:b/>
          <w:bCs/>
        </w:rPr>
        <w:t xml:space="preserve">Predkladateľ právneho predpisu: </w:t>
      </w:r>
      <w:r>
        <w:rPr>
          <w:rFonts w:ascii="Times New Roman" w:hAnsi="Times New Roman" w:cs="Times New Roman"/>
        </w:rPr>
        <w:t>Vláda Slovenskej republiky</w:t>
      </w:r>
    </w:p>
    <w:p>
      <w:pPr>
        <w:jc w:val="both"/>
        <w:rPr>
          <w:rFonts w:ascii="Times New Roman" w:hAnsi="Times New Roman" w:cs="Times New Roman"/>
        </w:rPr>
      </w:pPr>
    </w:p>
    <w:p>
      <w:pPr>
        <w:numPr>
          <w:ilvl w:val="1"/>
          <w:numId w:val="6"/>
        </w:numPr>
        <w:tabs>
          <w:tab w:val="clear" w:pos="360"/>
        </w:tabs>
        <w:ind w:left="360" w:hanging="360"/>
        <w:jc w:val="both"/>
        <w:rPr>
          <w:rFonts w:ascii="Times New Roman" w:hAnsi="Times New Roman" w:cs="Times New Roman"/>
          <w:bCs/>
        </w:rPr>
      </w:pPr>
      <w:r>
        <w:rPr>
          <w:rFonts w:ascii="Times New Roman" w:hAnsi="Times New Roman" w:cs="Times New Roman"/>
          <w:b/>
          <w:bCs/>
        </w:rPr>
        <w:t>Názov návrhu právneho predpisu:</w:t>
      </w:r>
      <w:r>
        <w:rPr>
          <w:rFonts w:ascii="Times New Roman" w:hAnsi="Times New Roman" w:cs="Times New Roman"/>
        </w:rPr>
        <w:t xml:space="preserve"> Návrh zákona, ktorým sa mení a dopĺňa zákon         č. 575/2001 Z. z. o organizácii činnosti vlády a organizácii ústrednej štátnej správy </w:t>
      </w:r>
      <w:r>
        <w:rPr>
          <w:rFonts w:ascii="Times New Roman" w:hAnsi="Times New Roman" w:cs="Times New Roman"/>
          <w:iCs/>
        </w:rPr>
        <w:t>v znení neskorších predpisov</w:t>
      </w:r>
    </w:p>
    <w:p>
      <w:pPr>
        <w:jc w:val="both"/>
        <w:rPr>
          <w:rFonts w:ascii="Times New Roman" w:hAnsi="Times New Roman" w:cs="Times New Roman"/>
          <w:b/>
          <w:bCs/>
        </w:rPr>
      </w:pPr>
    </w:p>
    <w:p>
      <w:pPr>
        <w:numPr>
          <w:ilvl w:val="1"/>
          <w:numId w:val="6"/>
        </w:numPr>
        <w:tabs>
          <w:tab w:val="left" w:pos="360"/>
        </w:tabs>
        <w:jc w:val="both"/>
        <w:rPr>
          <w:rFonts w:ascii="Times New Roman" w:hAnsi="Times New Roman" w:cs="Times New Roman"/>
          <w:b/>
          <w:bCs/>
        </w:rPr>
      </w:pPr>
      <w:r>
        <w:rPr>
          <w:rFonts w:ascii="Times New Roman" w:hAnsi="Times New Roman" w:cs="Times New Roman"/>
          <w:b/>
          <w:bCs/>
        </w:rPr>
        <w:t>Problematika návrhu právneho predpisu:</w:t>
      </w:r>
    </w:p>
    <w:p>
      <w:pPr>
        <w:pStyle w:val="BodyText2"/>
        <w:numPr>
          <w:ilvl w:val="1"/>
          <w:numId w:val="2"/>
        </w:numPr>
        <w:tabs>
          <w:tab w:val="left" w:pos="700"/>
        </w:tabs>
        <w:spacing w:after="0" w:line="240" w:lineRule="auto"/>
        <w:rPr>
          <w:rFonts w:ascii="Times New Roman" w:hAnsi="Times New Roman" w:cs="Times New Roman"/>
        </w:rPr>
      </w:pPr>
      <w:r>
        <w:rPr>
          <w:rFonts w:ascii="Times New Roman" w:hAnsi="Times New Roman" w:cs="Times New Roman"/>
        </w:rPr>
        <w:t>nie je upravená v práve Európskych spoločenstiev,</w:t>
      </w:r>
    </w:p>
    <w:p>
      <w:pPr>
        <w:numPr>
          <w:ilvl w:val="0"/>
          <w:numId w:val="4"/>
        </w:numPr>
        <w:tabs>
          <w:tab w:val="left" w:pos="700"/>
        </w:tabs>
        <w:jc w:val="both"/>
        <w:rPr>
          <w:rFonts w:ascii="Times New Roman" w:hAnsi="Times New Roman" w:cs="Times New Roman"/>
        </w:rPr>
      </w:pPr>
      <w:r>
        <w:rPr>
          <w:rFonts w:ascii="Times New Roman" w:hAnsi="Times New Roman" w:cs="Times New Roman"/>
        </w:rPr>
        <w:t>nie je upraven</w:t>
      </w:r>
      <w:r>
        <w:rPr>
          <w:rFonts w:ascii="Times New Roman" w:hAnsi="Times New Roman" w:cs="Times New Roman"/>
        </w:rPr>
        <w:t>á v práve Európskej únie,</w:t>
        <w:tab/>
      </w:r>
    </w:p>
    <w:p>
      <w:pPr>
        <w:numPr>
          <w:ilvl w:val="0"/>
          <w:numId w:val="4"/>
        </w:numPr>
        <w:tabs>
          <w:tab w:val="left" w:pos="700"/>
        </w:tabs>
        <w:jc w:val="both"/>
        <w:rPr>
          <w:rFonts w:ascii="Times New Roman" w:hAnsi="Times New Roman" w:cs="Times New Roman"/>
        </w:rPr>
      </w:pPr>
      <w:r>
        <w:rPr>
          <w:rFonts w:ascii="Times New Roman" w:hAnsi="Times New Roman" w:cs="Times New Roman"/>
        </w:rPr>
        <w:t xml:space="preserve">nie je obsiahnutá v judikatúre Súdneho dvora Európskych spoločenstiev alebo Súdu prvého stupňa Európskych spoločenstiev. </w:t>
      </w:r>
    </w:p>
    <w:p>
      <w:pPr>
        <w:jc w:val="both"/>
        <w:rPr>
          <w:rFonts w:ascii="Times New Roman" w:hAnsi="Times New Roman" w:cs="Times New Roman"/>
          <w:b/>
          <w:bCs/>
        </w:rPr>
      </w:pPr>
    </w:p>
    <w:p>
      <w:pPr>
        <w:jc w:val="both"/>
        <w:rPr>
          <w:rFonts w:ascii="Times New Roman" w:hAnsi="Times New Roman" w:cs="Times New Roman"/>
        </w:rPr>
      </w:pPr>
      <w:r>
        <w:rPr>
          <w:rFonts w:ascii="Times New Roman" w:hAnsi="Times New Roman" w:cs="Times New Roman"/>
        </w:rPr>
        <w:t>Vzhľadom na vnútroštátny charakter návrhu právneho predpisu je bezpredmetné sa vyjadrovať k bodom 4., 5. a 6. doložky zlučiteľnosti.</w:t>
      </w:r>
    </w:p>
    <w:p>
      <w:pPr>
        <w:spacing w:before="120" w:after="120"/>
        <w:ind w:firstLine="374"/>
        <w:jc w:val="both"/>
        <w:rPr>
          <w:rFonts w:ascii="Times New Roman" w:hAnsi="Times New Roman" w:cs="Times New Roman"/>
          <w:bCs/>
          <w:szCs w:val="22"/>
        </w:rPr>
      </w:pPr>
    </w:p>
    <w:p>
      <w:pPr>
        <w:spacing w:before="120" w:after="120"/>
        <w:jc w:val="both"/>
        <w:rPr>
          <w:rFonts w:ascii="Times New Roman" w:hAnsi="Times New Roman" w:cs="Times New Roman"/>
          <w:bCs/>
          <w:szCs w:val="22"/>
        </w:rPr>
      </w:pPr>
    </w:p>
    <w:p>
      <w:pPr>
        <w:pStyle w:val="Title"/>
        <w:rPr>
          <w:rFonts w:cs="Times New Roman"/>
        </w:rPr>
      </w:pPr>
      <w:r>
        <w:rPr>
          <w:rFonts w:cs="Times New Roman"/>
        </w:rPr>
        <w:br w:type="page"/>
        <w:t>Doložka</w:t>
      </w:r>
    </w:p>
    <w:p>
      <w:pPr>
        <w:jc w:val="center"/>
        <w:rPr>
          <w:rFonts w:ascii="Times New Roman" w:hAnsi="Times New Roman" w:cs="Times New Roman"/>
          <w:b/>
          <w:bCs/>
        </w:rPr>
      </w:pPr>
      <w:r>
        <w:rPr>
          <w:rFonts w:ascii="Times New Roman" w:hAnsi="Times New Roman" w:cs="Times New Roman"/>
          <w:b/>
          <w:bCs/>
        </w:rPr>
        <w:t xml:space="preserve">finančných, ekonomických, environmentálnych vplyvov a vplyvov na zamestnanosť </w:t>
      </w:r>
    </w:p>
    <w:p>
      <w:pPr>
        <w:jc w:val="center"/>
        <w:rPr>
          <w:rFonts w:ascii="Times New Roman" w:hAnsi="Times New Roman" w:cs="Times New Roman"/>
          <w:b/>
          <w:bCs/>
        </w:rPr>
      </w:pPr>
      <w:r>
        <w:rPr>
          <w:rFonts w:ascii="Times New Roman" w:hAnsi="Times New Roman" w:cs="Times New Roman"/>
          <w:b/>
          <w:bCs/>
        </w:rPr>
        <w:t>a na podnikateľské prostredie</w:t>
      </w:r>
    </w:p>
    <w:p>
      <w:pPr>
        <w:jc w:val="center"/>
        <w:rPr>
          <w:rFonts w:ascii="Times New Roman" w:hAnsi="Times New Roman" w:cs="Times New Roman"/>
          <w:b/>
          <w:bCs/>
        </w:rPr>
      </w:pPr>
    </w:p>
    <w:p>
      <w:pPr>
        <w:jc w:val="center"/>
        <w:rPr>
          <w:rFonts w:ascii="Times New Roman" w:hAnsi="Times New Roman" w:cs="Times New Roman"/>
          <w:b/>
          <w:bCs/>
        </w:rPr>
      </w:pPr>
    </w:p>
    <w:p>
      <w:pPr>
        <w:pStyle w:val="BodyText"/>
        <w:numPr>
          <w:ilvl w:val="0"/>
          <w:numId w:val="8"/>
        </w:numPr>
        <w:tabs>
          <w:tab w:val="clear" w:pos="720"/>
        </w:tabs>
        <w:ind w:left="360"/>
        <w:jc w:val="both"/>
        <w:rPr>
          <w:rFonts w:ascii="Times New Roman" w:hAnsi="Times New Roman" w:cs="Times New Roman"/>
        </w:rPr>
      </w:pPr>
      <w:r>
        <w:rPr>
          <w:rFonts w:ascii="Times New Roman" w:hAnsi="Times New Roman" w:cs="Times New Roman"/>
        </w:rPr>
        <w:t>Schválenie predkladaného návrhu zákona nepredpokladá dopad na štátny rozpočet, rozpočty obcí alebo rozpočty</w:t>
      </w:r>
      <w:r>
        <w:rPr>
          <w:rFonts w:ascii="Times New Roman" w:hAnsi="Times New Roman" w:cs="Times New Roman"/>
        </w:rPr>
        <w:t xml:space="preserve"> vyšších územných celkov. </w:t>
      </w:r>
    </w:p>
    <w:p>
      <w:pPr>
        <w:pStyle w:val="BodyTextIndent2"/>
        <w:rPr>
          <w:rFonts w:ascii="Times New Roman" w:hAnsi="Times New Roman" w:cs="Times New Roman"/>
        </w:rPr>
      </w:pPr>
      <w:r>
        <w:rPr>
          <w:rFonts w:ascii="Times New Roman" w:hAnsi="Times New Roman" w:cs="Times New Roman"/>
        </w:rPr>
        <w:t xml:space="preserve">      </w:t>
      </w:r>
    </w:p>
    <w:p>
      <w:pPr>
        <w:pStyle w:val="BodyTextIndent"/>
        <w:numPr>
          <w:ilvl w:val="0"/>
          <w:numId w:val="8"/>
        </w:numPr>
        <w:tabs>
          <w:tab w:val="clear" w:pos="720"/>
        </w:tabs>
        <w:ind w:left="360"/>
        <w:jc w:val="both"/>
        <w:rPr>
          <w:rFonts w:ascii="Times New Roman" w:hAnsi="Times New Roman" w:cs="Times New Roman"/>
        </w:rPr>
      </w:pPr>
      <w:r>
        <w:rPr>
          <w:rFonts w:ascii="Times New Roman" w:hAnsi="Times New Roman" w:cs="Times New Roman"/>
        </w:rPr>
        <w:t>Schválenie predloženého návrhu zákona nebude mať finančný dopad na obyvateľov, hospodárenie podnikateľskej sféry a iných právnických osôb.</w:t>
      </w:r>
    </w:p>
    <w:p>
      <w:pPr>
        <w:ind w:left="360"/>
        <w:jc w:val="both"/>
        <w:rPr>
          <w:rFonts w:ascii="Times New Roman" w:hAnsi="Times New Roman" w:cs="Times New Roman"/>
        </w:rPr>
      </w:pPr>
    </w:p>
    <w:p>
      <w:pPr>
        <w:numPr>
          <w:ilvl w:val="0"/>
          <w:numId w:val="8"/>
        </w:numPr>
        <w:tabs>
          <w:tab w:val="clear" w:pos="720"/>
        </w:tabs>
        <w:ind w:left="360"/>
        <w:jc w:val="both"/>
        <w:rPr>
          <w:rFonts w:ascii="Times New Roman" w:hAnsi="Times New Roman" w:cs="Times New Roman"/>
        </w:rPr>
      </w:pPr>
      <w:r>
        <w:rPr>
          <w:rFonts w:ascii="Times New Roman" w:hAnsi="Times New Roman" w:cs="Times New Roman"/>
        </w:rPr>
        <w:t>Predkladaný návrh zákona nebude mať dopady na životné prostredie.</w:t>
      </w:r>
    </w:p>
    <w:p>
      <w:pPr>
        <w:jc w:val="both"/>
        <w:rPr>
          <w:rFonts w:ascii="Times New Roman" w:hAnsi="Times New Roman" w:cs="Times New Roman"/>
        </w:rPr>
      </w:pPr>
    </w:p>
    <w:p>
      <w:pPr>
        <w:numPr>
          <w:ilvl w:val="0"/>
          <w:numId w:val="8"/>
        </w:numPr>
        <w:tabs>
          <w:tab w:val="clear" w:pos="720"/>
        </w:tabs>
        <w:ind w:left="360"/>
        <w:jc w:val="both"/>
        <w:rPr>
          <w:rFonts w:ascii="Times New Roman" w:hAnsi="Times New Roman" w:cs="Times New Roman"/>
        </w:rPr>
      </w:pPr>
      <w:r>
        <w:rPr>
          <w:rFonts w:ascii="Times New Roman" w:hAnsi="Times New Roman" w:cs="Times New Roman"/>
        </w:rPr>
        <w:t xml:space="preserve">Predkladaný návrh zákona nebude mať dopad na tvorbu pracovných miest. </w:t>
      </w:r>
    </w:p>
    <w:p>
      <w:pPr>
        <w:jc w:val="both"/>
        <w:rPr>
          <w:rFonts w:ascii="Times New Roman" w:hAnsi="Times New Roman" w:cs="Times New Roman"/>
        </w:rPr>
      </w:pPr>
    </w:p>
    <w:p>
      <w:pPr>
        <w:numPr>
          <w:ilvl w:val="0"/>
          <w:numId w:val="8"/>
        </w:numPr>
        <w:tabs>
          <w:tab w:val="clear" w:pos="720"/>
        </w:tabs>
        <w:ind w:left="360"/>
        <w:jc w:val="both"/>
        <w:rPr>
          <w:rFonts w:ascii="Times New Roman" w:hAnsi="Times New Roman" w:cs="Times New Roman"/>
        </w:rPr>
      </w:pPr>
      <w:r>
        <w:rPr>
          <w:rFonts w:ascii="Times New Roman" w:hAnsi="Times New Roman" w:cs="Times New Roman"/>
        </w:rPr>
        <w:t xml:space="preserve">Predkladaný návrh zákona bude mať pozitívny vplyv na rozvoj malého a stredného podnikania, pretože umožní čerpanie dotácií z Ministerstva hospodárstva SR vo všetkých oblastiach priemyslu. </w:t>
      </w:r>
    </w:p>
    <w:p>
      <w:pPr>
        <w:spacing w:before="120" w:after="120"/>
        <w:jc w:val="both"/>
        <w:rPr>
          <w:rFonts w:ascii="Times New Roman" w:hAnsi="Times New Roman" w:cs="Times New Roman"/>
          <w:bCs/>
          <w:szCs w:val="22"/>
        </w:rPr>
      </w:pPr>
    </w:p>
    <w:p>
      <w:pPr>
        <w:spacing w:before="120" w:after="120"/>
        <w:jc w:val="both"/>
        <w:rPr>
          <w:rFonts w:ascii="Times New Roman" w:hAnsi="Times New Roman" w:cs="Times New Roman"/>
          <w:bCs/>
          <w:szCs w:val="22"/>
        </w:rPr>
      </w:pPr>
    </w:p>
    <w:p>
      <w:pPr>
        <w:pStyle w:val="Heading3"/>
        <w:spacing w:before="120" w:after="120"/>
        <w:rPr>
          <w:rFonts w:ascii="Times New Roman" w:hAnsi="Times New Roman" w:cs="Times New Roman"/>
          <w:sz w:val="24"/>
          <w:szCs w:val="24"/>
        </w:rPr>
      </w:pPr>
      <w:r>
        <w:rPr>
          <w:rFonts w:ascii="Times New Roman" w:hAnsi="Times New Roman" w:cs="Times New Roman"/>
          <w:sz w:val="24"/>
          <w:szCs w:val="24"/>
        </w:rPr>
        <w:br w:type="page"/>
        <w:t xml:space="preserve">Osobitná časť </w:t>
      </w:r>
    </w:p>
    <w:p>
      <w:pPr>
        <w:spacing w:before="120" w:after="120"/>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 xml:space="preserve">K čl. I </w:t>
      </w: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K bodom 1 a 2 (§ 6 písm. e) a f))</w:t>
      </w:r>
    </w:p>
    <w:p>
      <w:pPr>
        <w:ind w:firstLine="708"/>
        <w:jc w:val="both"/>
        <w:rPr>
          <w:rFonts w:ascii="Times New Roman" w:hAnsi="Times New Roman" w:cs="Times New Roman"/>
          <w:bCs/>
          <w:szCs w:val="22"/>
        </w:rPr>
      </w:pPr>
    </w:p>
    <w:p>
      <w:pPr>
        <w:ind w:firstLine="708"/>
        <w:jc w:val="both"/>
        <w:rPr>
          <w:rFonts w:ascii="Times New Roman" w:hAnsi="Times New Roman" w:cs="Times New Roman"/>
          <w:bCs/>
          <w:szCs w:val="22"/>
        </w:rPr>
      </w:pPr>
      <w:r>
        <w:rPr>
          <w:rFonts w:ascii="Times New Roman" w:hAnsi="Times New Roman" w:cs="Times New Roman"/>
          <w:bCs/>
          <w:szCs w:val="22"/>
        </w:rPr>
        <w:t>Podľa § 35 ods. 6 medzi spoločné úlohy všetkých ministerstiev patrí zabezpečovanie realizácie pomoci poskytovanej Európskou úniou v rozsahu svojej pôsobnosti. Podľa § 6 písm. a) Ministerstvo hospodárstva SR má kompetenciu v celom priemysle s výnimkou potravinárstva a stavebných výrobkov. Ak by táto výnimka platila vo všeobecnosti, Ministerstvo hospodárstva SR ako riadiaci orgán pre poskytovanie dotácií by nemohlo poskytovať dotácie do týchto odvetví priemyslu. Preto sa navrhuje do ustanovení § 6 písm. e) a f) doplniť, že podpora malého podnikania a stredného podnikania a podpora podnikateľského prostredia vo všeobecnosti v kompetencii Ministerstva hospodárstva SR sa vzťahuje aj na potravinárstvo a výrobu stavebných výrobkov.</w:t>
      </w: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K bodu 3 (§ 6 písm. g))</w:t>
      </w: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ab/>
        <w:t>Ministerstvo hospodárstva SR je ústredným orgánom štátnej správy pre ochranu spotrebiteľa. Dlhoročným výkonom právomoci v ochrane spotrebiteľa sa ustálil stav, že Slovenská obchodná inšpekcia ako orgán štátnej správy pre kontrolu vnútorného trhu vo veciach ochrany spotrebiteľa nevykonáva dozor nad poisťovníctvom, bankovými službami a finančnými službami vo všeobecnosti. Preto sa táto kompetencia prenáša na Ministerstvo financií SR.</w:t>
      </w: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K bodom 4 a 5 (§ 7 ods. 1</w:t>
      </w:r>
      <w:r>
        <w:rPr>
          <w:rFonts w:ascii="Times New Roman" w:hAnsi="Times New Roman" w:cs="Times New Roman"/>
          <w:bCs/>
          <w:szCs w:val="22"/>
        </w:rPr>
        <w:t xml:space="preserve"> a 2)</w:t>
      </w: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ab/>
        <w:t xml:space="preserve">Upresnenie znenia § 7 vyplýva z reálneho stavu kompetencií Ministerstva financií SR upravených osobitnými zákonmi. Jednotlivé kompetencie Ministerstva financií SR vyplývajú najmä zo zákona č. 523/2004 Z. z. o rozpočtových pravidlách verejnej správy v znení neskorších predpisov, zo zákona Národnej rady Slovenskej republiky č. 278/1993 Z. z. o správe majetku štátu v znení neskorších predpisov, zo zákona č. 431/2002 Z. z. o účtovníctve v znení neskorších predpisov, zo zákona Národnej rady Slovenskej republiky    č. 202/1995 Z. z. Devízový zákon </w:t>
      </w:r>
      <w:r>
        <w:rPr>
          <w:rFonts w:ascii="Times New Roman" w:hAnsi="Times New Roman" w:cs="Times New Roman"/>
          <w:color w:val="000000"/>
          <w:szCs w:val="20"/>
        </w:rPr>
        <w:t>a zákon, ktorým sa mení a dopĺňa zákon Slovenskej národnej rady č. 372/1990 Zb. o priestupkoch v znení neskorších predpisov</w:t>
      </w:r>
      <w:r>
        <w:rPr>
          <w:rFonts w:ascii="Times New Roman" w:hAnsi="Times New Roman" w:cs="Times New Roman"/>
          <w:bCs/>
          <w:szCs w:val="22"/>
        </w:rPr>
        <w:t xml:space="preserve"> v znení neskorších predpisov, zo zákona č. 80/1997 Z. z. o Exportno-importnej banke Slovenskej republiky, zo zákona č. 461/2003 Z. z. o sociálnom poistení v znení neskorších predpisov, zo zákona Slovenskej národnej rady č. 310/1992 Zb. o stavebnom sporení v znení neskorších predpisov a zo zákona č. 258/2001 Z. z. o</w:t>
      </w:r>
      <w:r>
        <w:rPr>
          <w:rFonts w:ascii="Times New Roman" w:hAnsi="Times New Roman" w:cs="Times New Roman"/>
          <w:color w:val="000000"/>
          <w:szCs w:val="20"/>
        </w:rPr>
        <w:t xml:space="preserve"> spotrebiteľských úveroch a o zmene a doplnení zákona Slovenskej národnej rady č. 71/1986 Zb. o Slovenskej obchodnej inšpekcii v znení neskorších predpisov.</w:t>
      </w: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r>
        <w:rPr>
          <w:rFonts w:ascii="Times New Roman" w:hAnsi="Times New Roman" w:cs="Times New Roman"/>
          <w:bCs/>
          <w:szCs w:val="22"/>
        </w:rPr>
        <w:t>K čl. II</w:t>
      </w:r>
    </w:p>
    <w:p>
      <w:pPr>
        <w:jc w:val="both"/>
        <w:rPr>
          <w:rFonts w:ascii="Times New Roman" w:hAnsi="Times New Roman" w:cs="Times New Roman"/>
          <w:bCs/>
          <w:szCs w:val="22"/>
        </w:rPr>
      </w:pPr>
    </w:p>
    <w:p>
      <w:pPr>
        <w:ind w:firstLine="708"/>
        <w:jc w:val="both"/>
        <w:rPr>
          <w:rFonts w:ascii="Times New Roman" w:hAnsi="Times New Roman" w:cs="Times New Roman"/>
          <w:bCs/>
          <w:szCs w:val="22"/>
        </w:rPr>
      </w:pPr>
      <w:r>
        <w:rPr>
          <w:rFonts w:ascii="Times New Roman" w:hAnsi="Times New Roman" w:cs="Times New Roman"/>
          <w:bCs/>
          <w:szCs w:val="22"/>
        </w:rPr>
        <w:t>Účinnosť zákona sa navrhuje vzhľadom na predpokladané trvanie legislatívneho procesu od 1. októbra 2007.</w:t>
      </w:r>
    </w:p>
    <w:p>
      <w:pPr>
        <w:jc w:val="both"/>
        <w:rPr>
          <w:rFonts w:ascii="Times New Roman" w:hAnsi="Times New Roman" w:cs="Times New Roman"/>
          <w:bCs/>
          <w:szCs w:val="22"/>
        </w:rPr>
      </w:pPr>
    </w:p>
    <w:p>
      <w:pPr>
        <w:jc w:val="both"/>
        <w:rPr>
          <w:rFonts w:ascii="Times New Roman" w:hAnsi="Times New Roman" w:cs="Times New Roman"/>
          <w:bCs/>
          <w:szCs w:val="22"/>
        </w:rPr>
      </w:pPr>
    </w:p>
    <w:p>
      <w:pPr>
        <w:jc w:val="both"/>
        <w:rPr>
          <w:rFonts w:ascii="Times New Roman" w:hAnsi="Times New Roman" w:cs="Times New Roman"/>
          <w:bCs/>
          <w:szCs w:val="22"/>
        </w:rPr>
      </w:pPr>
    </w:p>
    <w:p>
      <w:pPr>
        <w:rPr>
          <w:rFonts w:ascii="Times New Roman" w:hAnsi="Times New Roman" w:cs="Times New Roman"/>
        </w:rPr>
      </w:pPr>
    </w:p>
    <w:p>
      <w:pPr>
        <w:jc w:val="both"/>
        <w:rPr>
          <w:rFonts w:ascii="Times New Roman" w:hAnsi="Times New Roman" w:cs="Times New Roman"/>
        </w:rPr>
      </w:pPr>
      <w:r>
        <w:rPr>
          <w:rFonts w:ascii="Times New Roman" w:hAnsi="Times New Roman" w:cs="Times New Roman"/>
        </w:rPr>
        <w:t>Br</w:t>
      </w:r>
      <w:r>
        <w:rPr>
          <w:rFonts w:ascii="Times New Roman" w:hAnsi="Times New Roman" w:cs="Times New Roman"/>
        </w:rPr>
        <w:t xml:space="preserve">atislava  2. mája 2007  </w:t>
      </w:r>
    </w:p>
    <w:p>
      <w:pPr>
        <w:jc w:val="both"/>
        <w:rPr>
          <w:rFonts w:ascii="Times New Roman" w:hAnsi="Times New Roman" w:cs="Times New Roman"/>
        </w:rPr>
      </w:pPr>
    </w:p>
    <w:p>
      <w:pPr>
        <w:pStyle w:val="Footer"/>
        <w:tabs>
          <w:tab w:val="left" w:pos="708"/>
        </w:tabs>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pStyle w:val="Heading3"/>
        <w:spacing w:before="0" w:after="0"/>
        <w:jc w:val="center"/>
        <w:rPr>
          <w:rFonts w:ascii="Times New Roman" w:hAnsi="Times New Roman" w:cs="Times New Roman"/>
          <w:sz w:val="24"/>
        </w:rPr>
      </w:pPr>
      <w:r>
        <w:rPr>
          <w:rFonts w:ascii="Times New Roman" w:hAnsi="Times New Roman" w:cs="Times New Roman"/>
          <w:sz w:val="24"/>
        </w:rPr>
        <w:t>Robert Fico</w:t>
      </w:r>
    </w:p>
    <w:p>
      <w:pPr>
        <w:jc w:val="center"/>
        <w:rPr>
          <w:rFonts w:ascii="Times New Roman" w:hAnsi="Times New Roman" w:cs="Times New Roman"/>
        </w:rPr>
      </w:pPr>
      <w:r>
        <w:rPr>
          <w:rFonts w:ascii="Times New Roman" w:hAnsi="Times New Roman" w:cs="Times New Roman"/>
        </w:rPr>
        <w:t>predseda vlády Slovenskej republiky</w:t>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pStyle w:val="Heading1"/>
        <w:rPr>
          <w:rFonts w:cs="Times New Roman"/>
          <w:sz w:val="24"/>
        </w:rPr>
      </w:pPr>
      <w:r>
        <w:rPr>
          <w:rFonts w:cs="Times New Roman"/>
          <w:sz w:val="24"/>
        </w:rPr>
        <w:t>Ľubomír Jahnátek</w:t>
      </w:r>
    </w:p>
    <w:p>
      <w:pPr>
        <w:jc w:val="center"/>
        <w:rPr>
          <w:rFonts w:cs="Times New Roman"/>
        </w:rPr>
      </w:pPr>
      <w:r>
        <w:rPr>
          <w:rFonts w:ascii="Times New Roman" w:hAnsi="Times New Roman" w:cs="Times New Roman"/>
        </w:rPr>
        <w:t>minister hospodárstva Slovenskej republiky</w:t>
      </w:r>
    </w:p>
    <w:p>
      <w:pPr>
        <w:jc w:val="both"/>
        <w:rPr>
          <w:rFonts w:ascii="Times New Roman" w:hAnsi="Times New Roman" w:cs="Times New Roman"/>
          <w:bCs/>
          <w:szCs w:val="22"/>
        </w:rPr>
      </w:pPr>
    </w:p>
    <w:p>
      <w:pPr>
        <w:jc w:val="both"/>
        <w:rPr>
          <w:rFonts w:ascii="Times New Roman" w:hAnsi="Times New Roman" w:cs="Times New Roman"/>
          <w:bCs/>
          <w:szCs w:val="22"/>
        </w:rPr>
      </w:pPr>
    </w:p>
    <w:p>
      <w:pPr>
        <w:ind w:firstLine="374"/>
        <w:jc w:val="both"/>
        <w:rPr>
          <w:rFonts w:ascii="Times New Roman" w:hAnsi="Times New Roman" w:cs="Times New Roman"/>
          <w:sz w:val="22"/>
          <w:szCs w:val="22"/>
        </w:rPr>
      </w:pPr>
    </w:p>
    <w:p>
      <w:pPr>
        <w:spacing w:before="120" w:after="120"/>
        <w:ind w:firstLine="374"/>
        <w:rPr>
          <w:rFonts w:ascii="Times New Roman" w:hAnsi="Times New Roman" w:cs="Times New Roman"/>
          <w:sz w:val="22"/>
          <w:szCs w:val="22"/>
        </w:rPr>
      </w:pPr>
    </w:p>
    <w:sectPr>
      <w:headerReference w:type="default" r:id="rId4"/>
      <w:footerReference w:type="even" r:id="rId5"/>
      <w:footerReference w:type="default" r:id="rId6"/>
      <w:pgSz w:w="11906" w:h="16838"/>
      <w:pgMar w:top="1361" w:right="1418" w:bottom="1247" w:left="1418" w:header="709" w:footer="709"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ook Antiqua">
    <w:panose1 w:val="02040602050305030304"/>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Times New Roman Bold">
    <w:altName w:val="Arial"/>
    <w:panose1 w:val="020B0604020202020204"/>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pPr>
      <w:pStyle w:val="Footer"/>
      <w:ind w:right="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center" w:y="1"/>
      <w:rPr>
        <w:rStyle w:val="PageNumber"/>
        <w:rFonts w:ascii="Times New Roman" w:hAnsi="Times New Roman" w:cs="Times New Roman"/>
        <w:sz w:val="22"/>
      </w:rPr>
    </w:pPr>
    <w:r>
      <w:rPr>
        <w:rStyle w:val="PageNumber"/>
        <w:rFonts w:ascii="Times New Roman" w:hAnsi="Times New Roman" w:cs="Times New Roman"/>
        <w:sz w:val="22"/>
      </w:rPr>
      <w:fldChar w:fldCharType="begin"/>
    </w:r>
    <w:r>
      <w:rPr>
        <w:rStyle w:val="PageNumber"/>
        <w:rFonts w:ascii="Times New Roman" w:hAnsi="Times New Roman" w:cs="Times New Roman"/>
        <w:sz w:val="22"/>
      </w:rPr>
      <w:instrText xml:space="preserve">PAGE  </w:instrText>
    </w:r>
    <w:r>
      <w:rPr>
        <w:rStyle w:val="PageNumber"/>
        <w:rFonts w:ascii="Times New Roman" w:hAnsi="Times New Roman" w:cs="Times New Roman"/>
        <w:sz w:val="22"/>
      </w:rPr>
      <w:fldChar w:fldCharType="separate"/>
    </w:r>
    <w:r>
      <w:rPr>
        <w:rStyle w:val="PageNumber"/>
        <w:rFonts w:ascii="Times New Roman" w:hAnsi="Times New Roman" w:cs="Times New Roman"/>
        <w:noProof/>
        <w:sz w:val="22"/>
      </w:rPr>
      <w:t>5</w:t>
    </w:r>
    <w:r>
      <w:rPr>
        <w:rStyle w:val="PageNumber"/>
        <w:rFonts w:ascii="Times New Roman" w:hAnsi="Times New Roman" w:cs="Times New Roman"/>
        <w:sz w:val="22"/>
      </w:rPr>
      <w:fldChar w:fldCharType="end"/>
    </w:r>
  </w:p>
  <w:p>
    <w:pPr>
      <w:pStyle w:val="Footer"/>
      <w:framePr w:vAnchor="text" w:hAnchor="margin" w:xAlign="right" w:y="1"/>
      <w:jc w:val="center"/>
      <w:rPr>
        <w:rStyle w:val="PageNumber"/>
        <w:rFonts w:cs="Times New Roman"/>
      </w:rPr>
    </w:pPr>
  </w:p>
  <w:p>
    <w:pPr>
      <w:pStyle w:val="Footer"/>
      <w:ind w:right="360"/>
      <w:rPr>
        <w:rFonts w:cs="Times New Roman"/>
        <w:sz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tabs>
        <w:tab w:val="left" w:pos="3585"/>
        <w:tab w:val="clear" w:pos="4536"/>
        <w:tab w:val="clear" w:pos="9072"/>
      </w:tabs>
      <w:rPr>
        <w:rFonts w:cs="Times New Roman"/>
        <w:emboss/>
        <w:color w:val="FFFFFF"/>
        <w:sz w:val="22"/>
        <w:u w:val="single"/>
      </w:rPr>
    </w:pPr>
    <w:r>
      <w:rPr>
        <w:rFonts w:cs="Times New Roman"/>
        <w:emboss/>
        <w:color w:val="FFFFFF"/>
        <w:sz w:val="22"/>
        <w:u w:val="single"/>
      </w:rPr>
      <w:t xml:space="preserve">                                                                                                </w:t>
    </w:r>
    <w:r>
      <w:rPr>
        <w:rFonts w:cs="Times New Roman"/>
        <w:emboss/>
        <w:color w:val="FFFFFF"/>
        <w:sz w:val="22"/>
        <w:u w:val="single"/>
      </w:rPr>
      <w:t xml:space="preserve">                                                                      </w:t>
    </w:r>
    <w:r>
      <w:rPr>
        <w:rFonts w:ascii="Times New Roman" w:hAnsi="Times New Roman" w:cs="Times New Roman"/>
        <w:emboss/>
        <w:color w:val="FFFFFF"/>
        <w:sz w:val="22"/>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06BA9"/>
    <w:multiLevelType w:val="hybridMultilevel"/>
    <w:tmpl w:val="35E4E048"/>
    <w:lvl w:ilvl="0">
      <w:start w:val="2"/>
      <w:numFmt w:val="lowerLetter"/>
      <w:lvlText w:val="%1)"/>
      <w:lvlJc w:val="left"/>
      <w:pPr>
        <w:tabs>
          <w:tab w:val="num" w:pos="570"/>
        </w:tabs>
        <w:ind w:left="570" w:hanging="390"/>
      </w:pPr>
    </w:lvl>
    <w:lvl w:ilvl="1">
      <w:start w:val="4"/>
      <w:numFmt w:val="decimal"/>
      <w:lvlText w:val="%2."/>
      <w:lvlJc w:val="left"/>
      <w:pPr>
        <w:tabs>
          <w:tab w:val="num" w:pos="360"/>
        </w:tabs>
        <w:ind w:left="340" w:hanging="340"/>
      </w:pPr>
    </w:lvl>
    <w:lvl w:ilvl="2">
      <w:start w:val="1"/>
      <w:numFmt w:val="lowerLetter"/>
      <w:lvlText w:val="%3)"/>
      <w:lvlJc w:val="left"/>
      <w:pPr>
        <w:tabs>
          <w:tab w:val="num" w:pos="700"/>
        </w:tabs>
        <w:ind w:left="680" w:hanging="340"/>
      </w:pPr>
    </w:lvl>
    <w:lvl w:ilvl="3">
      <w:start w:val="5"/>
      <w:numFmt w:val="lowerLetter"/>
      <w:lvlText w:val="%4)"/>
      <w:lvlJc w:val="left"/>
      <w:pPr>
        <w:tabs>
          <w:tab w:val="num" w:pos="700"/>
        </w:tabs>
        <w:ind w:left="680" w:hanging="34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
    <w:nsid w:val="080133D1"/>
    <w:multiLevelType w:val="hybridMultilevel"/>
    <w:tmpl w:val="4CFE0176"/>
    <w:lvl w:ilvl="0">
      <w:start w:val="2"/>
      <w:numFmt w:val="lowerLetter"/>
      <w:lvlText w:val="%1)"/>
      <w:lvlJc w:val="left"/>
      <w:pPr>
        <w:tabs>
          <w:tab w:val="num" w:pos="700"/>
        </w:tabs>
        <w:ind w:left="680" w:hanging="34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0AB794D"/>
    <w:multiLevelType w:val="hybridMultilevel"/>
    <w:tmpl w:val="C8CCC98E"/>
    <w:lvl w:ilvl="0">
      <w:start w:val="5"/>
      <w:numFmt w:val="decimal"/>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30446FF4"/>
    <w:multiLevelType w:val="hybridMultilevel"/>
    <w:tmpl w:val="619CFAB8"/>
    <w:lvl w:ilvl="0">
      <w:start w:val="1"/>
      <w:numFmt w:val="decimal"/>
      <w:lvlText w:val="%1."/>
      <w:lvlJc w:val="left"/>
      <w:pPr>
        <w:tabs>
          <w:tab w:val="num" w:pos="360"/>
        </w:tabs>
        <w:ind w:left="340" w:hanging="340"/>
      </w:pPr>
      <w:rPr>
        <w:b/>
        <w:i w:val="0"/>
        <w:rtl w:val="0"/>
      </w:rPr>
    </w:lvl>
    <w:lvl w:ilvl="1">
      <w:start w:val="2"/>
      <w:numFmt w:val="decimal"/>
      <w:lvlText w:val="%2."/>
      <w:lvlJc w:val="left"/>
      <w:pPr>
        <w:tabs>
          <w:tab w:val="num" w:pos="360"/>
        </w:tabs>
        <w:ind w:left="340" w:hanging="340"/>
      </w:pPr>
      <w:rPr>
        <w:b/>
        <w:i w:val="0"/>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407A5BED"/>
    <w:multiLevelType w:val="hybridMultilevel"/>
    <w:tmpl w:val="F59AB68C"/>
    <w:lvl w:ilvl="0">
      <w:start w:val="3"/>
      <w:numFmt w:val="decimal"/>
      <w:lvlText w:val="%1."/>
      <w:lvlJc w:val="left"/>
      <w:pPr>
        <w:tabs>
          <w:tab w:val="num" w:pos="360"/>
        </w:tabs>
        <w:ind w:left="340" w:hanging="340"/>
      </w:pPr>
    </w:lvl>
    <w:lvl w:ilvl="1">
      <w:start w:val="1"/>
      <w:numFmt w:val="lowerLetter"/>
      <w:lvlText w:val="%2)"/>
      <w:lvlJc w:val="left"/>
      <w:pPr>
        <w:tabs>
          <w:tab w:val="num" w:pos="700"/>
        </w:tabs>
        <w:ind w:left="680" w:hanging="340"/>
      </w:pPr>
    </w:lvl>
    <w:lvl w:ilvl="2">
      <w:start w:val="0"/>
      <w:numFmt w:val="bullet"/>
      <w:lvlText w:val="-"/>
      <w:lvlJc w:val="left"/>
      <w:pPr>
        <w:tabs>
          <w:tab w:val="num" w:pos="2340"/>
        </w:tabs>
        <w:ind w:left="2340" w:hanging="360"/>
      </w:pPr>
      <w:rPr>
        <w:rFonts w:ascii="Times New Roman" w:hAnsi="Times New Roman"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49045CEB"/>
    <w:multiLevelType w:val="hybridMultilevel"/>
    <w:tmpl w:val="F48678A2"/>
    <w:lvl w:ilvl="0">
      <w:start w:val="6"/>
      <w:numFmt w:val="decimal"/>
      <w:lvlText w:val="%1."/>
      <w:lvlJc w:val="left"/>
      <w:pPr>
        <w:tabs>
          <w:tab w:val="num" w:pos="360"/>
        </w:tabs>
        <w:ind w:left="340" w:hanging="340"/>
      </w:pPr>
      <w:rPr>
        <w:b/>
        <w:i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6681931"/>
    <w:multiLevelType w:val="hybridMultilevel"/>
    <w:tmpl w:val="207C9E52"/>
    <w:lvl w:ilvl="0">
      <w:start w:val="1"/>
      <w:numFmt w:val="lowerLetter"/>
      <w:lvlText w:val="%1)"/>
      <w:lvlJc w:val="left"/>
      <w:pPr>
        <w:tabs>
          <w:tab w:val="num" w:pos="700"/>
        </w:tabs>
        <w:ind w:left="68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638364D8"/>
    <w:multiLevelType w:val="hybridMultilevel"/>
    <w:tmpl w:val="02969F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2"/>
  </w:num>
  <w:num w:numId="4">
    <w:abstractNumId w:val="1"/>
  </w:num>
  <w:num w:numId="5">
    <w:abstractNumId w:val="6"/>
  </w:num>
  <w:num w:numId="6">
    <w:abstractNumId w:val="3"/>
  </w:num>
  <w:num w:numId="7">
    <w:abstractNumId w:val="5"/>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isplayHorizontalDrawingGridEvery w:val="2"/>
  <w:displayVerticalDrawingGridEvery w:val="2"/>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rFonts w:ascii="Book Antiqua" w:hAnsi="Book Antiqua"/>
      <w:sz w:val="24"/>
      <w:szCs w:val="24"/>
      <w:rtl w:val="0"/>
      <w:lang w:val="sk-SK" w:bidi="ar-SA"/>
    </w:rPr>
  </w:style>
  <w:style w:type="paragraph" w:styleId="Heading1">
    <w:name w:val="heading 1"/>
    <w:basedOn w:val="Normal"/>
    <w:next w:val="Normal"/>
    <w:uiPriority w:val="9"/>
    <w:qFormat/>
    <w:pPr>
      <w:keepNext/>
      <w:jc w:val="center"/>
      <w:outlineLvl w:val="0"/>
    </w:pPr>
    <w:rPr>
      <w:rFonts w:ascii="Times New Roman" w:hAnsi="Times New Roman"/>
      <w:b/>
      <w:sz w:val="28"/>
      <w:szCs w:val="20"/>
    </w:rPr>
  </w:style>
  <w:style w:type="paragraph" w:styleId="Heading2">
    <w:name w:val="heading 2"/>
    <w:basedOn w:val="Normal"/>
    <w:uiPriority w:val="9"/>
    <w:qFormat/>
    <w:pPr>
      <w:spacing w:before="100" w:beforeAutospacing="1" w:after="100" w:afterAutospacing="1"/>
      <w:jc w:val="center"/>
      <w:outlineLvl w:val="1"/>
    </w:pPr>
    <w:rPr>
      <w:rFonts w:ascii="Arial" w:hAnsi="Arial" w:cs="Arial"/>
      <w:b/>
      <w:bCs/>
      <w:color w:val="804000"/>
      <w:sz w:val="28"/>
      <w:szCs w:val="28"/>
    </w:rPr>
  </w:style>
  <w:style w:type="paragraph" w:styleId="Heading3">
    <w:name w:val="heading 3"/>
    <w:basedOn w:val="Normal"/>
    <w:next w:val="Normal"/>
    <w:uiPriority w:val="9"/>
    <w:qFormat/>
    <w:pPr>
      <w:keepNext/>
      <w:spacing w:before="240" w:after="60"/>
      <w:jc w:val="left"/>
      <w:outlineLvl w:val="2"/>
    </w:pPr>
    <w:rPr>
      <w:rFonts w:ascii="Arial" w:hAnsi="Arial" w:cs="Arial"/>
      <w:b/>
      <w:bCs/>
      <w:sz w:val="26"/>
      <w:szCs w:val="26"/>
    </w:rPr>
  </w:style>
  <w:style w:type="paragraph" w:styleId="Heading4">
    <w:name w:val="heading 4"/>
    <w:basedOn w:val="Normal"/>
    <w:next w:val="Normal"/>
    <w:uiPriority w:val="9"/>
    <w:qFormat/>
    <w:pPr>
      <w:keepNext/>
      <w:spacing w:before="240" w:after="60"/>
      <w:jc w:val="left"/>
      <w:outlineLvl w:val="3"/>
    </w:pPr>
    <w:rPr>
      <w:rFonts w:ascii="Times New Roman" w:hAnsi="Times New Roman"/>
      <w:b/>
      <w:bCs/>
      <w:sz w:val="28"/>
      <w:szCs w:val="28"/>
    </w:rPr>
  </w:style>
  <w:style w:type="character" w:default="1" w:styleId="DefaultParagraphFont">
    <w:name w:val="Default Paragraph Font"/>
    <w:semiHidden/>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BodyTextIndent">
    <w:name w:val="Body Text Indent"/>
    <w:basedOn w:val="Normal"/>
    <w:pPr>
      <w:ind w:firstLine="374"/>
      <w:jc w:val="left"/>
    </w:pPr>
  </w:style>
  <w:style w:type="paragraph" w:styleId="Header">
    <w:name w:val="header"/>
    <w:basedOn w:val="Normal"/>
    <w:pPr>
      <w:tabs>
        <w:tab w:val="center" w:pos="4536"/>
        <w:tab w:val="right" w:pos="9072"/>
      </w:tabs>
      <w:jc w:val="left"/>
    </w:pPr>
  </w:style>
  <w:style w:type="paragraph" w:styleId="BodyTextIndent2">
    <w:name w:val="Body Text Indent 2"/>
    <w:basedOn w:val="Normal"/>
    <w:pPr>
      <w:ind w:firstLine="374"/>
      <w:jc w:val="both"/>
    </w:pPr>
  </w:style>
  <w:style w:type="paragraph" w:styleId="DocumentMap">
    <w:name w:val="Document Map"/>
    <w:basedOn w:val="Normal"/>
    <w:semiHidden/>
    <w:pPr>
      <w:shd w:val="clear" w:color="auto" w:fill="000080"/>
      <w:jc w:val="left"/>
    </w:pPr>
    <w:rPr>
      <w:rFonts w:ascii="Tahoma" w:hAnsi="Tahoma" w:cs="Tahoma"/>
    </w:rPr>
  </w:style>
  <w:style w:type="character" w:styleId="Hyperlink">
    <w:name w:val="Hyperlink"/>
    <w:basedOn w:val="DefaultParagraphFont"/>
    <w:rPr>
      <w:color w:val="000060"/>
      <w:u w:val="single"/>
    </w:rPr>
  </w:style>
  <w:style w:type="paragraph" w:customStyle="1" w:styleId="CarCharCharCharCharCharCharCharCharChar2CharCharCharCharCharCharCharCharCharChar">
    <w:name w:val="Car Char Char Char Char Char Char Char Char Char2 Char Char Char Char Char Char Char Char Char Char"/>
    <w:basedOn w:val="Normal"/>
    <w:pPr>
      <w:tabs>
        <w:tab w:val="left" w:pos="567"/>
      </w:tabs>
      <w:spacing w:line="240" w:lineRule="exact"/>
      <w:ind w:left="567" w:hanging="567"/>
      <w:jc w:val="left"/>
    </w:pPr>
    <w:rPr>
      <w:rFonts w:ascii="Times New Roman Bold" w:hAnsi="Times New Roman Bold"/>
      <w:b/>
      <w:sz w:val="26"/>
      <w:szCs w:val="26"/>
    </w:rPr>
  </w:style>
  <w:style w:type="paragraph" w:customStyle="1" w:styleId="Textbubliny">
    <w:name w:val="Text bubliny"/>
    <w:basedOn w:val="Normal"/>
    <w:semiHidden/>
    <w:pPr>
      <w:jc w:val="left"/>
    </w:pPr>
    <w:rPr>
      <w:rFonts w:ascii="Tahoma" w:hAnsi="Tahoma" w:cs="Tahoma"/>
      <w:sz w:val="16"/>
      <w:szCs w:val="16"/>
    </w:rPr>
  </w:style>
  <w:style w:type="paragraph" w:styleId="BodyText">
    <w:name w:val="Body Text"/>
    <w:basedOn w:val="Normal"/>
    <w:pPr>
      <w:spacing w:after="120"/>
      <w:jc w:val="left"/>
    </w:pPr>
  </w:style>
  <w:style w:type="paragraph" w:styleId="BodyText2">
    <w:name w:val="Body Text 2"/>
    <w:basedOn w:val="Normal"/>
    <w:pPr>
      <w:spacing w:after="120" w:line="480" w:lineRule="auto"/>
      <w:jc w:val="left"/>
    </w:pPr>
  </w:style>
  <w:style w:type="paragraph" w:styleId="BodyTextIndent3">
    <w:name w:val="Body Text Indent 3"/>
    <w:basedOn w:val="Normal"/>
    <w:pPr>
      <w:ind w:firstLine="708"/>
      <w:jc w:val="both"/>
    </w:pPr>
    <w:rPr>
      <w:rFonts w:ascii="Times New Roman" w:hAnsi="Times New Roman"/>
    </w:rPr>
  </w:style>
  <w:style w:type="paragraph" w:styleId="Title">
    <w:name w:val="Title"/>
    <w:basedOn w:val="Normal"/>
    <w:uiPriority w:val="10"/>
    <w:qFormat/>
    <w:pPr>
      <w:jc w:val="center"/>
    </w:pPr>
    <w:rPr>
      <w:rFonts w:ascii="Times New Roman" w:hAnsi="Times New Roman"/>
      <w:b/>
      <w:bCs/>
      <w:color w:val="000000"/>
      <w:szCs w:val="19"/>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100</TotalTime>
  <Pages>1</Pages>
  <Words>1095</Words>
  <Characters>6243</Characters>
  <Application>Microsoft Office Word</Application>
  <DocSecurity>0</DocSecurity>
  <Lines>0</Lines>
  <Paragraphs>0</Paragraphs>
  <ScaleCrop>false</ScaleCrop>
  <Company>Hutta</Company>
  <LinksUpToDate>false</LinksUpToDate>
  <CharactersWithSpaces>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JUDr. Hutta</dc:creator>
  <cp:lastModifiedBy>Talapkova</cp:lastModifiedBy>
  <cp:revision>81</cp:revision>
  <cp:lastPrinted>2007-05-02T11:46:00Z</cp:lastPrinted>
  <dcterms:created xsi:type="dcterms:W3CDTF">2007-02-09T12:17:00Z</dcterms:created>
  <dcterms:modified xsi:type="dcterms:W3CDTF">2007-05-02T11:46:00Z</dcterms:modified>
</cp:coreProperties>
</file>