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 RADA  SLOVENSKEJ  REPUBLIKY</w:t>
      </w:r>
    </w:p>
    <w:p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</w:rPr>
        <w:t>IV. volebné obdobie</w:t>
      </w:r>
    </w:p>
    <w:p>
      <w:pPr>
        <w:pStyle w:val="Heading3"/>
        <w:spacing w:before="0" w:beforeAutospacing="0" w:after="0" w:afterAutospacing="0"/>
        <w:rPr>
          <w:rFonts w:ascii="Times New Roman" w:hAnsi="Times New Roman" w:cs="Times New Roman"/>
          <w:sz w:val="32"/>
        </w:rPr>
      </w:pPr>
    </w:p>
    <w:p>
      <w:pPr>
        <w:pStyle w:val="Heading3"/>
        <w:spacing w:before="0" w:beforeAutospacing="0" w:after="0" w:afterAutospacing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304</w:t>
      </w:r>
    </w:p>
    <w:p>
      <w:pPr>
        <w:pStyle w:val="Heading2"/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>
      <w:pPr>
        <w:pStyle w:val="Heading2"/>
        <w:spacing w:before="120"/>
        <w:rPr>
          <w:rFonts w:ascii="Times New Roman" w:hAnsi="Times New Roman" w:cs="Times New Roman"/>
          <w:caps w:val="0"/>
          <w:color w:val="000000"/>
        </w:rPr>
      </w:pP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aps w:val="0"/>
          <w:color w:val="000000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z .................. 2007</w:t>
      </w:r>
    </w:p>
    <w:p>
      <w:pPr>
        <w:spacing w:before="120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 obchodovaní s tovarom, ktorý možno použiť na vykonanie trestu smrti, mučenie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alebo iné kruté, neľudské alebo ponižujúce zaobchádzanie alebo trest</w:t>
      </w:r>
      <w:r>
        <w:rPr>
          <w:rFonts w:ascii="Times New Roman" w:hAnsi="Times New Roman" w:cs="Times New Roman"/>
          <w:b/>
          <w:bCs/>
        </w:rPr>
        <w:t xml:space="preserve">anie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na tomto zákone: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1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Predmet úpravy </w:t>
      </w:r>
    </w:p>
    <w:p>
      <w:pPr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Tento zákon ustanovuje pôsobnosť orgánov štátnej správy vo veciach obchodovania s krajinami, ktoré nie sú členskými štátmi Európskeho spoločenstva (ďalej len „tretie krajiny“) s tovarom, ktorý možno použiť na vykonanie trestu smrti, mučenie alebo iné kruté neľudské alebo ponižujúce zaobchádzanie alebo trestanie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(ďalej len „tovar“), ako aj  poskytovanie súvisiacej technickej pomoci a ukladanie sankcií za nedodrži</w:t>
      </w:r>
      <w:r>
        <w:rPr>
          <w:rFonts w:ascii="Times New Roman" w:hAnsi="Times New Roman" w:cs="Times New Roman"/>
        </w:rPr>
        <w:t>avanie povinností ustanovených týmto zákonom a osobitným predpisom.</w:t>
      </w:r>
      <w:r>
        <w:rPr>
          <w:rFonts w:ascii="Times New Roman" w:hAnsi="Times New Roman" w:cs="Times New Roman"/>
          <w:vertAlign w:val="superscript"/>
        </w:rPr>
        <w:t>1)</w:t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Orgány štátnej správy vo veciach obchodovania s tovarom</w:t>
      </w:r>
    </w:p>
    <w:p>
      <w:pPr>
        <w:jc w:val="center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Orgánom štátnej správy vo veciach obchodovania s tovarom je Ministerstvo hospodárstva Slovenskej republiky (ďalej len „</w:t>
      </w:r>
      <w:r>
        <w:rPr>
          <w:rFonts w:ascii="Times New Roman" w:hAnsi="Times New Roman" w:cs="Times New Roman"/>
        </w:rPr>
        <w:t>ministerstvo“).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Inými orgánmi štátnej správy vo veciach obchodovania s tovarom sú </w:t>
      </w: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zahraničných vecí Slovenskej republiky (ďalej len „ministerstvo zahranič-ných vecí“),</w:t>
      </w: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kultúry Slovenskej republiky (ďalej len „ministerstvo ku</w:t>
      </w:r>
      <w:r>
        <w:rPr>
          <w:rFonts w:ascii="Times New Roman" w:hAnsi="Times New Roman" w:cs="Times New Roman"/>
        </w:rPr>
        <w:t>ltúry“),</w:t>
      </w:r>
    </w:p>
    <w:p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Colné riaditeľstvo Slovenskej republiky a colný úrad (ďalej len „colný orgán“).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Zákaz vývozu a dovozu tovaru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>
      <w:pPr>
        <w:rPr>
          <w:rFonts w:ascii="Times New Roman" w:hAnsi="Times New Roman" w:cs="Times New Roman"/>
        </w:rPr>
      </w:pPr>
    </w:p>
    <w:p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Zakazuje sa vyviezť alebo doviezť tovar uvedený v osobitnom predpise,</w:t>
      </w:r>
      <w:r>
        <w:rPr>
          <w:rFonts w:ascii="Times New Roman" w:hAnsi="Times New Roman" w:cs="Times New Roman"/>
          <w:vertAlign w:val="superscript"/>
        </w:rPr>
        <w:t>2)</w:t>
      </w:r>
      <w:r>
        <w:rPr>
          <w:rFonts w:ascii="Times New Roman" w:hAnsi="Times New Roman" w:cs="Times New Roman"/>
        </w:rPr>
        <w:t xml:space="preserve"> ktorý nemá iné praktické použitie ako na účely vykonávania trestu smrti, mučenia alebo iného krutého, neľudského alebo ponižujúceho zaobchádzania alebo trestania bez ohľadu na jeho pôvod a s ním súvisiacu technickú pomoc (ďalej len „tovar na výstavné účely“).  Ministerstvo môže povoliť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vývoz alebo dovoz tovaru uvedeného </w:t>
      </w:r>
    </w:p>
    <w:p>
      <w:pPr>
        <w:jc w:val="both"/>
        <w:rPr>
          <w:rFonts w:ascii="Times New Roman" w:hAnsi="Times New Roman" w:cs="Times New Roman"/>
          <w:sz w:val="20"/>
        </w:rPr>
      </w:pPr>
    </w:p>
    <w:p>
      <w:pPr>
        <w:jc w:val="both"/>
        <w:rPr>
          <w:rFonts w:ascii="Times New Roman" w:hAnsi="Times New Roman" w:cs="Times New Roman"/>
          <w:sz w:val="20"/>
        </w:rPr>
      </w:pPr>
    </w:p>
    <w:p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ind w:left="180" w:hanging="1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1)</w:t>
      </w:r>
      <w:r>
        <w:rPr>
          <w:rFonts w:ascii="Times New Roman" w:hAnsi="Times New Roman" w:cs="Times New Roman"/>
          <w:sz w:val="20"/>
        </w:rPr>
        <w:t xml:space="preserve"> Nariadenie Rady (ES) č. 1236/2005 z 27. júna 2005 o obchodovaní s určitým tovarom, ktorý možno použiť na vykonanie trestu smrti, mučenie alebo iné kruté, neľudské alebo ponižujúce zaobchádzan</w:t>
      </w:r>
      <w:r>
        <w:rPr>
          <w:rFonts w:ascii="Times New Roman" w:hAnsi="Times New Roman" w:cs="Times New Roman"/>
          <w:sz w:val="20"/>
        </w:rPr>
        <w:t>ie alebo trestanie (Ú.v. EÚ L 200, 30. 7. 2005).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2)  </w:t>
      </w:r>
      <w:r>
        <w:rPr>
          <w:rFonts w:ascii="Times New Roman" w:hAnsi="Times New Roman" w:cs="Times New Roman"/>
          <w:sz w:val="20"/>
        </w:rPr>
        <w:t>Príloha II Nariadenia Rady (ES) č. 1236/2005.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prvej vete po súhlasnom vyjadrení ministerstva kultúry a po predložení  vyhlásenia  od  prijímateľa,  že tovar s ohľadom  na jeho historickú  hodnotu bude použitý na výstavné účely a bude zabezpečený proti použitiu na iné ako výstavné účely</w:t>
      </w:r>
      <w:r>
        <w:rPr>
          <w:rFonts w:ascii="Times New Roman" w:hAnsi="Times New Roman" w:cs="Times New Roman"/>
          <w:vertAlign w:val="superscript"/>
        </w:rPr>
        <w:t>3)</w:t>
      </w:r>
      <w:r>
        <w:rPr>
          <w:rFonts w:ascii="Times New Roman" w:hAnsi="Times New Roman" w:cs="Times New Roman"/>
        </w:rPr>
        <w:t xml:space="preserve"> na základe písomnej žiadosti žiadateľa.</w:t>
      </w:r>
      <w:r>
        <w:rPr>
          <w:rFonts w:ascii="Times New Roman" w:hAnsi="Times New Roman" w:cs="Times New Roman"/>
          <w:vertAlign w:val="superscript"/>
        </w:rPr>
        <w:t>4)</w:t>
      </w:r>
    </w:p>
    <w:p>
      <w:pPr>
        <w:pStyle w:val="BodyText"/>
        <w:ind w:firstLine="567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Žiadateľ v písomnej žiadosti o udelenie povolenia podľa odseku 1 uvedie </w:t>
      </w:r>
    </w:p>
    <w:p>
      <w:pPr>
        <w:pStyle w:val="BodyText"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obchodné meno, sídlo alebo miesto podnikania žiadateľa a u fyzickej osoby trvalý alebo prechodný pobyt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 na území Slovenskej republiky,</w:t>
      </w:r>
    </w:p>
    <w:p>
      <w:pPr>
        <w:pStyle w:val="BodyText"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identifikačné číslo žiadateľa, ak mu bolo pridelené a u fyzickej osoby rodné číslo,</w:t>
      </w:r>
    </w:p>
    <w:p>
      <w:pPr>
        <w:pStyle w:val="BodyText"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sídlo a miesto podnikania zahraničného zmluvného partnera alebo tuzemského zml</w:t>
      </w:r>
      <w:r>
        <w:rPr>
          <w:rFonts w:ascii="Times New Roman" w:hAnsi="Times New Roman" w:cs="Times New Roman"/>
        </w:rPr>
        <w:t>uvného partnera,</w:t>
      </w:r>
    </w:p>
    <w:p>
      <w:pPr>
        <w:pStyle w:val="BodyText"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podpoložku kombinovanej nomenklatúry spoločného colného sadzobníka,</w:t>
      </w:r>
      <w:r>
        <w:rPr>
          <w:rFonts w:ascii="Times New Roman" w:hAnsi="Times New Roman" w:cs="Times New Roman"/>
          <w:vertAlign w:val="superscript"/>
        </w:rPr>
        <w:t>6)</w:t>
      </w:r>
    </w:p>
    <w:p>
      <w:pPr>
        <w:pStyle w:val="BodyText"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použitia tovaru,</w:t>
      </w:r>
    </w:p>
    <w:p>
      <w:pPr>
        <w:pStyle w:val="BodyText"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a sídlo konečného prijímateľa tovaru,</w:t>
      </w:r>
    </w:p>
    <w:p>
      <w:pPr>
        <w:pStyle w:val="BodyText"/>
        <w:numPr>
          <w:ilvl w:val="0"/>
          <w:numId w:val="2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a sídlo múzea, v ktorom bude tovar umiestnený.</w:t>
      </w:r>
    </w:p>
    <w:p>
      <w:pPr>
        <w:jc w:val="both"/>
        <w:rPr>
          <w:rFonts w:ascii="Times New Roman" w:hAnsi="Times New Roman" w:cs="Times New Roman"/>
          <w:sz w:val="20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 žiadosti podľa odseku 2 je potrebné doložiť</w:t>
      </w:r>
    </w:p>
    <w:p>
      <w:pPr>
        <w:pStyle w:val="BodyText"/>
        <w:numPr>
          <w:ilvl w:val="0"/>
          <w:numId w:val="3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uzavretie zmluvy o budúcej zmluve</w:t>
      </w:r>
      <w:r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 xml:space="preserve"> o kúpe tovaru, zmluvy o pôžičke alebo zmluvy o výpožičke tovaru alebo už uzavretú zmluvu medzi vývozcom alebo dovozcom a jeho zahraničným zmluvným partnerom s presnou špecifikáciou tovaru, vrátane uvedenia jeho množstva a možnej technickej pomoci spojenej s uvedením tovaru do činnosti,</w:t>
      </w:r>
    </w:p>
    <w:p>
      <w:pPr>
        <w:pStyle w:val="BodyText"/>
        <w:numPr>
          <w:ilvl w:val="0"/>
          <w:numId w:val="3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potvrdenie o konečnom použití tovaru vyhotovené prijímateľom tovaru, ktoré obsahuje vyhlásenie, že tovar sa nepoužije na iný ako výstavný účel v múzeu,</w:t>
      </w:r>
      <w:r>
        <w:rPr>
          <w:rFonts w:ascii="Times New Roman" w:hAnsi="Times New Roman" w:cs="Times New Roman"/>
          <w:vertAlign w:val="superscript"/>
        </w:rPr>
        <w:t>3)</w:t>
      </w:r>
    </w:p>
    <w:p>
      <w:pPr>
        <w:pStyle w:val="BodyText"/>
        <w:numPr>
          <w:ilvl w:val="0"/>
          <w:numId w:val="3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úradne osvedčenú kópiu výpisu z obchodného registra, ak žiadateľom je právnická osoba, a úradne osvedčenú kópiu živnostenského listu alebo iného oprávnenia na podnikanie, ak žiadateľom je fyzická osoba – podnikateľ.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Povolenie na vývoz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Ministerstvo môže podľa osobitného p</w:t>
      </w:r>
      <w:r>
        <w:rPr>
          <w:rFonts w:ascii="Times New Roman" w:hAnsi="Times New Roman" w:cs="Times New Roman"/>
        </w:rPr>
        <w:t>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povoliť vývoz tovaru, ktorý je uvedený v osobitnom predpise,</w:t>
      </w:r>
      <w:r>
        <w:rPr>
          <w:rFonts w:ascii="Times New Roman" w:hAnsi="Times New Roman" w:cs="Times New Roman"/>
          <w:vertAlign w:val="superscript"/>
        </w:rPr>
        <w:t>8)</w:t>
      </w:r>
      <w:r>
        <w:rPr>
          <w:rFonts w:ascii="Times New Roman" w:hAnsi="Times New Roman" w:cs="Times New Roman"/>
        </w:rPr>
        <w:t xml:space="preserve"> a ktorý môže byť použitý na obmedzenie pohybu ľudí, potláčanie nepokojov alebo sebaobranu a s ním súvisiacu technickú pomoc (ďalej len „tovar na obmedzenie pohybu ľudí“) po súhlasnom vyjadrení ministerstva zahraničných vecí na základe písomnej žiadosti žiadateľa.</w:t>
      </w:r>
      <w:r>
        <w:rPr>
          <w:rFonts w:ascii="Times New Roman" w:hAnsi="Times New Roman" w:cs="Times New Roman"/>
          <w:vertAlign w:val="superscript"/>
        </w:rPr>
        <w:t>4)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Žiadateľ v žiadosti o udelenie povolenia podľa odseku 1 uvedie</w:t>
      </w:r>
    </w:p>
    <w:p>
      <w:pPr>
        <w:pStyle w:val="BodyText"/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obchodné meno, sídlo žiadateľa alebo miesto podnikania, u fyzickej osoby trvalý alebo prechodný pobyt</w:t>
      </w:r>
      <w:r>
        <w:rPr>
          <w:rFonts w:ascii="Times New Roman" w:hAnsi="Times New Roman" w:cs="Times New Roman"/>
          <w:vertAlign w:val="superscript"/>
        </w:rPr>
        <w:t>5)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a území Slovenskej republiky vývozcu a miesto podnikania,</w:t>
      </w:r>
    </w:p>
    <w:p>
      <w:pPr>
        <w:pStyle w:val="BodyText"/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identifikačné číslo žiadateľa, ak mu bolo pridelené a u fyzickej osoby rodné číslo,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ind w:left="180" w:hanging="18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3)</w:t>
      </w:r>
      <w:r>
        <w:rPr>
          <w:rFonts w:ascii="Times New Roman" w:hAnsi="Times New Roman" w:cs="Times New Roman"/>
          <w:sz w:val="20"/>
        </w:rPr>
        <w:t xml:space="preserve"> § 2 ods. 1 a § 7 zákona č. 115/1998 Z. z. o múzeách a galériách a o ochrane predmetov mú</w:t>
      </w:r>
      <w:r>
        <w:rPr>
          <w:rFonts w:ascii="Times New Roman" w:hAnsi="Times New Roman" w:cs="Times New Roman"/>
          <w:sz w:val="20"/>
        </w:rPr>
        <w:t xml:space="preserve">zejnej hodnoty a galerijnej hodnoty v znení neskorších predpisov. 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4)  </w:t>
      </w:r>
      <w:r>
        <w:rPr>
          <w:rFonts w:ascii="Times New Roman" w:hAnsi="Times New Roman" w:cs="Times New Roman"/>
          <w:sz w:val="20"/>
          <w:szCs w:val="20"/>
        </w:rPr>
        <w:t xml:space="preserve">Čl. 2 písm. i) </w:t>
      </w:r>
      <w:r>
        <w:rPr>
          <w:rFonts w:ascii="Times New Roman" w:hAnsi="Times New Roman" w:cs="Times New Roman"/>
          <w:sz w:val="20"/>
        </w:rPr>
        <w:t>Nariadenia Rady (ES) č. 1236/2005.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5)</w:t>
      </w:r>
      <w:r>
        <w:rPr>
          <w:rFonts w:ascii="Times New Roman" w:hAnsi="Times New Roman" w:cs="Times New Roman"/>
          <w:sz w:val="20"/>
        </w:rPr>
        <w:t xml:space="preserve"> § 17 zákona č. 48/2002 Z. z. o pobyte cudzincov a o zmene a doplnení niektorých zákonov v znení neskorších predpisov.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6)</w:t>
      </w:r>
      <w:r>
        <w:rPr>
          <w:rFonts w:ascii="Times New Roman" w:hAnsi="Times New Roman" w:cs="Times New Roman"/>
          <w:sz w:val="20"/>
        </w:rPr>
        <w:t xml:space="preserve"> Nariadenie Rady (EHS) č. 2658/87 z 23. 7. 1987 o colnej a štatistickej nomenklatúre a o Spoločnom colnom sadzobníku (Mimoriadne vydanie Ú. v. EÚ, 2/zv. 2.) v platnom znení.</w:t>
      </w: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Zákon č. 199/2004 Z. z. Colný zákon a o zmene a doplnení niektorých zákonov v znení neskor</w:t>
      </w:r>
      <w:r>
        <w:rPr>
          <w:rFonts w:ascii="Times New Roman" w:hAnsi="Times New Roman" w:cs="Times New Roman"/>
          <w:sz w:val="20"/>
        </w:rPr>
        <w:t>ších predpisov.</w:t>
      </w: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7)</w:t>
      </w:r>
      <w:r>
        <w:rPr>
          <w:rFonts w:ascii="Times New Roman" w:hAnsi="Times New Roman" w:cs="Times New Roman"/>
          <w:sz w:val="20"/>
        </w:rPr>
        <w:t xml:space="preserve"> § 289 až 292 Obchodného zákonníka.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8) </w:t>
      </w:r>
      <w:r>
        <w:rPr>
          <w:rFonts w:ascii="Times New Roman" w:hAnsi="Times New Roman" w:cs="Times New Roman"/>
          <w:sz w:val="20"/>
          <w:szCs w:val="20"/>
        </w:rPr>
        <w:t>Príloha č. III Nariadenia Rady (ES) č. 1236/2005.</w:t>
      </w:r>
    </w:p>
    <w:p>
      <w:pPr>
        <w:pStyle w:val="BodyText"/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sídlo a miesto podnikania zahraničného zmluvného partnera, ktorý je prijímateľom tovaru,</w:t>
      </w:r>
    </w:p>
    <w:p>
      <w:pPr>
        <w:pStyle w:val="BodyText"/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podpoložku kombinovanej nomenklatúry spoločného colnéh</w:t>
      </w:r>
      <w:r>
        <w:rPr>
          <w:rFonts w:ascii="Times New Roman" w:hAnsi="Times New Roman" w:cs="Times New Roman"/>
        </w:rPr>
        <w:t>o sadzobníka,</w:t>
      </w:r>
      <w:r>
        <w:rPr>
          <w:rFonts w:ascii="Times New Roman" w:hAnsi="Times New Roman" w:cs="Times New Roman"/>
          <w:vertAlign w:val="superscript"/>
        </w:rPr>
        <w:t>6)</w:t>
      </w:r>
    </w:p>
    <w:p>
      <w:pPr>
        <w:pStyle w:val="BodyText"/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účel použitia tovaru,</w:t>
      </w:r>
    </w:p>
    <w:p>
      <w:pPr>
        <w:pStyle w:val="BodyText"/>
        <w:numPr>
          <w:ilvl w:val="0"/>
          <w:numId w:val="4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a sídlo konečného prijímateľa tovaru.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340" w:firstLine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K žiadosti podľa odseku 2 je potrebné doložiť</w:t>
      </w:r>
    </w:p>
    <w:p>
      <w:pPr>
        <w:pStyle w:val="BodyText"/>
        <w:numPr>
          <w:ilvl w:val="0"/>
          <w:numId w:val="5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uzavretie zmluvy o budúcej zmluve</w:t>
      </w:r>
      <w:r>
        <w:rPr>
          <w:rFonts w:ascii="Times New Roman" w:hAnsi="Times New Roman" w:cs="Times New Roman"/>
          <w:vertAlign w:val="superscript"/>
        </w:rPr>
        <w:t>7)</w:t>
      </w:r>
      <w:r>
        <w:rPr>
          <w:rFonts w:ascii="Times New Roman" w:hAnsi="Times New Roman" w:cs="Times New Roman"/>
        </w:rPr>
        <w:t xml:space="preserve"> o kúpe tovaru alebo už uzavretú zmluvu medzi vývozcom a jeho zahraničným zmluvným partnerom s presnou špecifikáciou tovaru, vrátane uvedenia jeho množstva,</w:t>
      </w:r>
    </w:p>
    <w:p>
      <w:pPr>
        <w:pStyle w:val="BodyText"/>
        <w:numPr>
          <w:ilvl w:val="0"/>
          <w:numId w:val="5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potvrdenie o konečnom použití tovaru vyhotovené príslušným orgánom krajiny určenia,</w:t>
      </w:r>
    </w:p>
    <w:p>
      <w:pPr>
        <w:pStyle w:val="BodyText"/>
        <w:numPr>
          <w:ilvl w:val="0"/>
          <w:numId w:val="5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úradne osvedčenú kópiu výpisu z obchodného registra, ak žiadateľom je právnická osoba, a úradne overenú kópiu živnostenského listu alebo iného oprávnenia na podnikanie, ak žiadateľom je fyzická osoba.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Pri udeľovaní povolenia podľa odseku 1 ministerstvo zohľadní podmienky ustanovené osobitným predpisom.</w:t>
      </w:r>
      <w:r>
        <w:rPr>
          <w:rFonts w:ascii="Times New Roman" w:hAnsi="Times New Roman" w:cs="Times New Roman"/>
          <w:vertAlign w:val="superscript"/>
        </w:rPr>
        <w:t>9)</w:t>
      </w:r>
    </w:p>
    <w:p>
      <w:pPr>
        <w:pStyle w:val="BodyText"/>
        <w:rPr>
          <w:rFonts w:ascii="Times New Roman" w:hAnsi="Times New Roman" w:cs="Times New Roman"/>
          <w:szCs w:val="20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Neudelenie, odňatie, zmena povolen</w:t>
      </w:r>
      <w:r>
        <w:rPr>
          <w:rFonts w:ascii="Times New Roman" w:hAnsi="Times New Roman" w:cs="Times New Roman"/>
        </w:rPr>
        <w:t xml:space="preserve">ia a pozastavenie vývozu 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Ministerstvo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povolenie na vývoz alebo dovoz tovaru podľa § 3 ods. 1 alebo povolenie na vývoz podľa § 4 ods. 1 neudelí, ak </w:t>
      </w:r>
    </w:p>
    <w:p>
      <w:pPr>
        <w:pStyle w:val="BodyText"/>
        <w:numPr>
          <w:ilvl w:val="0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sú splnené podmienky ustanovené v § 3 ods. 2 a 3 a v § 5 ods. 2 a 3 al</w:t>
      </w:r>
      <w:r>
        <w:rPr>
          <w:rFonts w:ascii="Times New Roman" w:hAnsi="Times New Roman" w:cs="Times New Roman"/>
        </w:rPr>
        <w:t>ebo vývozca nesplnil podmienky ustanovené v osobitnom predpise,</w:t>
      </w:r>
      <w:r>
        <w:rPr>
          <w:rFonts w:ascii="Times New Roman" w:hAnsi="Times New Roman" w:cs="Times New Roman"/>
          <w:vertAlign w:val="superscript"/>
        </w:rPr>
        <w:t>9)</w:t>
      </w:r>
      <w:r>
        <w:rPr>
          <w:rFonts w:ascii="Times New Roman" w:hAnsi="Times New Roman" w:cs="Times New Roman"/>
        </w:rPr>
        <w:t xml:space="preserve"> </w:t>
      </w:r>
    </w:p>
    <w:p>
      <w:pPr>
        <w:pStyle w:val="BodyText"/>
        <w:numPr>
          <w:ilvl w:val="0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vývozca alebo dovozca porušil v súvislosti s vývozom alebo dovozom osobitný predpis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 alebo</w:t>
      </w:r>
    </w:p>
    <w:p>
      <w:pPr>
        <w:pStyle w:val="BodyText"/>
        <w:numPr>
          <w:ilvl w:val="0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vývozom tovaru na obmedzenie pohybu ľudí sa ohrozia zahraničnopolitické a bezpečnostné záujmy Slovenskej republiky alebo sa ohrozia ľudské práva v tretích krajinách.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Ministerstvo povolenie na vývoz alebo dovoz tovaru podľa § 3 ods. 1 alebo povolenie na vývoz podľa § 4 ods. 1 odníme, ak </w:t>
      </w:r>
    </w:p>
    <w:p>
      <w:pPr>
        <w:pStyle w:val="BodyText"/>
        <w:numPr>
          <w:ilvl w:val="1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dôjde k výmazu predmetu činnosti žiadateľa z obchodného reg</w:t>
      </w:r>
      <w:r>
        <w:rPr>
          <w:rFonts w:ascii="Times New Roman" w:hAnsi="Times New Roman" w:cs="Times New Roman"/>
        </w:rPr>
        <w:t>istra,</w:t>
      </w:r>
    </w:p>
    <w:p>
      <w:pPr>
        <w:pStyle w:val="BodyText"/>
        <w:numPr>
          <w:ilvl w:val="1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žiadateľ oznámi skončenie výkonu činnosti žiadateľa,</w:t>
      </w:r>
    </w:p>
    <w:p>
      <w:pPr>
        <w:pStyle w:val="BodyText"/>
        <w:numPr>
          <w:ilvl w:val="1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bolo udelené na základe nepravdivých alebo neúplných údajov,</w:t>
      </w:r>
    </w:p>
    <w:p>
      <w:pPr>
        <w:pStyle w:val="BodyText"/>
        <w:numPr>
          <w:ilvl w:val="1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to odôvodnené zahraničnopolitickými a bezpečnostnými záujmami Slovenskej repub-liky,</w:t>
      </w:r>
    </w:p>
    <w:p>
      <w:pPr>
        <w:pStyle w:val="BodyText"/>
        <w:numPr>
          <w:ilvl w:val="1"/>
          <w:numId w:val="7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neboli dodržané podmienky určené v udelenom pov</w:t>
      </w:r>
      <w:r>
        <w:rPr>
          <w:rFonts w:ascii="Times New Roman" w:hAnsi="Times New Roman" w:cs="Times New Roman"/>
        </w:rPr>
        <w:t>olení.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V prípadoch podľa odseku 2 písm. a), c) a e) štát nezodpovedá držiteľovi povolenia za škodu, ktorá mu vznikla odňatím povolenia. </w:t>
      </w: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Ministerstvo pozastaví vývoz tovaru na obmedzenie pohybu ľudí alebo zmení povolenie vydané podľa § 4 do doby, kým zahraničnopolitická situácia v krajine prijímateľa tovaru neumožní povolený tovar prijať.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9)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Čl. 6 Nariadenia Rady (ES) č. 1236/2005.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Pôsobnosť ministerstva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Ministerstvo v rámci svojej pôsobnosti podľa tohto zákona</w:t>
      </w:r>
    </w:p>
    <w:p>
      <w:pPr>
        <w:pStyle w:val="BodyText"/>
        <w:numPr>
          <w:ilvl w:val="0"/>
          <w:numId w:val="8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 v lehote 30 dní od rozhodnutia o neudelení alebo odňatí udeleného povolenia na vývoz alebo dovoz tovaru príslušné orgány</w:t>
      </w:r>
      <w:r>
        <w:rPr>
          <w:rFonts w:ascii="Times New Roman" w:hAnsi="Times New Roman" w:cs="Times New Roman"/>
          <w:vertAlign w:val="superscript"/>
        </w:rPr>
        <w:t>10)</w:t>
      </w:r>
      <w:r>
        <w:rPr>
          <w:rFonts w:ascii="Times New Roman" w:hAnsi="Times New Roman" w:cs="Times New Roman"/>
        </w:rPr>
        <w:t xml:space="preserve"> a Európsku komisiu,</w:t>
      </w:r>
    </w:p>
    <w:p>
      <w:pPr>
        <w:pStyle w:val="BodyText"/>
        <w:numPr>
          <w:ilvl w:val="0"/>
          <w:numId w:val="8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spolupracuje s príslušnými orgánmi štátov uvedených v osobitnom predpise</w:t>
      </w:r>
      <w:r>
        <w:rPr>
          <w:rFonts w:ascii="Times New Roman" w:hAnsi="Times New Roman" w:cs="Times New Roman"/>
          <w:vertAlign w:val="superscript"/>
        </w:rPr>
        <w:t>10)</w:t>
      </w:r>
      <w:r>
        <w:rPr>
          <w:rFonts w:ascii="Times New Roman" w:hAnsi="Times New Roman" w:cs="Times New Roman"/>
        </w:rPr>
        <w:t xml:space="preserve"> a Európskou komisiou a na základe ich požiadania tieto informuje o prijatých opatreniach, najmä o udelených a zamietnutých povoleniach; informácie o udelených a zamietnutých povoleniach obsahujú </w:t>
      </w:r>
    </w:p>
    <w:p>
      <w:pPr>
        <w:pStyle w:val="BodyText"/>
        <w:numPr>
          <w:ilvl w:val="1"/>
          <w:numId w:val="8"/>
        </w:numPr>
        <w:tabs>
          <w:tab w:val="clear" w:pos="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dôvody, na základe ktorých boli povolenia udelené alebo zamietnuté, </w:t>
      </w:r>
    </w:p>
    <w:p>
      <w:pPr>
        <w:pStyle w:val="BodyText"/>
        <w:numPr>
          <w:ilvl w:val="1"/>
          <w:numId w:val="8"/>
        </w:numPr>
        <w:tabs>
          <w:tab w:val="clear" w:pos="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mená a priezvis</w:t>
      </w:r>
      <w:r>
        <w:rPr>
          <w:rFonts w:ascii="Times New Roman" w:hAnsi="Times New Roman" w:cs="Times New Roman"/>
        </w:rPr>
        <w:t>ká príjemcov tovaru,</w:t>
      </w:r>
    </w:p>
    <w:p>
      <w:pPr>
        <w:pStyle w:val="BodyText"/>
        <w:numPr>
          <w:ilvl w:val="1"/>
          <w:numId w:val="8"/>
        </w:numPr>
        <w:tabs>
          <w:tab w:val="clear" w:pos="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mená a adresy konečných užívateľov tovaru,</w:t>
      </w:r>
    </w:p>
    <w:p>
      <w:pPr>
        <w:pStyle w:val="BodyText"/>
        <w:numPr>
          <w:ilvl w:val="1"/>
          <w:numId w:val="8"/>
        </w:numPr>
        <w:tabs>
          <w:tab w:val="clear" w:pos="70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charakter tovaru, ktorý sa vyváža alebo dováža, </w:t>
      </w:r>
    </w:p>
    <w:p>
      <w:pPr>
        <w:pStyle w:val="BodyText"/>
        <w:numPr>
          <w:ilvl w:val="0"/>
          <w:numId w:val="8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vedie evidenciu žiadateľov o vývozné a dovozné povolenie,</w:t>
      </w:r>
    </w:p>
    <w:p>
      <w:pPr>
        <w:pStyle w:val="BodyText"/>
        <w:numPr>
          <w:ilvl w:val="0"/>
          <w:numId w:val="8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rozhoduje o udelení, neudelení, odňatí a zmene povolenia a pozastavení vývozu,</w:t>
      </w:r>
    </w:p>
    <w:p>
      <w:pPr>
        <w:pStyle w:val="BodyText"/>
        <w:numPr>
          <w:ilvl w:val="0"/>
          <w:numId w:val="8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žiada od ministerstva zahraničných vecí písomné vyjadrenia o bezpečnostnej situácii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v krajinách, do ktorých sa majú tovary vyviezť a správy o rozhodnutiach príslušných orgánov štátov uvedených v osobitnom predpise,</w:t>
      </w:r>
      <w:r>
        <w:rPr>
          <w:rFonts w:ascii="Times New Roman" w:hAnsi="Times New Roman" w:cs="Times New Roman"/>
          <w:vertAlign w:val="superscript"/>
        </w:rPr>
        <w:t>11)</w:t>
      </w:r>
    </w:p>
    <w:p>
      <w:pPr>
        <w:pStyle w:val="BodyText"/>
        <w:numPr>
          <w:ilvl w:val="0"/>
          <w:numId w:val="8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vypracúva  v spolupráci s Európskou komisiou výročnú správu o činnosti, ktorú uverejňuje na svojej internetovej stránke, v ktorej sú uvedené informácie o počte prijatých žiadostí, o tovare a krajinách, ktorých sa tieto žiadosti týkali a o rozhodnutiach, ktoré prijalo vo vzťahu k týmto žiadostiam.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Ministerstvo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spolupracuje s Výborom pre spoločné pravidlá na vývoz tovaru  zriadeným osobitným predpisom.</w:t>
      </w:r>
      <w:r>
        <w:rPr>
          <w:rFonts w:ascii="Times New Roman" w:hAnsi="Times New Roman" w:cs="Times New Roman"/>
          <w:vertAlign w:val="superscript"/>
        </w:rPr>
        <w:t xml:space="preserve">11) 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Pôsobnosť ministerstva zahraničných vecí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Ministerstvo pred rozhodnutím o udelení povolenia na vývoz tovaru na obmedzenie pohybu ľudí požiada ministerstvo zahraničných vecí o súhlasné  vyjadrenie. Ministerstvo zahraničných vecí pri výkone činností podľa osobitného predpisu</w:t>
      </w:r>
      <w:r>
        <w:rPr>
          <w:rFonts w:ascii="Times New Roman" w:hAnsi="Times New Roman" w:cs="Times New Roman"/>
          <w:vertAlign w:val="superscript"/>
        </w:rPr>
        <w:t>12)</w:t>
      </w:r>
      <w:r>
        <w:rPr>
          <w:rFonts w:ascii="Times New Roman" w:hAnsi="Times New Roman" w:cs="Times New Roman"/>
        </w:rPr>
        <w:t xml:space="preserve"> poskytne vyjadrenie ministerstvu do 30 dní odo dňa prijatia žiadosti; ak ministerstvo požaduje aj vyjadrenia o rozhodnutiach príslušných orgánov štátov uvedených v osobitnom predpise,</w:t>
      </w:r>
      <w:r>
        <w:rPr>
          <w:rFonts w:ascii="Times New Roman" w:hAnsi="Times New Roman" w:cs="Times New Roman"/>
          <w:vertAlign w:val="superscript"/>
        </w:rPr>
        <w:t>10)</w:t>
      </w:r>
      <w:r>
        <w:rPr>
          <w:rFonts w:ascii="Times New Roman" w:hAnsi="Times New Roman" w:cs="Times New Roman"/>
        </w:rPr>
        <w:t xml:space="preserve"> zašle mu aj tieto, ak sú mu známe.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Zamietavé vyjadrenie ministerstva zahraničných vecí k udeleniu povolenia na vývoz tovaru na obmedzenie pohybu ľudí je pre ministerstvo záväzné.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Pôsobnosť ministerstva kultúry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Ministerstvo kultúry sa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písomne vyjadrí k vývozu alebo dovozu tovaru na výstavné účely do 30 dní odo dňa prijatia žiadosti ministerstva.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</w:t>
      </w:r>
      <w:r>
        <w:rPr>
          <w:rFonts w:ascii="Times New Roman" w:hAnsi="Times New Roman" w:cs="Times New Roman"/>
          <w:sz w:val="20"/>
        </w:rPr>
        <w:t>_______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10)  </w:t>
      </w:r>
      <w:r>
        <w:rPr>
          <w:rFonts w:ascii="Times New Roman" w:hAnsi="Times New Roman" w:cs="Times New Roman"/>
          <w:sz w:val="20"/>
          <w:szCs w:val="20"/>
        </w:rPr>
        <w:t>Príloha č. I Nariadenia Rady (ES) č. 1236/2005.</w:t>
      </w: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vertAlign w:val="superscript"/>
        </w:rPr>
        <w:t>11)</w:t>
      </w:r>
      <w:r>
        <w:rPr>
          <w:rFonts w:ascii="Times New Roman" w:hAnsi="Times New Roman" w:cs="Times New Roman"/>
          <w:sz w:val="20"/>
        </w:rPr>
        <w:t xml:space="preserve">  Čl. 15 a 16 </w:t>
      </w:r>
      <w:r>
        <w:rPr>
          <w:rFonts w:ascii="Times New Roman" w:hAnsi="Times New Roman" w:cs="Times New Roman"/>
          <w:sz w:val="20"/>
          <w:szCs w:val="20"/>
        </w:rPr>
        <w:t>Nariadenia Rady (ES) č. 1236/2005.</w:t>
      </w:r>
    </w:p>
    <w:p>
      <w:pPr>
        <w:pStyle w:val="BodyText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12) </w:t>
      </w:r>
      <w:r>
        <w:rPr>
          <w:rFonts w:ascii="Times New Roman" w:hAnsi="Times New Roman" w:cs="Times New Roman"/>
          <w:sz w:val="20"/>
        </w:rPr>
        <w:t>Zákon č. 460/2002 Z. z. o vykonávaní medzinárodných sankcií zabezpečujúcich medzinárodný mier a bezpečnosť v znení zákona č.  127/2005 Z. z.</w:t>
      </w: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Zamietavé vyjadrenie ministerstva kultúry k udeleniu povolenia na vývoz alebo dovoz tovaru uvedeného v odseku 1 je pre ministerstvo záväzné.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9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Poskytovanie technickej pomoci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Súvisiaca technická pomoc podľa osobitného predpisu</w:t>
      </w:r>
      <w:r>
        <w:rPr>
          <w:rFonts w:ascii="Times New Roman" w:hAnsi="Times New Roman" w:cs="Times New Roman"/>
          <w:vertAlign w:val="superscript"/>
        </w:rPr>
        <w:t>13)</w:t>
      </w:r>
      <w:r>
        <w:rPr>
          <w:rFonts w:ascii="Times New Roman" w:hAnsi="Times New Roman" w:cs="Times New Roman"/>
        </w:rPr>
        <w:t xml:space="preserve"> sa na účely tohto zákona považuje za vývoz a týka sa aj cezhraničného pohybu fyzických osôb.</w:t>
      </w: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Colná kontrola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§ 10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Ak má ministerstvo pochybnosti o tom, či vyvážaný alebo dovážaný tovar na výstavné účely a vyvážaný tovar na obmedzenie pohybu ľudí sa skutočne vyváža alebo dováža na účel uvedený v § 3 ods. 2 písm. e) a v § 4 ods. 2 písm. e), požiada colný orgán o vykonanie kontroly.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Colný orgán vykonávajúci kontrolu oznámi výsledky kontroly ministerstvu najneskôr v lehote 15 dní odo dňa jej vykonania.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Colný orgán vykoná kontrolu aj vtedy, ak o to požiada príslušný orgán štátu dodávateľa uvedený v osobitnom predpise</w:t>
      </w:r>
      <w:r>
        <w:rPr>
          <w:rFonts w:ascii="Times New Roman" w:hAnsi="Times New Roman" w:cs="Times New Roman"/>
          <w:vertAlign w:val="superscript"/>
        </w:rPr>
        <w:t>10)</w:t>
      </w:r>
      <w:r>
        <w:rPr>
          <w:rFonts w:ascii="Times New Roman" w:hAnsi="Times New Roman" w:cs="Times New Roman"/>
        </w:rPr>
        <w:t xml:space="preserve"> prostredníctvom ministerstva a ministerstvo o výsledkoch kontroly informuje príslušný orgán štátu dodávateľa najneskôr v lehote 15 dní odo dňa, kedy mu colný orgán oznámil výsledky kontroly.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Colný orgán vykonáva kontrolu plnenia podmienok určených v udelenom povolení a povolenie porovná s formulárom vydanom podľa osobitného predpisu</w:t>
      </w:r>
      <w:r>
        <w:rPr>
          <w:rFonts w:ascii="Times New Roman" w:hAnsi="Times New Roman" w:cs="Times New Roman"/>
          <w:vertAlign w:val="superscript"/>
        </w:rPr>
        <w:t>14)</w:t>
      </w:r>
      <w:r>
        <w:rPr>
          <w:rFonts w:ascii="Times New Roman" w:hAnsi="Times New Roman" w:cs="Times New Roman"/>
        </w:rPr>
        <w:t xml:space="preserve"> v mieste, kde sa kontrolovaný tovar nachádza alebo môže nachádzať.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Ak colný orgán zistí, že na vývoz alebo dovoz nebolo udelené povolenie, vo svojej činnosti postupuje podľa osobitného predpisu.</w:t>
      </w:r>
      <w:r>
        <w:rPr>
          <w:rFonts w:ascii="Times New Roman" w:hAnsi="Times New Roman" w:cs="Times New Roman"/>
          <w:vertAlign w:val="superscript"/>
        </w:rPr>
        <w:t>15)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  <w:t>Na zabezpečenie kontrolnej činnosti vedie Colné riaditeľstvo Slovenskej republiky evidenciu vyvezeného tovaru na obmedzenie pohybu ľudí a na požiadanie poskytuje ministerstvu a iným orgánom štátnej správy potrebné informácie o uskutočnenom vývoze tohto tovaru v lehote do 15 dní odo dňa prijatia žiadosti o poskytnutie informácie, ak sa na poskytnutie informácie nevzťahuje povinnosť mlčanlivosti.</w:t>
      </w:r>
      <w:r>
        <w:rPr>
          <w:rFonts w:ascii="Times New Roman" w:hAnsi="Times New Roman" w:cs="Times New Roman"/>
          <w:vertAlign w:val="superscript"/>
        </w:rPr>
        <w:t>16)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Priestupky a iné správne delikty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(1) Fyzická osoba, ktorá poruší povinnosti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 tohto zákona, sa dopustí priestupku, za ktorý jej ministerstvo uloží pokutu vo výške 500 000 Sk.</w:t>
      </w: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13) </w:t>
      </w:r>
      <w:r>
        <w:rPr>
          <w:rFonts w:ascii="Times New Roman" w:hAnsi="Times New Roman" w:cs="Times New Roman"/>
          <w:sz w:val="20"/>
        </w:rPr>
        <w:t>Čl. 2 písm. f) Nariadenia Rady (ES) č. 1236/2005.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14)   </w:t>
      </w:r>
      <w:r>
        <w:rPr>
          <w:rFonts w:ascii="Times New Roman" w:hAnsi="Times New Roman" w:cs="Times New Roman"/>
          <w:sz w:val="20"/>
          <w:szCs w:val="20"/>
        </w:rPr>
        <w:t>Príloha V Nariadenia Rady (ES) č. 1236/2005.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15) </w:t>
      </w:r>
      <w:r>
        <w:rPr>
          <w:rFonts w:ascii="Times New Roman" w:hAnsi="Times New Roman" w:cs="Times New Roman"/>
          <w:sz w:val="20"/>
        </w:rPr>
        <w:t>Nariadenie Rady (EHS) č. 2913/92 z 12. 10. 1992, ktorým sa ustanovuje Colný kódex Európskeho spoločenstva (Mimoriadne vydanie Ú. v. EÚ, 2/zv. 4.) v platnom znení.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Zákon č. 199/2004 Z. z. Colný zákon a o zmene a doplnení niektorých zákonov v znení neskorších predpisov.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16)</w:t>
      </w:r>
      <w:r>
        <w:rPr>
          <w:rFonts w:ascii="Times New Roman" w:hAnsi="Times New Roman" w:cs="Times New Roman"/>
          <w:sz w:val="20"/>
        </w:rPr>
        <w:t xml:space="preserve"> § 59 zákona č. 652/2004 Z. z. o orgánoch štátnej správy v colníctve a o zmene a doplnení niektorých zákonov.</w:t>
      </w:r>
    </w:p>
    <w:p>
      <w:pPr>
        <w:pStyle w:val="BodyText"/>
        <w:ind w:firstLine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(2) Na priestupok podľa tohto zákona a jeho prejednávanie sa vzťahuje osobitný predpis.</w:t>
      </w:r>
      <w:r>
        <w:rPr>
          <w:rFonts w:ascii="Times New Roman" w:hAnsi="Times New Roman" w:cs="Times New Roman"/>
          <w:vertAlign w:val="superscript"/>
        </w:rPr>
        <w:t>17)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Fyzická osoba – podnikateľ a právnická osoba, ktorá poruší povinnosti podľa osobitného predpisu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 tohto zákona, sa dopustí správneho deliktu, za ktorý jej ministerstvo uloží pokutu vo výške 1 000 000 Sk; na uloženie pokuty ministerstvom sa vzťahujú odseky 9 a 10.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Fyzická osoba – podnikateľ alebo právnická osoba sa dopustia colného deliktu, ak  bez povolenia</w:t>
      </w:r>
    </w:p>
    <w:p>
      <w:pPr>
        <w:pStyle w:val="BodyText"/>
        <w:numPr>
          <w:ilvl w:val="0"/>
          <w:numId w:val="20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vyviezli alebo doviezli tovar na výstavné účely z územia Slovenskej republiky do tretích krajín alebo z tretích krajín na územie Slovenskej republiky alebo</w:t>
      </w:r>
    </w:p>
    <w:p>
      <w:pPr>
        <w:pStyle w:val="BodyText"/>
        <w:numPr>
          <w:ilvl w:val="0"/>
          <w:numId w:val="20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vyviezli tovar na obmedzenie pohybu ľudí alebo</w:t>
      </w:r>
    </w:p>
    <w:p>
      <w:pPr>
        <w:pStyle w:val="BodyText"/>
        <w:numPr>
          <w:ilvl w:val="0"/>
          <w:numId w:val="20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poskytli súvisiacu technickú pomoc podľa § 9, napriek tomu, že osobitný predpis</w:t>
      </w:r>
      <w:r>
        <w:rPr>
          <w:rFonts w:ascii="Times New Roman" w:hAnsi="Times New Roman" w:cs="Times New Roman"/>
          <w:vertAlign w:val="superscript"/>
        </w:rPr>
        <w:t xml:space="preserve">1) </w:t>
      </w:r>
      <w:r>
        <w:rPr>
          <w:rFonts w:ascii="Times New Roman" w:hAnsi="Times New Roman" w:cs="Times New Roman"/>
        </w:rPr>
        <w:t>alebo tento zákon povolenie vyžaduje.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Colný orgán uloží za colný delikt podľa odseku 4 </w:t>
      </w:r>
    </w:p>
    <w:p>
      <w:pPr>
        <w:pStyle w:val="BodyText"/>
        <w:numPr>
          <w:ilvl w:val="0"/>
          <w:numId w:val="10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pokutu do 1 000 000 Sk alebo do trojnásobku ceny tovaru, ak je táto cena vyššia ako         1 000 000 Sk,</w:t>
      </w:r>
    </w:p>
    <w:p>
      <w:pPr>
        <w:pStyle w:val="BodyText"/>
        <w:numPr>
          <w:ilvl w:val="0"/>
          <w:numId w:val="10"/>
        </w:numPr>
        <w:tabs>
          <w:tab w:val="clear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prepadnutie tovaru; vlastníkom prepadnutého tovaru sa stáva Slovenská r</w:t>
      </w:r>
      <w:r>
        <w:rPr>
          <w:rFonts w:ascii="Times New Roman" w:hAnsi="Times New Roman" w:cs="Times New Roman"/>
        </w:rPr>
        <w:t>epublika.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 Pokutu alebo prepadnutie tovaru podľa ods. 5 písm. a) a b) možno uložiť samostatne alebo v súbehu.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(7) Sankciu podľa odseku 5 uloží colný orgán rozhodnutím; pri rozhodovaní o uložení sankcie a pri výkone správy a nakladaní s prepadnutým tovarom určeným na výstavné účely, ktorého vlastníkom je štát, postupuje podľa osobitného predpisu.</w:t>
      </w:r>
      <w:r>
        <w:rPr>
          <w:rFonts w:ascii="Times New Roman" w:hAnsi="Times New Roman" w:cs="Times New Roman"/>
          <w:vertAlign w:val="superscript"/>
        </w:rPr>
        <w:t>18)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Odvolanie proti rozhodnutiu colného orgánu o uložení sankcie nemá odkladný účinok. Colný orgán, proti ktorého rozhodnutiu odvolanie smeruje, môže odkladný účinok povoliť, ak sa tým nesťaží výkon rozhodnutia alebo ak tomu nebráni verejný záujem.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Sankciu podľa odsekov 1 a 5 možno uložiť do troch rokov odo dňa, keď colný orgán zistil porušenie zákona, najneskôr však do 5 rokov odo dňa, keď k porušeniu došlo. 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(10) Sankcia podľa odsekov 1 a 5 sa určí s ohľadom na závažnosť deliktu, spôsob jeho spáchania, význam a čas trvania ohrozenia zahranično-politických, bezpečnostných alebo obchodných záujmov Slovenskej republiky a spôsobenú škodu a je príjmom štátneho rozpočtu.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Spoločné ustanovenia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§ 13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  <w:t>(1) Povolenia podľa tohto zákona sú neprenosné, neprevoditeľné a nepodliehajú prechodu práv, ani exekučnému konaniu, výkonu rozhodnutia, konkurznému konaniu a dedičskému konaniu.</w:t>
      </w:r>
      <w:r>
        <w:rPr>
          <w:rFonts w:ascii="Times New Roman" w:hAnsi="Times New Roman" w:cs="Times New Roman"/>
          <w:vertAlign w:val="superscript"/>
        </w:rPr>
        <w:t>19)</w:t>
      </w: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17)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Zákon č.  372/1990 Zb. o priestupkoch v znení neskorších predpisov.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vertAlign w:val="superscript"/>
        </w:rPr>
        <w:t>18)</w:t>
      </w:r>
      <w:r>
        <w:rPr>
          <w:rFonts w:ascii="Times New Roman" w:hAnsi="Times New Roman" w:cs="Times New Roman"/>
          <w:sz w:val="20"/>
        </w:rPr>
        <w:t xml:space="preserve"> Zákon č. 199/2004 Z. z. Colný zákon a o zmene a doplnení niektorých zákonov v znení neskorších predpisov.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19)</w:t>
      </w:r>
      <w:r>
        <w:rPr>
          <w:rFonts w:ascii="Times New Roman" w:hAnsi="Times New Roman" w:cs="Times New Roman"/>
          <w:sz w:val="20"/>
        </w:rPr>
        <w:t xml:space="preserve"> Zákon Národnej rady Slovenskej republiky č. 233/1995 Z. z. o súdnych exekútoroch a exekučnej činnosti (Exekučný poriadok) a o zmene a doplnení ďalších zákonov v znení neskorších predpisov.</w:t>
      </w:r>
    </w:p>
    <w:p>
      <w:pPr>
        <w:pStyle w:val="BodyText"/>
        <w:ind w:left="180" w:hanging="1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Zákon č. 7/2005 Z. z. o konkurze a reštrukturalizácii a o zmene a doplnení niektorých zákonov v znení zákona   č. 353/2005 Z. z. 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§ 460 až 487 Občianskeho zákonníka.</w:t>
      </w: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Ministerstvo vydá dovozcovi spolu s povolením aj medzinárodný dovozný certifikát v prípade, že o jeho vydanie požiada dodávateľ z tretej krajiny. Medzinárodný dovozný certifikát obsahuje údaje zhodné s dovozným povolením.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Colný orgán potvrdí dovozcovi po uskutočnenom dovoze doklad o overení dodávky, ak tento doklad požaduje zahraničný dodávateľ. V prípade zistenia nedostatkov pri dovezenom tovare colný orgán informuje o tejto skutočnosti prostredníctvom ministerstva príslušný štátny orgán krajiny vývozcu.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konanie podľa tohto zákona sa vzťahuje všeobecný predpis o správnom konaní</w:t>
      </w:r>
      <w:r>
        <w:rPr>
          <w:rFonts w:ascii="Times New Roman" w:hAnsi="Times New Roman" w:cs="Times New Roman"/>
          <w:vertAlign w:val="superscript"/>
        </w:rPr>
        <w:t>20)</w:t>
      </w:r>
      <w:r>
        <w:rPr>
          <w:rFonts w:ascii="Times New Roman" w:hAnsi="Times New Roman" w:cs="Times New Roman"/>
        </w:rPr>
        <w:t xml:space="preserve"> okrem odkladného účinku odvolania proti rozhodnutiu colného orgánu podľa § 12 ods. 8.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15</w:t>
      </w:r>
    </w:p>
    <w:p>
      <w:pPr>
        <w:pStyle w:val="BodyText"/>
        <w:jc w:val="center"/>
        <w:rPr>
          <w:rFonts w:ascii="Times New Roman" w:hAnsi="Times New Roman" w:cs="Times New Roman"/>
        </w:rPr>
      </w:pPr>
    </w:p>
    <w:p>
      <w:pPr>
        <w:pStyle w:val="BodyTex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októbra 2007.</w:t>
      </w:r>
    </w:p>
    <w:p>
      <w:pPr>
        <w:pStyle w:val="BodyText"/>
        <w:rPr>
          <w:rFonts w:ascii="Times New Roman" w:hAnsi="Times New Roman" w:cs="Times New Roman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  <w:szCs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</w:p>
    <w:p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20) </w:t>
      </w:r>
      <w:r>
        <w:rPr>
          <w:rFonts w:ascii="Times New Roman" w:hAnsi="Times New Roman" w:cs="Times New Roman"/>
          <w:sz w:val="20"/>
        </w:rPr>
        <w:t xml:space="preserve"> Zákon č. 71/1967 Zb. o správnom konaní (správny poriadok) v znení neskorších predpisov.</w:t>
      </w:r>
    </w:p>
    <w:sectPr>
      <w:footerReference w:type="even" r:id="rId4"/>
      <w:footerReference w:type="default" r:id="rId5"/>
      <w:pgSz w:w="11906" w:h="16838"/>
      <w:pgMar w:top="1134" w:right="1418" w:bottom="1134" w:left="1418" w:header="709" w:footer="567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</w:rPr>
    </w:pPr>
    <w:r>
      <w:rPr>
        <w:rStyle w:val="PageNumber"/>
        <w:rFonts w:ascii="Times New Roman" w:hAnsi="Times New Roman" w:cs="Times New Roman"/>
        <w:sz w:val="22"/>
      </w:rPr>
      <w:fldChar w:fldCharType="begin"/>
    </w:r>
    <w:r>
      <w:rPr>
        <w:rStyle w:val="PageNumber"/>
        <w:rFonts w:ascii="Times New Roman" w:hAnsi="Times New Roman" w:cs="Times New Roman"/>
        <w:sz w:val="22"/>
      </w:rPr>
      <w:instrText xml:space="preserve">PAGE  </w:instrText>
    </w:r>
    <w:r>
      <w:rPr>
        <w:rStyle w:val="PageNumber"/>
        <w:rFonts w:ascii="Times New Roman" w:hAnsi="Times New Roman" w:cs="Times New Roman"/>
        <w:sz w:val="22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</w:rPr>
      <w:t>5</w:t>
    </w:r>
    <w:r>
      <w:rPr>
        <w:rStyle w:val="PageNumber"/>
        <w:rFonts w:ascii="Times New Roman" w:hAnsi="Times New Roman" w:cs="Times New Roman"/>
        <w:sz w:val="22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4F14"/>
    <w:multiLevelType w:val="hybridMultilevel"/>
    <w:tmpl w:val="04C8B49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8F20C1"/>
    <w:multiLevelType w:val="hybridMultilevel"/>
    <w:tmpl w:val="6BEA58E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666AD"/>
    <w:multiLevelType w:val="hybridMultilevel"/>
    <w:tmpl w:val="3460D02C"/>
    <w:lvl w:ilvl="0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B1091"/>
    <w:multiLevelType w:val="hybridMultilevel"/>
    <w:tmpl w:val="7F8EE93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529D5"/>
    <w:multiLevelType w:val="hybridMultilevel"/>
    <w:tmpl w:val="899C9A7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220ED7"/>
    <w:multiLevelType w:val="hybridMultilevel"/>
    <w:tmpl w:val="0E5677B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70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34813"/>
    <w:multiLevelType w:val="hybridMultilevel"/>
    <w:tmpl w:val="6478CD4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35BC7"/>
    <w:multiLevelType w:val="hybridMultilevel"/>
    <w:tmpl w:val="638423F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CC37E8"/>
    <w:multiLevelType w:val="hybridMultilevel"/>
    <w:tmpl w:val="FD58C49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C65A11"/>
    <w:multiLevelType w:val="hybridMultilevel"/>
    <w:tmpl w:val="FF04D9F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20C69"/>
    <w:multiLevelType w:val="hybridMultilevel"/>
    <w:tmpl w:val="7F44E99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F8592E"/>
    <w:multiLevelType w:val="hybridMultilevel"/>
    <w:tmpl w:val="D38E7BF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B50188"/>
    <w:multiLevelType w:val="hybridMultilevel"/>
    <w:tmpl w:val="E46A62E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D17EFE"/>
    <w:multiLevelType w:val="hybridMultilevel"/>
    <w:tmpl w:val="36B653B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F10CAB"/>
    <w:multiLevelType w:val="hybridMultilevel"/>
    <w:tmpl w:val="CDD620F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02A7B92"/>
    <w:multiLevelType w:val="hybridMultilevel"/>
    <w:tmpl w:val="542C992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20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230F24"/>
    <w:multiLevelType w:val="hybridMultilevel"/>
    <w:tmpl w:val="398AF53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82735"/>
    <w:multiLevelType w:val="hybridMultilevel"/>
    <w:tmpl w:val="C6789EC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B35B72"/>
    <w:multiLevelType w:val="hybridMultilevel"/>
    <w:tmpl w:val="F65E231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4B1F04"/>
    <w:multiLevelType w:val="hybridMultilevel"/>
    <w:tmpl w:val="3690966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390967"/>
    <w:multiLevelType w:val="hybridMultilevel"/>
    <w:tmpl w:val="BBCC149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1"/>
  </w:num>
  <w:num w:numId="5">
    <w:abstractNumId w:val="10"/>
  </w:num>
  <w:num w:numId="6">
    <w:abstractNumId w:val="19"/>
  </w:num>
  <w:num w:numId="7">
    <w:abstractNumId w:val="7"/>
  </w:num>
  <w:num w:numId="8">
    <w:abstractNumId w:val="5"/>
  </w:num>
  <w:num w:numId="9">
    <w:abstractNumId w:val="9"/>
  </w:num>
  <w:num w:numId="10">
    <w:abstractNumId w:val="15"/>
  </w:num>
  <w:num w:numId="11">
    <w:abstractNumId w:val="4"/>
  </w:num>
  <w:num w:numId="12">
    <w:abstractNumId w:val="2"/>
  </w:num>
  <w:num w:numId="13">
    <w:abstractNumId w:val="14"/>
  </w:num>
  <w:num w:numId="14">
    <w:abstractNumId w:val="20"/>
  </w:num>
  <w:num w:numId="15">
    <w:abstractNumId w:val="3"/>
  </w:num>
  <w:num w:numId="16">
    <w:abstractNumId w:val="8"/>
  </w:num>
  <w:num w:numId="17">
    <w:abstractNumId w:val="18"/>
  </w:num>
  <w:num w:numId="18">
    <w:abstractNumId w:val="16"/>
  </w:num>
  <w:num w:numId="19">
    <w:abstractNumId w:val="1"/>
  </w:num>
  <w:num w:numId="20">
    <w:abstractNumId w:val="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100" w:beforeAutospacing="1" w:after="100" w:afterAutospacing="1"/>
      <w:jc w:val="center"/>
      <w:outlineLvl w:val="2"/>
    </w:pPr>
    <w:rPr>
      <w:b/>
      <w:bCs/>
      <w:color w:val="00000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uiPriority w:val="10"/>
    <w:qFormat/>
    <w:pP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337</TotalTime>
  <Pages>1</Pages>
  <Words>2393</Words>
  <Characters>13645</Characters>
  <Application>Microsoft Office Word</Application>
  <DocSecurity>0</DocSecurity>
  <Lines>0</Lines>
  <Paragraphs>0</Paragraphs>
  <ScaleCrop>false</ScaleCrop>
  <Company>MH SR</Company>
  <LinksUpToDate>false</LinksUpToDate>
  <CharactersWithSpaces>16757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Talapkova</dc:creator>
  <cp:lastModifiedBy>Talapkova</cp:lastModifiedBy>
  <cp:revision>372</cp:revision>
  <cp:lastPrinted>2007-05-14T11:26:00Z</cp:lastPrinted>
  <dcterms:created xsi:type="dcterms:W3CDTF">2007-03-15T11:16:00Z</dcterms:created>
  <dcterms:modified xsi:type="dcterms:W3CDTF">2007-05-14T11:26:00Z</dcterms:modified>
</cp:coreProperties>
</file>