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b/>
          <w:bCs/>
          <w:sz w:val="24"/>
        </w:rPr>
      </w:pPr>
      <w:r>
        <w:rPr>
          <w:rFonts w:ascii="Times New Roman" w:hAnsi="Times New Roman" w:cs="Times New Roman"/>
          <w:b/>
          <w:bCs/>
          <w:sz w:val="24"/>
        </w:rPr>
        <w:t xml:space="preserve">Dôvodová správa </w:t>
      </w:r>
    </w:p>
    <w:p>
      <w:pPr>
        <w:pStyle w:val="Heading1"/>
        <w:spacing w:before="120" w:after="120"/>
        <w:jc w:val="both"/>
        <w:rPr>
          <w:rFonts w:ascii="Times New Roman" w:hAnsi="Times New Roman" w:cs="Times New Roman"/>
          <w:sz w:val="24"/>
        </w:rPr>
      </w:pPr>
    </w:p>
    <w:p>
      <w:pPr>
        <w:pStyle w:val="Heading1"/>
        <w:spacing w:before="120" w:after="120"/>
        <w:jc w:val="both"/>
        <w:rPr>
          <w:rFonts w:ascii="Times New Roman" w:hAnsi="Times New Roman" w:cs="Times New Roman"/>
        </w:rPr>
      </w:pPr>
      <w:r>
        <w:rPr>
          <w:rFonts w:ascii="Times New Roman" w:hAnsi="Times New Roman" w:cs="Times New Roman"/>
          <w:sz w:val="24"/>
        </w:rPr>
        <w:t>Všeobecná časť</w:t>
      </w:r>
    </w:p>
    <w:p>
      <w:pPr>
        <w:pStyle w:val="BodyText"/>
        <w:jc w:val="both"/>
        <w:rPr>
          <w:rFonts w:ascii="Times New Roman" w:hAnsi="Times New Roman" w:cs="Times New Roman"/>
        </w:rPr>
      </w:pPr>
    </w:p>
    <w:p>
      <w:pPr>
        <w:pStyle w:val="BodyText"/>
        <w:jc w:val="both"/>
        <w:rPr>
          <w:rFonts w:ascii="Times New Roman" w:hAnsi="Times New Roman" w:cs="Times New Roman"/>
        </w:rPr>
      </w:pPr>
    </w:p>
    <w:p>
      <w:pPr>
        <w:pStyle w:val="BodyText"/>
        <w:ind w:firstLine="708"/>
        <w:jc w:val="both"/>
        <w:rPr>
          <w:rFonts w:ascii="Times New Roman" w:hAnsi="Times New Roman" w:cs="Times New Roman"/>
          <w:b/>
          <w:bCs/>
        </w:rPr>
      </w:pPr>
      <w:r>
        <w:rPr>
          <w:rFonts w:ascii="Times New Roman" w:hAnsi="Times New Roman" w:cs="Times New Roman"/>
        </w:rPr>
        <w:t xml:space="preserve">V právnom systéme Slovenskej republiky doteraz absentuje zákon, ktorý by vylučoval pôsobnosť exteritoriálnych zákonov tretích krajín na subjekty práva (fyzické osoby a právnické osoby), ktoré rozvíjajú hospodárske, finančné a iné aktivity s krajinami, na ktoré je uvalená exteritoriálna pôsobnosť zákonov tretích krajín. Návrh zákona sa predkladá ako iniciatívny materiál s ohľadom na omeškanie transpozičnej lehoty uvedenej v nariadení Rady (ES) č. 2271/96 z 22. novembra 1996, ktoré bolo zmenené a doplnené nariadením Rady (ES) č. 807/2003 zo 14. apríla 2003. </w:t>
      </w:r>
    </w:p>
    <w:p>
      <w:pPr>
        <w:pStyle w:val="BodyText"/>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Návrh zákona upravuje úlohy orgánov štátnej správy pri ochrane pred exteritoriálnymi účinkami rozhodnutí tretích krajín. V prílohe nariadenia sú taxatívne vymenované zákony. Ide o zákony Spojených štátov, týkajúcich sa Kuby, na základe ktorých sa obmedzuje dovoz akýchkoľvek výrobkov alebo služieb Kubánskeho pôvodu alebo týkajúcich sa materiálov alebo výrobkov Kubánskeho pôvodu do USA či priamo alebo cez tretie krajiny realizovaním obchodnej činnosti, ktorá je alebo bola umiestnená na Kube alebo bola dopravovaná z alebo cez Kubu. Exteritoriálne zákony USA upravujú zákaz nakladania alebo vykladania nákladu z plavidiel na ktoromkoľvek mieste USA alebo vstup do prístavu USA.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Zákony tretích krajín (USA) požadujú, aby osoby uvedené v § 2 odmietali dovážať akékoľvek výrobky alebo služby Kubánskeho pôvodu a dovážať na Kubu výrobky alebo služby, ktoré majú pôvod v USA, pričom USA môže blokovať aj finančné transakcie, na ktorých sa podieľa Kuba. Takéto požiadavky exteritoriálneho zákona môžu poškodiť záujmy Európskeho spoločenstva a Európskej únie vrátane Slovenskej republiky.</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Zákony zamerané proti Kube sa zameriavajú aj na obchodovanie s nehnuteľnosťami, ktoré boli pôvodne vo vlastníctve osôb z USA. Takéto obchodovanie zákonník USA považuje za  nezákonné a USA môže  zamedziť vstupu osobám zúčastňujúcim sa na nezákonnom obchodovaní vrátane ich manželiek, manželov, nedospelých detí alebo ich sprostredkovateľov, čím môže dôjsť k poško</w:t>
      </w:r>
      <w:r>
        <w:rPr>
          <w:rFonts w:ascii="Times New Roman" w:hAnsi="Times New Roman" w:cs="Times New Roman"/>
        </w:rPr>
        <w:t xml:space="preserve">deniu záujmov ES a EÚ vrátane Slovenskej republiky.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 dôvodov uvedených v predchádzajúcich dvoch odsekoch návrh zákona určuje štátnym orgánom Slovenskej republiky, a to Ministerstvu financií SR, Ministerstvu hospodárstva SR a Ministerstvu výstavby a regionálneho rozvoja SR vykonávať úlohy vyplývajúce pre Slovenskú republiku z nariadenia Rady (ES) č. 2271/96 vrátane ukladania primeraných sankcií.</w:t>
      </w:r>
    </w:p>
    <w:p>
      <w:pPr>
        <w:ind w:firstLine="708"/>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Návrh zákona je v súlade s Ústavou Slovenskej republiky a s medzinárodnými zmluvami, ktorými je Slovenská rep</w:t>
      </w:r>
      <w:r>
        <w:rPr>
          <w:rFonts w:ascii="Times New Roman" w:hAnsi="Times New Roman" w:cs="Times New Roman"/>
        </w:rPr>
        <w:t xml:space="preserve">ublika viazaná.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Návrh zákona bol prerokovaný v Legislatívnej rade vlády SR dňa 17. apríla 2007 s pripomienkami, ktoré sú v návrhu zákona zapracované. Návrh zákona sa na rokovanie vlády predkladá bez rozporov.</w:t>
      </w:r>
    </w:p>
    <w:p>
      <w:pPr>
        <w:spacing w:before="120" w:after="120"/>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DOLOŽKA ZLUČITEĽNOSTI</w:t>
      </w:r>
    </w:p>
    <w:p>
      <w:pPr>
        <w:jc w:val="center"/>
        <w:rPr>
          <w:rFonts w:ascii="Times New Roman" w:hAnsi="Times New Roman" w:cs="Times New Roman"/>
          <w:b/>
          <w:bCs/>
        </w:rPr>
      </w:pPr>
      <w:r>
        <w:rPr>
          <w:rFonts w:ascii="Times New Roman" w:hAnsi="Times New Roman" w:cs="Times New Roman"/>
          <w:b/>
          <w:bCs/>
        </w:rPr>
        <w:t>právneho predpisu</w:t>
      </w:r>
    </w:p>
    <w:p>
      <w:pPr>
        <w:jc w:val="center"/>
        <w:rPr>
          <w:rFonts w:ascii="Times New Roman" w:hAnsi="Times New Roman" w:cs="Times New Roman"/>
          <w:b/>
          <w:bCs/>
        </w:rPr>
      </w:pPr>
      <w:r>
        <w:rPr>
          <w:rFonts w:ascii="Times New Roman" w:hAnsi="Times New Roman" w:cs="Times New Roman"/>
          <w:b/>
          <w:bCs/>
        </w:rPr>
        <w:t>s právom Európskych spoločenstiev a právom Európskej únie</w:t>
      </w:r>
    </w:p>
    <w:p>
      <w:pPr>
        <w:jc w:val="both"/>
        <w:rPr>
          <w:rFonts w:ascii="Times New Roman" w:hAnsi="Times New Roman" w:cs="Times New Roman"/>
          <w:b/>
          <w:bCs/>
        </w:rPr>
      </w:pPr>
    </w:p>
    <w:p>
      <w:pPr>
        <w:jc w:val="both"/>
        <w:rPr>
          <w:rFonts w:ascii="Times New Roman" w:hAnsi="Times New Roman" w:cs="Times New Roman"/>
          <w:b/>
          <w:bCs/>
        </w:rPr>
      </w:pPr>
    </w:p>
    <w:p>
      <w:pPr>
        <w:numPr>
          <w:ilvl w:val="0"/>
          <w:numId w:val="6"/>
        </w:numPr>
        <w:tabs>
          <w:tab w:val="left" w:pos="360"/>
        </w:tabs>
        <w:jc w:val="both"/>
        <w:rPr>
          <w:rFonts w:ascii="Times New Roman" w:hAnsi="Times New Roman" w:cs="Times New Roman"/>
        </w:rPr>
      </w:pPr>
      <w:r>
        <w:rPr>
          <w:rFonts w:ascii="Times New Roman" w:hAnsi="Times New Roman" w:cs="Times New Roman"/>
          <w:b/>
          <w:bCs/>
        </w:rPr>
        <w:t>Predkladateľ právneho predpisu:</w:t>
      </w:r>
      <w:r>
        <w:rPr>
          <w:rFonts w:ascii="Times New Roman" w:hAnsi="Times New Roman" w:cs="Times New Roman"/>
        </w:rPr>
        <w:t xml:space="preserve"> Vláda Slovenskej republiky</w:t>
      </w:r>
    </w:p>
    <w:p>
      <w:pPr>
        <w:jc w:val="both"/>
        <w:rPr>
          <w:rFonts w:ascii="Times New Roman" w:hAnsi="Times New Roman" w:cs="Times New Roman"/>
        </w:rPr>
      </w:pPr>
    </w:p>
    <w:p>
      <w:pPr>
        <w:numPr>
          <w:ilvl w:val="0"/>
          <w:numId w:val="5"/>
        </w:numPr>
        <w:tabs>
          <w:tab w:val="left" w:pos="360"/>
        </w:tabs>
        <w:jc w:val="both"/>
        <w:rPr>
          <w:rFonts w:ascii="Times New Roman" w:hAnsi="Times New Roman" w:cs="Times New Roman"/>
          <w:b/>
          <w:bCs/>
        </w:rPr>
      </w:pPr>
      <w:r>
        <w:rPr>
          <w:rFonts w:ascii="Times New Roman" w:hAnsi="Times New Roman" w:cs="Times New Roman"/>
          <w:b/>
          <w:bCs/>
        </w:rPr>
        <w:t>Názov návrhu právneho predpisu:</w:t>
      </w:r>
      <w:r>
        <w:rPr>
          <w:rFonts w:ascii="Times New Roman" w:hAnsi="Times New Roman" w:cs="Times New Roman"/>
        </w:rPr>
        <w:t xml:space="preserve"> Návrh zákona o ochrane pred uplatňovaním exteritoriálnych účinkov právnych predpisov tretích krajín</w:t>
      </w:r>
    </w:p>
    <w:p>
      <w:pPr>
        <w:jc w:val="both"/>
        <w:rPr>
          <w:rFonts w:ascii="Times New Roman" w:hAnsi="Times New Roman" w:cs="Times New Roman"/>
          <w:bCs/>
        </w:rPr>
      </w:pPr>
    </w:p>
    <w:p>
      <w:pPr>
        <w:numPr>
          <w:ilvl w:val="0"/>
          <w:numId w:val="5"/>
        </w:numPr>
        <w:tabs>
          <w:tab w:val="left" w:pos="360"/>
        </w:tabs>
        <w:jc w:val="both"/>
        <w:rPr>
          <w:rFonts w:ascii="Times New Roman" w:hAnsi="Times New Roman" w:cs="Times New Roman"/>
          <w:b/>
          <w:bCs/>
        </w:rPr>
      </w:pPr>
      <w:r>
        <w:rPr>
          <w:rFonts w:ascii="Times New Roman" w:hAnsi="Times New Roman" w:cs="Times New Roman"/>
          <w:b/>
          <w:bCs/>
        </w:rPr>
        <w:t>Proble</w:t>
      </w:r>
      <w:r>
        <w:rPr>
          <w:rFonts w:ascii="Times New Roman" w:hAnsi="Times New Roman" w:cs="Times New Roman"/>
          <w:b/>
          <w:bCs/>
        </w:rPr>
        <w:t>matika návrhu právneho predpisu:</w:t>
      </w:r>
    </w:p>
    <w:p>
      <w:pPr>
        <w:pStyle w:val="BodyText2"/>
        <w:numPr>
          <w:ilvl w:val="1"/>
          <w:numId w:val="2"/>
        </w:numPr>
        <w:tabs>
          <w:tab w:val="left" w:pos="700"/>
        </w:tabs>
        <w:spacing w:after="0" w:line="240" w:lineRule="auto"/>
        <w:rPr>
          <w:rFonts w:ascii="Times New Roman" w:hAnsi="Times New Roman" w:cs="Times New Roman"/>
        </w:rPr>
      </w:pPr>
      <w:r>
        <w:rPr>
          <w:rFonts w:ascii="Times New Roman" w:hAnsi="Times New Roman" w:cs="Times New Roman"/>
        </w:rPr>
        <w:t>je upravená v práve Európskych spoločenstiev:</w:t>
      </w:r>
    </w:p>
    <w:p>
      <w:pPr>
        <w:pStyle w:val="BodyText2"/>
        <w:numPr>
          <w:ilvl w:val="2"/>
          <w:numId w:val="2"/>
        </w:numPr>
        <w:tabs>
          <w:tab w:val="left" w:pos="1040"/>
        </w:tabs>
        <w:spacing w:after="0" w:line="240" w:lineRule="auto"/>
        <w:rPr>
          <w:rFonts w:ascii="Times New Roman" w:hAnsi="Times New Roman" w:cs="Times New Roman"/>
        </w:rPr>
      </w:pPr>
      <w:r>
        <w:rPr>
          <w:rFonts w:ascii="Times New Roman" w:hAnsi="Times New Roman" w:cs="Times New Roman"/>
        </w:rPr>
        <w:t>primárnom práve v článku 57, 133 a 308 Zmluvy o založení ES,</w:t>
      </w:r>
    </w:p>
    <w:p>
      <w:pPr>
        <w:pStyle w:val="BodyText2"/>
        <w:numPr>
          <w:ilvl w:val="2"/>
          <w:numId w:val="2"/>
        </w:numPr>
        <w:tabs>
          <w:tab w:val="left" w:pos="1040"/>
        </w:tabs>
        <w:spacing w:after="0" w:line="240" w:lineRule="auto"/>
        <w:jc w:val="both"/>
        <w:rPr>
          <w:rFonts w:ascii="Times New Roman" w:hAnsi="Times New Roman" w:cs="Times New Roman"/>
        </w:rPr>
      </w:pPr>
      <w:r>
        <w:rPr>
          <w:rFonts w:ascii="Times New Roman" w:hAnsi="Times New Roman" w:cs="Times New Roman"/>
        </w:rPr>
        <w:t>sekundárnom práve: Nariadenie Rady (ES) č. 2271/96 z 22.11.1996 o ochrane pred účinkami uplatňovania právnych predpisov prijatých treťou krajinou mimo jej územia a pred účinkami opatrení na nich založených alebo z nich vyplývajúcich (Mimoriadne vydanie Ú. v. EÚ, 10/zv.1), ktoré bolo zmenené a doplnené nariadením Rady (ES) č. 807/2003 zo 14. apríla 2003,</w:t>
      </w:r>
    </w:p>
    <w:p>
      <w:pPr>
        <w:numPr>
          <w:ilvl w:val="0"/>
          <w:numId w:val="4"/>
        </w:numPr>
        <w:tabs>
          <w:tab w:val="left" w:pos="700"/>
        </w:tabs>
        <w:jc w:val="both"/>
        <w:rPr>
          <w:rFonts w:ascii="Times New Roman" w:hAnsi="Times New Roman" w:cs="Times New Roman"/>
        </w:rPr>
      </w:pPr>
      <w:r>
        <w:rPr>
          <w:rFonts w:ascii="Times New Roman" w:hAnsi="Times New Roman" w:cs="Times New Roman"/>
        </w:rPr>
        <w:t xml:space="preserve">nie je upravená </w:t>
      </w:r>
      <w:r>
        <w:rPr>
          <w:rFonts w:ascii="Times New Roman" w:hAnsi="Times New Roman" w:cs="Times New Roman"/>
        </w:rPr>
        <w:t>v práve Európskej únie,</w:t>
        <w:tab/>
      </w:r>
    </w:p>
    <w:p>
      <w:pPr>
        <w:numPr>
          <w:ilvl w:val="0"/>
          <w:numId w:val="4"/>
        </w:numPr>
        <w:tabs>
          <w:tab w:val="left" w:pos="700"/>
        </w:tabs>
        <w:jc w:val="both"/>
        <w:rPr>
          <w:rFonts w:ascii="Times New Roman" w:hAnsi="Times New Roman" w:cs="Times New Roman"/>
        </w:rPr>
      </w:pPr>
      <w:r>
        <w:rPr>
          <w:rFonts w:ascii="Times New Roman" w:hAnsi="Times New Roman" w:cs="Times New Roman"/>
        </w:rPr>
        <w:t xml:space="preserve">nie je obsiahnutá v judikatúre Súdneho dvora Európskych spoločenstiev alebo Súdu prvého stupňa Európskych spoločenstiev. </w:t>
      </w:r>
    </w:p>
    <w:p>
      <w:pPr>
        <w:jc w:val="both"/>
        <w:rPr>
          <w:rFonts w:ascii="Times New Roman" w:hAnsi="Times New Roman" w:cs="Times New Roman"/>
          <w:b/>
          <w:bCs/>
        </w:rPr>
      </w:pPr>
    </w:p>
    <w:p>
      <w:pPr>
        <w:pStyle w:val="BodyText"/>
        <w:numPr>
          <w:ilvl w:val="1"/>
          <w:numId w:val="1"/>
        </w:numPr>
        <w:tabs>
          <w:tab w:val="left" w:pos="360"/>
        </w:tabs>
        <w:jc w:val="left"/>
        <w:rPr>
          <w:rFonts w:ascii="Times New Roman" w:hAnsi="Times New Roman" w:cs="Times New Roman"/>
        </w:rPr>
      </w:pPr>
      <w:r>
        <w:rPr>
          <w:rFonts w:ascii="Times New Roman" w:hAnsi="Times New Roman" w:cs="Times New Roman"/>
          <w:b/>
          <w:bCs/>
        </w:rPr>
        <w:t>Záväzky Slovenskej republiky vo vzťahu k Európskym spoločenstvám a Európskej únii:</w:t>
      </w:r>
    </w:p>
    <w:p>
      <w:pPr>
        <w:numPr>
          <w:ilvl w:val="2"/>
          <w:numId w:val="1"/>
        </w:numPr>
        <w:tabs>
          <w:tab w:val="left" w:pos="700"/>
        </w:tabs>
        <w:jc w:val="both"/>
        <w:rPr>
          <w:rFonts w:ascii="Times New Roman" w:hAnsi="Times New Roman" w:cs="Times New Roman"/>
        </w:rPr>
      </w:pPr>
      <w:r>
        <w:rPr>
          <w:rFonts w:ascii="Times New Roman" w:hAnsi="Times New Roman" w:cs="Times New Roman"/>
        </w:rPr>
        <w:t>identifikácia záväzkov vy</w:t>
      </w:r>
      <w:r>
        <w:rPr>
          <w:rFonts w:ascii="Times New Roman" w:hAnsi="Times New Roman" w:cs="Times New Roman"/>
        </w:rPr>
        <w:t xml:space="preserve">plývajúcich z Aktu o podmienkach pristúpenia pripojenom k Zmluve o pristúpení Slovenskej republiky k Európskej únii, </w:t>
      </w:r>
      <w:r>
        <w:rPr>
          <w:rFonts w:ascii="Times New Roman" w:hAnsi="Times New Roman" w:cs="Times New Roman"/>
          <w:bCs/>
        </w:rPr>
        <w:t>nevyplývajú pre SR žiadne záväzky,</w:t>
      </w:r>
    </w:p>
    <w:p>
      <w:pPr>
        <w:numPr>
          <w:ilvl w:val="2"/>
          <w:numId w:val="1"/>
        </w:numPr>
        <w:tabs>
          <w:tab w:val="left" w:pos="700"/>
        </w:tabs>
        <w:jc w:val="both"/>
        <w:rPr>
          <w:rFonts w:ascii="Times New Roman" w:hAnsi="Times New Roman" w:cs="Times New Roman"/>
        </w:rPr>
      </w:pPr>
      <w:r>
        <w:rPr>
          <w:rFonts w:ascii="Times New Roman" w:hAnsi="Times New Roman" w:cs="Times New Roman"/>
        </w:rPr>
        <w:t>identifikácia prechodných období vyplývajúcich z Aktu o podmienkach pristúpenia pripojenom k Zmluve o pr</w:t>
      </w:r>
      <w:r>
        <w:rPr>
          <w:rFonts w:ascii="Times New Roman" w:hAnsi="Times New Roman" w:cs="Times New Roman"/>
        </w:rPr>
        <w:t xml:space="preserve">istúpení Slovenskej republiky k Európskej únii, </w:t>
      </w:r>
      <w:r>
        <w:rPr>
          <w:rFonts w:ascii="Times New Roman" w:hAnsi="Times New Roman" w:cs="Times New Roman"/>
          <w:bCs/>
        </w:rPr>
        <w:t>nepožiadala SR o žiadne prechodné obdobia</w:t>
      </w:r>
    </w:p>
    <w:p>
      <w:pPr>
        <w:numPr>
          <w:ilvl w:val="2"/>
          <w:numId w:val="1"/>
        </w:numPr>
        <w:tabs>
          <w:tab w:val="left" w:pos="700"/>
        </w:tabs>
        <w:jc w:val="both"/>
        <w:rPr>
          <w:rFonts w:ascii="Times New Roman" w:hAnsi="Times New Roman" w:cs="Times New Roman"/>
        </w:rPr>
      </w:pPr>
      <w:r>
        <w:rPr>
          <w:rFonts w:ascii="Times New Roman" w:hAnsi="Times New Roman" w:cs="Times New Roman"/>
        </w:rPr>
        <w:t xml:space="preserve">lehota na implementáciu nariadenia č. 2271/96 z 22.11.1996 do 1. mája 2005.  </w:t>
      </w:r>
    </w:p>
    <w:p>
      <w:pPr>
        <w:numPr>
          <w:ilvl w:val="2"/>
          <w:numId w:val="1"/>
        </w:numPr>
        <w:tabs>
          <w:tab w:val="left" w:pos="700"/>
        </w:tabs>
        <w:ind w:left="720" w:hanging="360"/>
        <w:jc w:val="both"/>
        <w:rPr>
          <w:rFonts w:ascii="Times New Roman" w:hAnsi="Times New Roman" w:cs="Times New Roman"/>
        </w:rPr>
      </w:pPr>
      <w:r>
        <w:rPr>
          <w:rFonts w:ascii="Times New Roman" w:hAnsi="Times New Roman" w:cs="Times New Roman"/>
        </w:rPr>
        <w:t>informácia o konaní začatom proti Slovenskej republike o porušení Zmluvy o založení Európskych spoločenstiev podľa čl. 226 až 228 Zmluvy o založení Európskych spoločenstiev v platnom znení,</w:t>
      </w:r>
    </w:p>
    <w:p>
      <w:pPr>
        <w:pStyle w:val="BodyTextIndent2"/>
        <w:spacing w:after="0" w:line="240" w:lineRule="auto"/>
        <w:ind w:left="720"/>
        <w:jc w:val="both"/>
        <w:rPr>
          <w:rFonts w:ascii="Times New Roman" w:hAnsi="Times New Roman" w:cs="Times New Roman"/>
        </w:rPr>
      </w:pPr>
      <w:r>
        <w:rPr>
          <w:rFonts w:ascii="Times New Roman" w:hAnsi="Times New Roman" w:cs="Times New Roman"/>
        </w:rPr>
        <w:t>Proti Slovenskej republike nebolo v tejto veci začaté konanie o porušení Zmluvy o založení ES,</w:t>
      </w:r>
    </w:p>
    <w:p>
      <w:pPr>
        <w:pStyle w:val="BodyTextIndent2"/>
        <w:numPr>
          <w:ilvl w:val="3"/>
          <w:numId w:val="1"/>
        </w:numPr>
        <w:tabs>
          <w:tab w:val="left" w:pos="700"/>
        </w:tabs>
        <w:spacing w:after="0" w:line="240" w:lineRule="auto"/>
        <w:ind w:left="720" w:hanging="360"/>
        <w:rPr>
          <w:rFonts w:ascii="Times New Roman" w:hAnsi="Times New Roman" w:cs="Times New Roman"/>
        </w:rPr>
      </w:pPr>
      <w:r>
        <w:rPr>
          <w:rFonts w:ascii="Times New Roman" w:hAnsi="Times New Roman" w:cs="Times New Roman"/>
        </w:rPr>
        <w:t>informácia o právnych predpisoch, v ktorých sú preberané smernice alebo rámcové rozhodnutia už prebraté spolu s uvedením rozsahu tohto prebratia</w:t>
      </w:r>
    </w:p>
    <w:p>
      <w:pPr>
        <w:pStyle w:val="BodyTextIndent2"/>
        <w:spacing w:after="0" w:line="240" w:lineRule="auto"/>
        <w:ind w:left="0" w:firstLine="720"/>
        <w:rPr>
          <w:rFonts w:ascii="Times New Roman" w:hAnsi="Times New Roman" w:cs="Times New Roman"/>
        </w:rPr>
      </w:pPr>
      <w:r>
        <w:rPr>
          <w:rFonts w:ascii="Times New Roman" w:hAnsi="Times New Roman" w:cs="Times New Roman"/>
        </w:rPr>
        <w:t>Doteraz neboli prebraté žiadne smernice alebo rámcové rozhodnutia.</w:t>
      </w:r>
    </w:p>
    <w:p>
      <w:pPr>
        <w:tabs>
          <w:tab w:val="left" w:pos="360"/>
          <w:tab w:val="left" w:pos="1980"/>
        </w:tabs>
        <w:jc w:val="both"/>
        <w:rPr>
          <w:rFonts w:ascii="Times New Roman" w:hAnsi="Times New Roman" w:cs="Times New Roman"/>
        </w:rPr>
      </w:pPr>
    </w:p>
    <w:p>
      <w:pPr>
        <w:numPr>
          <w:ilvl w:val="0"/>
          <w:numId w:val="3"/>
        </w:numPr>
        <w:tabs>
          <w:tab w:val="left" w:pos="360"/>
        </w:tabs>
        <w:jc w:val="both"/>
        <w:rPr>
          <w:rFonts w:ascii="Times New Roman" w:hAnsi="Times New Roman" w:cs="Times New Roman"/>
        </w:rPr>
      </w:pPr>
      <w:r>
        <w:rPr>
          <w:rFonts w:ascii="Times New Roman" w:hAnsi="Times New Roman" w:cs="Times New Roman"/>
          <w:b/>
          <w:bCs/>
        </w:rPr>
        <w:t>Stupeň zlučiteľnosti návrhu právneho predpisu alebo návrhu legislatívneho zámeru s právom Európskych spoločenstiev alebo právom Európskej únie:</w:t>
      </w:r>
    </w:p>
    <w:p>
      <w:pPr>
        <w:ind w:left="180" w:firstLine="160"/>
        <w:jc w:val="both"/>
        <w:rPr>
          <w:rFonts w:ascii="Times New Roman" w:hAnsi="Times New Roman" w:cs="Times New Roman"/>
        </w:rPr>
      </w:pPr>
      <w:r>
        <w:rPr>
          <w:rFonts w:ascii="Times New Roman" w:hAnsi="Times New Roman" w:cs="Times New Roman"/>
        </w:rPr>
        <w:t xml:space="preserve">-  úplný </w:t>
      </w:r>
    </w:p>
    <w:p>
      <w:pPr>
        <w:jc w:val="both"/>
        <w:rPr>
          <w:rFonts w:ascii="Times New Roman" w:hAnsi="Times New Roman" w:cs="Times New Roman"/>
        </w:rPr>
      </w:pPr>
    </w:p>
    <w:p>
      <w:pPr>
        <w:numPr>
          <w:ilvl w:val="0"/>
          <w:numId w:val="3"/>
        </w:numPr>
        <w:tabs>
          <w:tab w:val="left" w:pos="360"/>
        </w:tabs>
        <w:jc w:val="both"/>
        <w:rPr>
          <w:rFonts w:ascii="Times New Roman" w:hAnsi="Times New Roman" w:cs="Times New Roman"/>
        </w:rPr>
      </w:pPr>
      <w:r>
        <w:rPr>
          <w:rFonts w:ascii="Times New Roman" w:hAnsi="Times New Roman" w:cs="Times New Roman"/>
          <w:b/>
          <w:bCs/>
        </w:rPr>
        <w:t>Gestor a spolupracujúce rezorty:</w:t>
      </w:r>
      <w:r>
        <w:rPr>
          <w:rFonts w:ascii="Times New Roman" w:hAnsi="Times New Roman" w:cs="Times New Roman"/>
        </w:rPr>
        <w:t xml:space="preserve"> Ministerstvo hospodárstva SR</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1"/>
        <w:rPr>
          <w:rFonts w:ascii="Times New Roman" w:hAnsi="Times New Roman" w:cs="Times New Roman"/>
          <w:sz w:val="24"/>
        </w:rPr>
      </w:pPr>
      <w:r>
        <w:rPr>
          <w:rFonts w:ascii="Times New Roman" w:hAnsi="Times New Roman" w:cs="Times New Roman"/>
          <w:sz w:val="24"/>
        </w:rPr>
        <w:t xml:space="preserve">Doložka finančných, ekonomických, environmentálnych vplyvov </w:t>
      </w:r>
    </w:p>
    <w:p>
      <w:pPr>
        <w:pStyle w:val="Heading1"/>
        <w:rPr>
          <w:rFonts w:ascii="Times New Roman" w:hAnsi="Times New Roman" w:cs="Times New Roman"/>
        </w:rPr>
      </w:pPr>
      <w:r>
        <w:rPr>
          <w:rFonts w:ascii="Times New Roman" w:hAnsi="Times New Roman" w:cs="Times New Roman"/>
          <w:sz w:val="24"/>
        </w:rPr>
        <w:t>a vplyvov na zamestnanosť a podnikateľské prostredie</w:t>
      </w:r>
    </w:p>
    <w:p>
      <w:pPr>
        <w:pStyle w:val="Heading2"/>
        <w:rPr>
          <w:b w:val="0"/>
          <w:bCs w:val="0"/>
        </w:rPr>
      </w:pPr>
    </w:p>
    <w:p>
      <w:pPr>
        <w:ind w:firstLine="708"/>
        <w:jc w:val="both"/>
        <w:rPr>
          <w:rFonts w:ascii="Times New Roman" w:hAnsi="Times New Roman" w:cs="Times New Roman"/>
        </w:rPr>
      </w:pPr>
      <w:r>
        <w:rPr>
          <w:rFonts w:ascii="Times New Roman" w:hAnsi="Times New Roman" w:cs="Times New Roman"/>
        </w:rPr>
        <w:t xml:space="preserve">Návrh zákona nebude mať dopad na verejné financie, vrátane štátneho rozpočtu, rozpočtu sociálnych a zdravotných poisťovní, rozpočtu samosprávnych krajov a obcí.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Návrh zákona nebude mať environmentálny dopad, bude mať pozitívny dopad na podnikateľské prostredie s ohľadom na zvýšenú ochranu podnikateľských subjektov, ktorý v súlade s čl. 6 nariadenia Rady (ES) 2271/96 budú mať právo na náhradu akejkoľvek škody vrátane nákladov spojených s právnym zastupovaním, ak o tom rozhodne na základe ich ohlásenia Komisia alebo Rada európskych spoločenstiev. </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Návrh zákona nebude mať dopad na zamestnanosť, ale bude mať pozitívny vplyv na formovanie spoločenského vedomia a ďalšie zvyšovanie kritérií v oblasti vnímania dodržiavania ľudských práv aj v krajinách Európskeho spoločenstva a Európskej únie s ohľadom na skutočnosť, že Slovenská republika sa bude vedieť postaviť na ochranu práv občanov v tretích krajinách a bude mať pozitívny vplyv na upevnenie postavenia SR medzi štátmi s vysokou úrovňou demokracie a dodržiavania ľudských práv.</w:t>
      </w: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r>
        <w:rPr>
          <w:rFonts w:ascii="Times New Roman" w:hAnsi="Times New Roman" w:cs="Times New Roman"/>
          <w:b/>
          <w:bCs/>
        </w:rPr>
        <w:t>Osobitná časť</w:t>
      </w: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rPr>
      </w:pPr>
      <w:r>
        <w:rPr>
          <w:rFonts w:ascii="Times New Roman" w:hAnsi="Times New Roman" w:cs="Times New Roman"/>
        </w:rPr>
        <w:t>K § 1</w:t>
      </w:r>
    </w:p>
    <w:p>
      <w:pPr>
        <w:jc w:val="both"/>
        <w:rPr>
          <w:rFonts w:ascii="Times New Roman" w:hAnsi="Times New Roman" w:cs="Times New Roman"/>
          <w:b/>
          <w:bCs/>
        </w:rPr>
      </w:pPr>
    </w:p>
    <w:p>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Ustanovuje sa pôsobnosť orgánov štátnej správy vo veciach ochrany pred exteritoriálnymi účinkami právnych predpisov tretích krajín a ukladanie sankcií z nedodržania povinností ustanovených osobitným predpisom, a to nariadením Rady (ES) č. 2271/96 v znení nariadenia Rady ES č. 807/2003.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Osobami, ktoré požívajú ochranu pred uplatňovaním exteritoriálnych účinkov právnych predpisov tretích krajín sú:</w:t>
      </w:r>
    </w:p>
    <w:p>
      <w:pPr>
        <w:numPr>
          <w:ilvl w:val="0"/>
          <w:numId w:val="7"/>
        </w:numPr>
        <w:tabs>
          <w:tab w:val="clear" w:pos="360"/>
        </w:tabs>
        <w:jc w:val="both"/>
        <w:rPr>
          <w:rFonts w:ascii="Times New Roman" w:hAnsi="Times New Roman" w:cs="Times New Roman"/>
        </w:rPr>
      </w:pPr>
      <w:r>
        <w:rPr>
          <w:rFonts w:ascii="Times New Roman" w:hAnsi="Times New Roman" w:cs="Times New Roman"/>
        </w:rPr>
        <w:t>akákoľvek fyzická osoba, ktorá má bydlisko v Spoločenstve a je štátnym príslušníkom členského štátu (Slovenskej republiky). Na účely tohto zákona pod pojmom „mať bydlisko v Spoločenstve“ znamená byť legálne usadený v Spoločenstve počas obdobia minimálne šiestich mesiacov v rámci obdobia dvanásť mesiacov, ktoré bezprostredne predchádzajú, v ktorom podľa tohto zákona vzniká alebo sa vykonáva právo;</w:t>
      </w:r>
    </w:p>
    <w:p>
      <w:pPr>
        <w:numPr>
          <w:ilvl w:val="0"/>
          <w:numId w:val="7"/>
        </w:numPr>
        <w:tabs>
          <w:tab w:val="clear" w:pos="360"/>
        </w:tabs>
        <w:jc w:val="both"/>
        <w:rPr>
          <w:rFonts w:ascii="Times New Roman" w:hAnsi="Times New Roman" w:cs="Times New Roman"/>
        </w:rPr>
      </w:pPr>
      <w:r>
        <w:rPr>
          <w:rFonts w:ascii="Times New Roman" w:hAnsi="Times New Roman" w:cs="Times New Roman"/>
        </w:rPr>
        <w:t>akákoľvek právnická osoba zriadená v Spoločenstve;</w:t>
      </w:r>
    </w:p>
    <w:p>
      <w:pPr>
        <w:numPr>
          <w:ilvl w:val="0"/>
          <w:numId w:val="7"/>
        </w:numPr>
        <w:tabs>
          <w:tab w:val="clear" w:pos="360"/>
        </w:tabs>
        <w:jc w:val="both"/>
        <w:rPr>
          <w:rFonts w:ascii="Times New Roman" w:hAnsi="Times New Roman" w:cs="Times New Roman"/>
        </w:rPr>
      </w:pPr>
      <w:r>
        <w:rPr>
          <w:rFonts w:ascii="Times New Roman" w:hAnsi="Times New Roman" w:cs="Times New Roman"/>
        </w:rPr>
        <w:t>akákoľvek iná fyzická osoba, ktorá má bydlisko v Spoločenstve, pokiaľ sa táto osoba nenachádza v krajine, v ktor</w:t>
      </w:r>
      <w:r>
        <w:rPr>
          <w:rFonts w:ascii="Times New Roman" w:hAnsi="Times New Roman" w:cs="Times New Roman"/>
        </w:rPr>
        <w:t>ej je štátnym príslušníkom;</w:t>
      </w:r>
    </w:p>
    <w:p>
      <w:pPr>
        <w:numPr>
          <w:ilvl w:val="0"/>
          <w:numId w:val="7"/>
        </w:numPr>
        <w:tabs>
          <w:tab w:val="clear" w:pos="360"/>
        </w:tabs>
        <w:jc w:val="both"/>
        <w:rPr>
          <w:rFonts w:ascii="Times New Roman" w:hAnsi="Times New Roman" w:cs="Times New Roman"/>
        </w:rPr>
      </w:pPr>
      <w:r>
        <w:rPr>
          <w:rFonts w:ascii="Times New Roman" w:hAnsi="Times New Roman" w:cs="Times New Roman"/>
        </w:rPr>
        <w:t>akákoľvek iná fyzická osoba v rámci Spoločenstva, vrátane jeho teritoriálnych vôd a vzdušného priestoru a v akomkoľvek lietadle alebo v akomkoľvek plavidle pod súdnou právomocou alebo kontrolou členského štátu pôsobiacu v rámci profesionálnej činnosti.</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3</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Potreba implementovať do právneho poriadku Slovenskej republiky nariadenie Rady (ES) č. 2271/96 v znení nariadenia Rady (ES) č. 807/2003 vzišla z rokovania Rady EÚ COTRA (pre transatlantické vzťahy) s ohľadom na aplikáciu tzv. Helms-Buntonovho zákona USA z roku 1996. Rada EÚ COTRA nás upozornila na skutočnosť existencie tohto nariadenia a na potrebu jeho prevzatia do nášho právneho systému. </w:t>
      </w:r>
    </w:p>
    <w:p>
      <w:pPr>
        <w:jc w:val="both"/>
        <w:rPr>
          <w:rFonts w:ascii="Times New Roman" w:hAnsi="Times New Roman" w:cs="Times New Roman"/>
        </w:rPr>
      </w:pPr>
      <w:r>
        <w:rPr>
          <w:rFonts w:ascii="Times New Roman" w:hAnsi="Times New Roman" w:cs="Times New Roman"/>
        </w:rPr>
        <w:tab/>
        <w:t>Uvedené nariadenie (ES) ako všeobecne záväzný a priamo uplatniteľný právny akt ES zakladá viacero kompletných práv a povinností pre fyzické alebo právnické osoby a pre orgány štátu, ktoré sa uplatňujú bezprostredne a priamo. Z cit. nariadenia vyplynula povinnosť Slovenskej republiky určiť príslušnosť jednotlivých orgánov štátnej správy</w:t>
      </w:r>
      <w:r>
        <w:rPr>
          <w:rFonts w:ascii="Times New Roman" w:hAnsi="Times New Roman" w:cs="Times New Roman"/>
        </w:rPr>
        <w:t xml:space="preserve"> na výkon tohto nariadenia.</w:t>
      </w:r>
    </w:p>
    <w:p>
      <w:pPr>
        <w:jc w:val="both"/>
        <w:rPr>
          <w:rFonts w:ascii="Times New Roman" w:hAnsi="Times New Roman" w:cs="Times New Roman"/>
        </w:rPr>
      </w:pPr>
      <w:r>
        <w:rPr>
          <w:rFonts w:ascii="Times New Roman" w:hAnsi="Times New Roman" w:cs="Times New Roman"/>
        </w:rPr>
        <w:tab/>
        <w:t>Návrh zákona v § 3 ustanovuje Ministerstvo financií Slovenskej republiky za kompetentný orgán v oblasti finančných služieb alebo prístupu cenných papierov na kapitálové trhy SR. Ministerstvo hospodárstva Slovenskej republiky ako kompetentný orgán v oblasti zahraničného obchodu a Ministerstvo výstavby a regionálneho rozvoja Slovenskej republiky ako kompetentný orgán v oblasti obmedzenia priamych investícií vrátane investícií do nehnuteľností z pohľadu vyvlastňovacích a iných konaní tohto ministerstva podľa stavebného zákona.</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Ústredné orgány štátnej správy, t. j. Ministerstvo financií SR, Ministerstvo hospodárstva SR, Ministerstvo výstavby a regionálneho rozvoja SR preberajú informácie o uplatňovaní exteritoriálnych účinkov tretích krajín,  prebrané informácie pri zachovaní ich dôvernosti odovzdávajú orgánom Európskych spoločenstiev a iným členským krajinám Európskej únie a vysielajú svojich zástupcov do zmiešaných výberov Európskych spoločenstiev a členských krajín, v k</w:t>
      </w:r>
      <w:r>
        <w:rPr>
          <w:rFonts w:ascii="Times New Roman" w:hAnsi="Times New Roman" w:cs="Times New Roman"/>
        </w:rPr>
        <w:t>torých sa prerokúvajú opatrenia Európskej únie.</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Príslušné ústredné orgány štátnej správy uvedené v § 3 za nedodržanie podmienok upravených v osobitnom predpise (nariadenie Rady ES č. 2271/96 v znení nariadenia 807/2003) uložia fyzickým osobám uvedeným v osobitnom predpise (§ 2) pokutu do výšky 50 000 Sk alebo rozhodnú o zákaze činnosti uvedených osôb tým, že podajú návrh na výmaz ich činnosti zo Živnostenského registra alebo na výmaz ich činnosti z Obchodného registra. Pokutu alebo inú sankciu príslušné orgány ukladajú s ohľadom na mieru, význam a čas ohrozenia záujmov Slovenskej republiky, ako aj záujmov subjektov uvedených v § 3.</w:t>
      </w:r>
    </w:p>
    <w:p>
      <w:pPr>
        <w:jc w:val="both"/>
        <w:rPr>
          <w:rFonts w:ascii="Times New Roman" w:hAnsi="Times New Roman" w:cs="Times New Roman"/>
        </w:rPr>
      </w:pPr>
      <w:r>
        <w:rPr>
          <w:rFonts w:ascii="Times New Roman" w:hAnsi="Times New Roman" w:cs="Times New Roman"/>
        </w:rPr>
        <w:tab/>
        <w:t>Sankciu alebo zákaz činnosti pre fyzickú osobu – podnikateľa alebo právnickú osobu uložia ústredné orgány štátnej správy uvedené v § 3 podľa zákona o správnom konaní. Pokuta je vymožiteľná do jedného roka odo dňa, keď sa porušenie osobitného predpisu zistilo, najneskôr však do troch rokov odo dňa, keď k porušeniu došlo, je splatná do 15 dní od nadobudnutia právoplatnosti rozhodnutia a je príjmom štátneho rozpočtu.</w:t>
      </w:r>
    </w:p>
    <w:p>
      <w:pPr>
        <w:jc w:val="both"/>
        <w:rPr>
          <w:rFonts w:ascii="Times New Roman" w:hAnsi="Times New Roman" w:cs="Times New Roman"/>
        </w:rPr>
      </w:pPr>
      <w:r>
        <w:rPr>
          <w:rFonts w:ascii="Times New Roman" w:hAnsi="Times New Roman" w:cs="Times New Roman"/>
        </w:rPr>
        <w:tab/>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6</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Zákon nadobudne účinnosť 1. októbra 2007 s ohľadom na dĺžku legislatívneho procesu.</w:t>
      </w:r>
    </w:p>
    <w:p>
      <w:pPr>
        <w:pStyle w:val="BodyText"/>
        <w:jc w:val="both"/>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Bratislava  2. mája 2007  </w:t>
      </w:r>
    </w:p>
    <w:p>
      <w:pPr>
        <w:jc w:val="both"/>
        <w:rPr>
          <w:rFonts w:ascii="Times New Roman" w:hAnsi="Times New Roman" w:cs="Times New Roman"/>
        </w:rPr>
      </w:pPr>
    </w:p>
    <w:p>
      <w:pPr>
        <w:pStyle w:val="Footer"/>
        <w:tabs>
          <w:tab w:val="left" w:pos="708"/>
        </w:tabs>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3"/>
        <w:spacing w:before="0" w:after="0"/>
        <w:rPr>
          <w:rFonts w:ascii="Times New Roman" w:hAnsi="Times New Roman" w:cs="Times New Roman"/>
        </w:rPr>
      </w:pPr>
      <w:r>
        <w:rPr>
          <w:rFonts w:ascii="Times New Roman" w:hAnsi="Times New Roman" w:cs="Times New Roman"/>
        </w:rPr>
        <w:t>Robert Fico</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pStyle w:val="Heading1"/>
        <w:rPr>
          <w:rFonts w:ascii="Times New Roman" w:hAnsi="Times New Roman" w:cs="Times New Roman"/>
          <w:sz w:val="24"/>
        </w:rPr>
      </w:pPr>
      <w:r>
        <w:rPr>
          <w:rFonts w:ascii="Times New Roman" w:hAnsi="Times New Roman" w:cs="Times New Roman"/>
          <w:sz w:val="24"/>
        </w:rPr>
        <w:t>Ľubomír Jahnátek</w:t>
      </w:r>
    </w:p>
    <w:p>
      <w:pPr>
        <w:jc w:val="center"/>
        <w:rPr>
          <w:rFonts w:ascii="Times New Roman" w:hAnsi="Times New Roman" w:cs="Times New Roman"/>
        </w:rPr>
      </w:pPr>
      <w:r>
        <w:rPr>
          <w:rFonts w:ascii="Times New Roman" w:hAnsi="Times New Roman" w:cs="Times New Roman"/>
        </w:rPr>
        <w:t>minister hospodárstva Slovenskej republiky</w:t>
      </w:r>
    </w:p>
    <w:p>
      <w:pPr>
        <w:rPr>
          <w:rFonts w:ascii="Times New Roman" w:hAnsi="Times New Roman" w:cs="Times New Roman"/>
        </w:rPr>
      </w:pPr>
    </w:p>
    <w:sectPr>
      <w:footerReference w:type="even" r:id="rId4"/>
      <w:footerReference w:type="default" r:id="rId5"/>
      <w:pgSz w:w="11906" w:h="16838"/>
      <w:pgMar w:top="1247" w:right="1418" w:bottom="1361"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5</w:t>
    </w:r>
    <w:r>
      <w:rPr>
        <w:rStyle w:val="PageNumber"/>
        <w:rFonts w:ascii="Times New Roman" w:hAnsi="Times New Roman" w:cs="Times New Roman"/>
        <w:sz w:val="22"/>
      </w:rPr>
      <w:fldChar w:fldCharType="end"/>
    </w:r>
  </w:p>
  <w:p>
    <w:pPr>
      <w:pStyle w:val="Footer"/>
      <w:framePr w:vAnchor="text" w:hAnchor="margin" w:xAlign="center" w:y="1"/>
      <w:rPr>
        <w:rStyle w:val="PageNumber"/>
        <w:rFonts w:ascii="Times New Roman" w:hAnsi="Times New Roman" w:cs="Times New Roman"/>
        <w:sz w:val="22"/>
      </w:rPr>
    </w:pP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4"/>
      <w:numFmt w:val="decimal"/>
      <w:lvlText w:val="%2."/>
      <w:lvlJc w:val="left"/>
      <w:pPr>
        <w:tabs>
          <w:tab w:val="num" w:pos="360"/>
        </w:tabs>
        <w:ind w:left="340" w:hanging="340"/>
      </w:pPr>
    </w:lvl>
    <w:lvl w:ilvl="2">
      <w:start w:val="1"/>
      <w:numFmt w:val="lowerLetter"/>
      <w:lvlText w:val="%3)"/>
      <w:lvlJc w:val="left"/>
      <w:pPr>
        <w:tabs>
          <w:tab w:val="num" w:pos="700"/>
        </w:tabs>
        <w:ind w:left="680" w:hanging="340"/>
      </w:pPr>
    </w:lvl>
    <w:lvl w:ilvl="3">
      <w:start w:val="5"/>
      <w:numFmt w:val="lowerLetter"/>
      <w:lvlText w:val="%4)"/>
      <w:lvlJc w:val="left"/>
      <w:pPr>
        <w:tabs>
          <w:tab w:val="num" w:pos="700"/>
        </w:tabs>
        <w:ind w:left="680" w:hanging="34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080133D1"/>
    <w:multiLevelType w:val="hybridMultilevel"/>
    <w:tmpl w:val="4CFE0176"/>
    <w:lvl w:ilvl="0">
      <w:start w:val="2"/>
      <w:numFmt w:val="lowerLetter"/>
      <w:lvlText w:val="%1)"/>
      <w:lvlJc w:val="left"/>
      <w:pPr>
        <w:tabs>
          <w:tab w:val="num" w:pos="700"/>
        </w:tabs>
        <w:ind w:left="68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945CDE"/>
    <w:multiLevelType w:val="hybridMultilevel"/>
    <w:tmpl w:val="0276D57E"/>
    <w:lvl w:ilvl="0">
      <w:start w:val="1"/>
      <w:numFmt w:val="decimal"/>
      <w:lvlText w:val="%1."/>
      <w:lvlJc w:val="left"/>
      <w:pPr>
        <w:tabs>
          <w:tab w:val="num" w:pos="360"/>
        </w:tabs>
        <w:ind w:left="340" w:hanging="340"/>
      </w:pPr>
      <w:rPr>
        <w:rFonts w:ascii="Times New Roman" w:hAnsi="Times New Roman" w:cs="Arial"/>
        <w:b w:val="0"/>
        <w:i w:val="0"/>
        <w:color w:val="auto"/>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AB794D"/>
    <w:multiLevelType w:val="hybridMultilevel"/>
    <w:tmpl w:val="C8CCC98E"/>
    <w:lvl w:ilvl="0">
      <w:start w:val="5"/>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07A5BED"/>
    <w:multiLevelType w:val="hybridMultilevel"/>
    <w:tmpl w:val="BCC2FCBA"/>
    <w:lvl w:ilvl="0">
      <w:start w:val="3"/>
      <w:numFmt w:val="decimal"/>
      <w:lvlText w:val="%1."/>
      <w:lvlJc w:val="left"/>
      <w:pPr>
        <w:tabs>
          <w:tab w:val="num" w:pos="360"/>
        </w:tabs>
        <w:ind w:left="340" w:hanging="340"/>
      </w:pPr>
    </w:lvl>
    <w:lvl w:ilvl="1">
      <w:start w:val="1"/>
      <w:numFmt w:val="lowerLetter"/>
      <w:lvlText w:val="%2)"/>
      <w:lvlJc w:val="left"/>
      <w:pPr>
        <w:tabs>
          <w:tab w:val="num" w:pos="700"/>
        </w:tabs>
        <w:ind w:left="680" w:hanging="340"/>
      </w:pPr>
    </w:lvl>
    <w:lvl w:ilvl="2">
      <w:start w:val="3"/>
      <w:numFmt w:val="bullet"/>
      <w:lvlText w:val="-"/>
      <w:lvlJc w:val="left"/>
      <w:pPr>
        <w:tabs>
          <w:tab w:val="num" w:pos="1040"/>
        </w:tabs>
        <w:ind w:left="1021" w:hanging="341"/>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C9B77D4"/>
    <w:multiLevelType w:val="multilevel"/>
    <w:tmpl w:val="D6728CFC"/>
    <w:lvl w:ilvl="0">
      <w:start w:val="1"/>
      <w:numFmt w:val="decimal"/>
      <w:lvlText w:val="%1."/>
      <w:legacy w:legacy="1" w:legacySpace="0" w:legacyIndent="425"/>
      <w:lvlJc w:val="left"/>
      <w:pPr>
        <w:ind w:left="425" w:hanging="425"/>
      </w:pPr>
      <w:rPr>
        <w:b/>
        <w:rtl w:val="0"/>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6">
    <w:nsid w:val="5E9E12F9"/>
    <w:multiLevelType w:val="hybridMultilevel"/>
    <w:tmpl w:val="03F8B05E"/>
    <w:lvl w:ilvl="0">
      <w:start w:val="2"/>
      <w:numFmt w:val="decimal"/>
      <w:lvlText w:val="%1."/>
      <w:lvlJc w:val="left"/>
      <w:pPr>
        <w:tabs>
          <w:tab w:val="num" w:pos="360"/>
        </w:tabs>
        <w:ind w:left="340" w:hanging="340"/>
      </w:pPr>
      <w:rPr>
        <w:rFonts w:ascii="Times New Roman" w:hAnsi="Times New Roman" w:cs="Arial"/>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0DA31FC"/>
    <w:multiLevelType w:val="hybridMultilevel"/>
    <w:tmpl w:val="B3CAD976"/>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6"/>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sz w:val="28"/>
      <w:szCs w:val="2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spacing w:before="120" w:after="120"/>
      <w:jc w:val="center"/>
      <w:outlineLvl w:val="2"/>
    </w:pPr>
    <w:rPr>
      <w:b/>
      <w:bCs/>
    </w:rPr>
  </w:style>
  <w:style w:type="paragraph" w:styleId="Heading4">
    <w:name w:val="heading 4"/>
    <w:basedOn w:val="Normal"/>
    <w:next w:val="Normal"/>
    <w:uiPriority w:val="9"/>
    <w:qFormat/>
    <w:pPr>
      <w:keepNext/>
      <w:spacing w:before="240" w:after="60"/>
      <w:jc w:val="left"/>
      <w:outlineLvl w:val="3"/>
    </w:pPr>
    <w:rPr>
      <w:b/>
      <w:bCs/>
      <w:sz w:val="28"/>
      <w:szCs w:val="28"/>
    </w:rPr>
  </w:style>
  <w:style w:type="character" w:default="1" w:styleId="DefaultParagraphFont">
    <w:name w:val="Default Paragraph Font"/>
  </w:style>
  <w:style w:type="paragraph" w:styleId="Title">
    <w:name w:val="Title"/>
    <w:basedOn w:val="Normal"/>
    <w:uiPriority w:val="10"/>
    <w:qFormat/>
    <w:pPr>
      <w:jc w:val="center"/>
    </w:pPr>
    <w:rPr>
      <w:sz w:val="28"/>
      <w:szCs w:val="20"/>
    </w:rPr>
  </w:style>
  <w:style w:type="paragraph" w:styleId="BodyText">
    <w:name w:val="Body Text"/>
    <w:basedOn w:val="Normal"/>
    <w:pPr>
      <w:jc w:val="center"/>
    </w:pPr>
  </w:style>
  <w:style w:type="paragraph" w:styleId="Footer">
    <w:name w:val="footer"/>
    <w:basedOn w:val="Normal"/>
    <w:pPr>
      <w:tabs>
        <w:tab w:val="center" w:pos="4536"/>
        <w:tab w:val="right" w:pos="9072"/>
      </w:tabs>
      <w:jc w:val="left"/>
    </w:pPr>
  </w:style>
  <w:style w:type="paragraph" w:styleId="BodyText2">
    <w:name w:val="Body Text 2"/>
    <w:basedOn w:val="Normal"/>
    <w:pPr>
      <w:spacing w:after="120" w:line="480" w:lineRule="auto"/>
      <w:jc w:val="left"/>
    </w:p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character" w:styleId="PageNumber">
    <w:name w:val="page number"/>
    <w:basedOn w:val="DefaultParagraphFont"/>
  </w:style>
  <w:style w:type="paragraph" w:styleId="BodyTextIndent3">
    <w:name w:val="Body Text Indent 3"/>
    <w:basedOn w:val="Normal"/>
    <w:pPr>
      <w:spacing w:before="60" w:after="60"/>
      <w:ind w:firstLine="708"/>
      <w:jc w:val="both"/>
    </w:pPr>
  </w:style>
  <w:style w:type="paragraph" w:styleId="BodyText3">
    <w:name w:val="Body Text 3"/>
    <w:basedOn w:val="Normal"/>
    <w:pPr>
      <w:spacing w:before="120" w:after="120"/>
      <w:jc w:val="both"/>
    </w:p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106</TotalTime>
  <Pages>1</Pages>
  <Words>1525</Words>
  <Characters>8697</Characters>
  <Application>Microsoft Office Word</Application>
  <DocSecurity>0</DocSecurity>
  <Lines>0</Lines>
  <Paragraphs>0</Paragraphs>
  <ScaleCrop>false</ScaleCrop>
  <Company>MH SR</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Talapkova</dc:creator>
  <cp:lastModifiedBy>Talapkova</cp:lastModifiedBy>
  <cp:revision>95</cp:revision>
  <cp:lastPrinted>2007-03-29T06:43:00Z</cp:lastPrinted>
  <dcterms:created xsi:type="dcterms:W3CDTF">2007-03-27T06:56:00Z</dcterms:created>
  <dcterms:modified xsi:type="dcterms:W3CDTF">2007-05-03T10:02:00Z</dcterms:modified>
</cp:coreProperties>
</file>