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Návrh</w:t>
      </w: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 w:rsidR="0079666C">
        <w:rPr>
          <w:rStyle w:val="DefaultParagraphFont"/>
          <w:rFonts w:ascii="Times New Roman" w:hAnsi="Times New Roman"/>
          <w:color w:val="000000"/>
        </w:rPr>
        <w:t>Vyhlášky Ministerstva zdravotníctva</w:t>
      </w: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Slovenskej republiky</w:t>
      </w: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č .............. 2007</w:t>
      </w: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 </w:t>
      </w:r>
    </w:p>
    <w:p w:rsidR="0087624B">
      <w:pPr>
        <w:pStyle w:val="Title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o podrobnostiach o požiadavkách na zariadenia pre deti a mládež</w:t>
      </w: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pStyle w:val="Casti"/>
        <w:spacing w:before="0" w:after="0"/>
        <w:jc w:val="both"/>
        <w:rPr>
          <w:rStyle w:val="DefaultParagraphFont"/>
          <w:b w:val="0"/>
          <w:noProof/>
        </w:rPr>
      </w:pPr>
      <w:r>
        <w:rPr>
          <w:rStyle w:val="DefaultParagraphFont"/>
          <w:b w:val="0"/>
        </w:rPr>
        <w:t xml:space="preserve">Vláda Slovenskej republiky podľa § 62 písm. i) zákona č. ..... Z. z. </w:t>
      </w:r>
      <w:r>
        <w:rPr>
          <w:rStyle w:val="DefaultParagraphFont"/>
          <w:b w:val="0"/>
          <w:noProof/>
        </w:rPr>
        <w:t>o ochrane, podpore a rozvoji verejného zdravia a o zmene a doplnení niektorých zákonov</w:t>
      </w:r>
      <w:r>
        <w:rPr>
          <w:rStyle w:val="DefaultParagraphFont"/>
          <w:b w:val="0"/>
        </w:rPr>
        <w:t xml:space="preserve"> nariaďuje:  </w:t>
      </w:r>
    </w:p>
    <w:p w:rsidR="0087624B">
      <w:pPr>
        <w:rPr>
          <w:rStyle w:val="DefaultParagraphFont"/>
          <w:rFonts w:cs="Times New Roman"/>
          <w:b/>
          <w:color w:val="000000"/>
          <w:lang w:val="pt-PT"/>
        </w:rPr>
      </w:pP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  <w:r>
        <w:rPr>
          <w:rStyle w:val="DefaultParagraphFont"/>
          <w:rFonts w:cs="Times New Roman"/>
          <w:b/>
          <w:color w:val="000000"/>
        </w:rPr>
        <w:t>§ 1</w:t>
      </w:r>
    </w:p>
    <w:p w:rsidR="0087624B">
      <w:pPr>
        <w:pStyle w:val="Heading1"/>
        <w:ind w:firstLine="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Predmet úpravy</w:t>
      </w: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pStyle w:val="BodyTextIndent2"/>
        <w:ind w:firstLine="426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 T</w:t>
      </w:r>
      <w:r w:rsidR="0079666C">
        <w:rPr>
          <w:rStyle w:val="DefaultParagraphFont"/>
          <w:rFonts w:ascii="Times New Roman" w:hAnsi="Times New Roman"/>
          <w:color w:val="000000"/>
        </w:rPr>
        <w:t xml:space="preserve">outo vyhláškou </w:t>
      </w:r>
      <w:r>
        <w:rPr>
          <w:rStyle w:val="DefaultParagraphFont"/>
          <w:rFonts w:ascii="Times New Roman" w:hAnsi="Times New Roman"/>
          <w:color w:val="000000"/>
        </w:rPr>
        <w:t>sa ustanovujú podrobnosti o požiadavkách na priestorové usporiadanie, funkčné členenie, vybavenie, prevádzku, režim dňa, režim stravovania a pitný režim, činnosti vedúce k výchove a vzdelávaniu a náležitosti prevádzkového poriadku v zariadeniach pre deti a mládež.</w:t>
      </w:r>
    </w:p>
    <w:p w:rsidR="0087624B">
      <w:pPr>
        <w:pStyle w:val="BodyTextIndent2"/>
        <w:ind w:firstLine="0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2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2</w:t>
      </w:r>
    </w:p>
    <w:p w:rsidR="0087624B">
      <w:pPr>
        <w:pStyle w:val="BodyTextIndent2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2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Základné pojmy</w:t>
      </w:r>
    </w:p>
    <w:p w:rsidR="0087624B">
      <w:pPr>
        <w:pStyle w:val="BodyTextIndent2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2"/>
        <w:ind w:firstLine="54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Na účely t</w:t>
      </w:r>
      <w:r w:rsidR="0079666C">
        <w:rPr>
          <w:rStyle w:val="DefaultParagraphFont"/>
          <w:rFonts w:ascii="Times New Roman" w:hAnsi="Times New Roman"/>
          <w:color w:val="000000"/>
        </w:rPr>
        <w:t>ejto vyhlášky</w:t>
      </w:r>
      <w:r>
        <w:rPr>
          <w:rStyle w:val="DefaultParagraphFont"/>
          <w:rFonts w:ascii="Times New Roman" w:hAnsi="Times New Roman"/>
          <w:color w:val="000000"/>
        </w:rPr>
        <w:t xml:space="preserve"> sa rozumie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sieťou sieť podľa osobitného predpisu,</w:t>
      </w:r>
      <w:r>
        <w:rPr>
          <w:rStyle w:val="FootnoteReference"/>
          <w:color w:val="000000"/>
          <w:rtl w:val="0"/>
        </w:rPr>
        <w:footnoteReference w:customMarkFollows="1" w:id="2"/>
        <w:t xml:space="preserve">1</w:t>
      </w:r>
      <w:r>
        <w:rPr>
          <w:rStyle w:val="FootnoteReference"/>
          <w:color w:val="000000"/>
        </w:rPr>
        <w:t>)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školou škola</w:t>
      </w:r>
      <w:r>
        <w:rPr>
          <w:rStyle w:val="FootnoteReference"/>
          <w:color w:val="000000"/>
          <w:rtl w:val="0"/>
        </w:rPr>
        <w:footnoteReference w:customMarkFollows="1" w:id="3"/>
        <w:t xml:space="preserve">2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zaradená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školským zariadením školské zariadenie</w:t>
      </w:r>
      <w:r>
        <w:rPr>
          <w:rStyle w:val="FootnoteReference"/>
          <w:color w:val="000000"/>
          <w:rtl w:val="0"/>
        </w:rPr>
        <w:footnoteReference w:customMarkFollows="1" w:id="4"/>
        <w:t xml:space="preserve">3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zaradené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predškolským zariadením predškolské zariadenie</w:t>
      </w:r>
      <w:r>
        <w:rPr>
          <w:rStyle w:val="FootnoteReference"/>
          <w:color w:val="000000"/>
          <w:rtl w:val="0"/>
        </w:rPr>
        <w:footnoteReference w:customMarkFollows="1" w:id="5"/>
        <w:t xml:space="preserve">4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zaradené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školským klubom detí školský klub detí</w:t>
      </w:r>
      <w:r>
        <w:rPr>
          <w:rStyle w:val="FootnoteReference"/>
          <w:color w:val="000000"/>
          <w:rtl w:val="0"/>
        </w:rPr>
        <w:footnoteReference w:customMarkFollows="1" w:id="6"/>
        <w:t xml:space="preserve">5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zaradený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left="567" w:hanging="567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školským strediskom záujmovej činnosti školské stredisko záujmovej činnosti</w:t>
      </w:r>
      <w:r>
        <w:rPr>
          <w:rStyle w:val="FootnoteReference"/>
          <w:color w:val="000000"/>
          <w:rtl w:val="0"/>
        </w:rPr>
        <w:footnoteReference w:customMarkFollows="1" w:id="7"/>
        <w:t xml:space="preserve">6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zaradené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centrom voľného času centrum voľného času</w:t>
      </w:r>
      <w:r>
        <w:rPr>
          <w:rStyle w:val="FootnoteReference"/>
          <w:color w:val="000000"/>
          <w:rtl w:val="0"/>
        </w:rPr>
        <w:footnoteReference w:customMarkFollows="1" w:id="8"/>
        <w:t xml:space="preserve">7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zaradené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školou v prírode škola v prírode</w:t>
      </w:r>
      <w:r>
        <w:rPr>
          <w:rStyle w:val="FootnoteReference"/>
          <w:color w:val="000000"/>
          <w:rtl w:val="0"/>
        </w:rPr>
        <w:footnoteReference w:customMarkFollows="1" w:id="9"/>
        <w:t xml:space="preserve">8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zaradená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firstLine="0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špeciálnou školou špeciálna škola</w:t>
      </w:r>
      <w:r>
        <w:rPr>
          <w:rStyle w:val="FootnoteReference"/>
          <w:color w:val="000000"/>
          <w:rtl w:val="0"/>
        </w:rPr>
        <w:footnoteReference w:customMarkFollows="1" w:id="10"/>
        <w:t xml:space="preserve">9</w:t>
      </w:r>
      <w:r>
        <w:rPr>
          <w:rStyle w:val="FootnoteReference"/>
          <w:color w:val="000000"/>
        </w:rPr>
        <w:t>)</w:t>
      </w:r>
      <w:r>
        <w:rPr>
          <w:rStyle w:val="DefaultParagraphFont"/>
          <w:rFonts w:ascii="Times New Roman" w:hAnsi="Times New Roman"/>
          <w:color w:val="000000"/>
        </w:rPr>
        <w:t xml:space="preserve"> zaradená do siete,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left="567" w:hanging="567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zariadením školského stravovania školská kuchyňa a školská jedáleň, kuchyňa a jedáleň v internátnom zariadení, centrálna výrobňa jedál pre školské stravovanie, výdajná školská kuchyňa a stredisko školského stravovania podľa osobitného predpisu,</w:t>
      </w:r>
      <w:r>
        <w:rPr>
          <w:rStyle w:val="FootnoteReference"/>
          <w:color w:val="000000"/>
          <w:rtl w:val="0"/>
        </w:rPr>
        <w:footnoteReference w:customMarkFollows="1" w:id="11"/>
        <w:t xml:space="preserve">1</w:t>
      </w:r>
      <w:r>
        <w:rPr>
          <w:rStyle w:val="FootnoteReference"/>
          <w:color w:val="000000"/>
        </w:rPr>
        <w:t>0)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left="567" w:hanging="567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dieťaťom predškolského veku fyzická osoba, ktorá nezačala plnenie povinnej školskej dochádzky,</w:t>
      </w:r>
    </w:p>
    <w:p w:rsidR="0087624B">
      <w:pPr>
        <w:pStyle w:val="BodyTextIndent2"/>
        <w:numPr>
          <w:numId w:val="11"/>
        </w:numPr>
        <w:tabs>
          <w:tab w:val="left" w:pos="540"/>
          <w:tab w:val="left" w:pos="900"/>
        </w:tabs>
        <w:ind w:left="567" w:hanging="567"/>
        <w:jc w:val="both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žiakom fyzická osoba, ktorá začala školskú dochádzku a zúčastňuje sa výchovno-vzdelávacieho procesu v školách a v školských zariadeniach.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</w:rPr>
      </w:pPr>
      <w:r>
        <w:rPr>
          <w:rStyle w:val="DefaultParagraphFont"/>
          <w:rFonts w:ascii="Times New Roman" w:hAnsi="Times New Roman"/>
          <w:b/>
          <w:color w:val="000000"/>
        </w:rPr>
        <w:t>Priestorové usporiadanie a funkčné členenie zariadení pre deti a mládež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3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(1) Vonkajšie priestory zariadenia pre deti a mládež musia mať vyčlenený nezastavaný pozemok na pobyt detí a žiakov (ďalej len “nezastavaný pozemok”). Časť nezastavaného pozemku predškolského zariadenia a prevádzkarne pre starostlivosť o deti do šesť rokov veku musí tvoriť trávnatá plocha. Na nezastavanom pozemku predškolského zariadenia a prevádzkarne pre starostlivosť o deti do šesť rokov veku musí byť vyčlenená plocha pre detské ihrisko. Na nezastavanom pozemku školy musí byť vyčlenená plocha na telovýchovu a šport.</w:t>
      </w: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(2) V predškolskom zariadení a v prevádzkarni pre starostlivosť o deti do šesť rokov veku musí byť na jedno dieťa predškolského veku z počtu detí, ktorý vychádza z veľkosti plôch vnútorných priestorov predškolského zariadenia alebo prevádzkarne pre starostlivosť o deti do šesť rokov veku, najmenej 2,5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trávnatej plochy a najmenej 4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 detského ihriska. Ak je na nezastavanom pozemku zriadené pieskovisko</w:t>
      </w:r>
      <w:r>
        <w:rPr>
          <w:rStyle w:val="DefaultParagraphFont"/>
          <w:rFonts w:ascii="Times New Roman" w:hAnsi="Times New Roman"/>
          <w:color w:val="000000"/>
        </w:rPr>
        <w:t xml:space="preserve">, </w:t>
      </w:r>
      <w:r>
        <w:rPr>
          <w:rStyle w:val="DefaultParagraphFont"/>
          <w:rFonts w:ascii="Times New Roman" w:hAnsi="Times New Roman"/>
          <w:b w:val="0"/>
          <w:color w:val="000000"/>
        </w:rPr>
        <w:t>jeho plocha musí byť najmenej 0,5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na jedno dieťa predškolského veku. Nezastavaný pozemok</w:t>
      </w:r>
      <w:r>
        <w:rPr>
          <w:rStyle w:val="DefaultParagraphFont"/>
          <w:rFonts w:ascii="Times New Roman" w:hAnsi="Times New Roman"/>
          <w:color w:val="000000"/>
        </w:rPr>
        <w:t xml:space="preserve"> </w:t>
      </w:r>
      <w:r>
        <w:rPr>
          <w:rStyle w:val="DefaultParagraphFont"/>
          <w:rFonts w:ascii="Times New Roman" w:hAnsi="Times New Roman"/>
          <w:b w:val="0"/>
          <w:color w:val="000000"/>
        </w:rPr>
        <w:t>predškolského zariadenia a prevádzkarne pre starostlivosť o deti do šesť rokov veku musí byť oplotený.</w:t>
      </w:r>
    </w:p>
    <w:p w:rsidR="0087624B">
      <w:pPr>
        <w:pStyle w:val="BodyText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(3) Škola musí mať k dispozícii plochu s veľkosťou</w:t>
      </w:r>
      <w:r>
        <w:rPr>
          <w:rStyle w:val="DefaultParagraphFont"/>
          <w:rFonts w:ascii="Times New Roman" w:hAnsi="Times New Roman"/>
          <w:color w:val="000000"/>
        </w:rPr>
        <w:t xml:space="preserve"> </w:t>
      </w:r>
      <w:r>
        <w:rPr>
          <w:rStyle w:val="DefaultParagraphFont"/>
          <w:rFonts w:ascii="Times New Roman" w:hAnsi="Times New Roman"/>
          <w:b w:val="0"/>
          <w:color w:val="000000"/>
        </w:rPr>
        <w:t>najmenej</w:t>
      </w:r>
      <w:r>
        <w:rPr>
          <w:rStyle w:val="DefaultParagraphFont"/>
          <w:rFonts w:ascii="Times New Roman" w:hAnsi="Times New Roman"/>
          <w:color w:val="000000"/>
        </w:rPr>
        <w:t xml:space="preserve"> </w:t>
      </w:r>
      <w:r>
        <w:rPr>
          <w:rStyle w:val="DefaultParagraphFont"/>
          <w:rFonts w:ascii="Times New Roman" w:hAnsi="Times New Roman"/>
          <w:b w:val="0"/>
          <w:color w:val="000000"/>
        </w:rPr>
        <w:t>16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na telovýchovu a šport na jedného žiaka.</w:t>
      </w:r>
    </w:p>
    <w:p w:rsidR="0087624B">
      <w:pPr>
        <w:pStyle w:val="BodyText"/>
        <w:tabs>
          <w:tab w:val="left" w:pos="0"/>
        </w:tabs>
        <w:jc w:val="both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tabs>
          <w:tab w:val="left" w:pos="0"/>
        </w:tabs>
        <w:jc w:val="both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tabs>
          <w:tab w:val="left" w:pos="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§ 4</w:t>
      </w:r>
    </w:p>
    <w:p w:rsidR="0087624B">
      <w:pPr>
        <w:pStyle w:val="BodyText"/>
        <w:tabs>
          <w:tab w:val="left" w:pos="0"/>
        </w:tabs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(1) Priestorové usporiadanie a funkčné členenie vnútorných priestorov zariadenia pre deti a mládež musí umožňovať funkčnú nadväznosť jednotlivých priestorov a ich samostatnú prevádzku bez vzájomného rušenia. V predškolskom zariadení a v prevádzkarni pre starostlivosť o deti do šesť rokov veku priestorové usporiadanie a funkčné členenie priestorov musí umožňovať voľné hry detí, oddych, osobnú hygienu s otužovaním a telesné cvičenia.</w:t>
      </w: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(2) V predškolskom zariadení a v prevádzkarni pre starostlivosť o deti do šesť rokov veku musí byť na jedno dieťa najmenej 4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 dennej miestnosti, ktorá plní funkciu herne a spálne, a ak je spálňa stavebne oddelená, najmenej 3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 herne. Na jedno ležadlo na spanie musí byť najmenej 1,7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>. Priestor na odkladanie ležadiel a lôžkovín musí umožňovať ich riadne prevetrávanie. Na jednu stoličku v jedálni musí byť najmenej 1,4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 xml:space="preserve">2 </w:t>
      </w:r>
      <w:r>
        <w:rPr>
          <w:rStyle w:val="DefaultParagraphFont"/>
          <w:rFonts w:ascii="Times New Roman" w:hAnsi="Times New Roman"/>
          <w:b w:val="0"/>
          <w:color w:val="000000"/>
        </w:rPr>
        <w:t>plochy jedálne.</w:t>
      </w: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(3) V škole s výnimkou špeciálnej školy a v školskom klube detí, v školskom stredisku záujmovej činnosti, v centre voľného času a v prevádzkarni pre výchovu a mimoškolské vzdelávanie</w:t>
      </w:r>
      <w:r w:rsidR="00765614">
        <w:rPr>
          <w:rStyle w:val="DefaultParagraphFont"/>
          <w:rFonts w:cs="Times New Roman"/>
          <w:color w:val="000000"/>
        </w:rPr>
        <w:t xml:space="preserve"> detí a mládeže</w:t>
      </w:r>
      <w:r>
        <w:rPr>
          <w:rStyle w:val="DefaultParagraphFont"/>
          <w:rFonts w:cs="Times New Roman"/>
          <w:color w:val="000000"/>
        </w:rPr>
        <w:t xml:space="preserve"> musí byť na jedného žiaka najmenej 1,65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plochy teoretickej učebne a najmenej 2 m</w:t>
      </w:r>
      <w:r>
        <w:rPr>
          <w:rStyle w:val="DefaultParagraphFont"/>
          <w:rFonts w:cs="Times New Roman"/>
          <w:color w:val="000000"/>
          <w:vertAlign w:val="superscript"/>
        </w:rPr>
        <w:t xml:space="preserve">2 </w:t>
      </w:r>
      <w:r>
        <w:rPr>
          <w:rStyle w:val="DefaultParagraphFont"/>
          <w:rFonts w:cs="Times New Roman"/>
          <w:color w:val="000000"/>
        </w:rPr>
        <w:t>plochy odbornej pracovne, laboratória, počítačovej učebne, jazykovej učebne a učebne strojopisu. V špeciálnej škole musí byť na jedného žiaka najmenej 2,3 m</w:t>
      </w:r>
      <w:r>
        <w:rPr>
          <w:rStyle w:val="DefaultParagraphFont"/>
          <w:rFonts w:cs="Times New Roman"/>
          <w:color w:val="000000"/>
          <w:vertAlign w:val="superscript"/>
        </w:rPr>
        <w:t xml:space="preserve">2 </w:t>
      </w:r>
      <w:r>
        <w:rPr>
          <w:rStyle w:val="DefaultParagraphFont"/>
          <w:rFonts w:cs="Times New Roman"/>
          <w:color w:val="000000"/>
        </w:rPr>
        <w:t>plochy teoretickej učebne. V miestnosti, kde sa zabezpečuje vyučovanie žiakov v škole v prírode, musí byť na jedného žiaka 1,5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podlahovej plochy.</w:t>
      </w: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color w:val="000000"/>
        </w:rPr>
      </w:pP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(4) V základnej škole musí byť na jedného žiaka najmenej 4 m</w:t>
      </w:r>
      <w:r>
        <w:rPr>
          <w:rStyle w:val="DefaultParagraphFont"/>
          <w:rFonts w:cs="Times New Roman"/>
          <w:color w:val="000000"/>
          <w:vertAlign w:val="superscript"/>
        </w:rPr>
        <w:t xml:space="preserve">2 </w:t>
      </w:r>
      <w:r>
        <w:rPr>
          <w:rStyle w:val="DefaultParagraphFont"/>
          <w:rFonts w:cs="Times New Roman"/>
          <w:color w:val="000000"/>
        </w:rPr>
        <w:t>plochy učebne praktického vyučovania, na strednej škole a v špeciálnej škole najmenej 2 m</w:t>
      </w:r>
      <w:r>
        <w:rPr>
          <w:rStyle w:val="DefaultParagraphFont"/>
          <w:rFonts w:cs="Times New Roman"/>
          <w:color w:val="000000"/>
          <w:vertAlign w:val="superscript"/>
        </w:rPr>
        <w:t xml:space="preserve">2 </w:t>
      </w:r>
      <w:r>
        <w:rPr>
          <w:rStyle w:val="DefaultParagraphFont"/>
          <w:rFonts w:cs="Times New Roman"/>
          <w:color w:val="000000"/>
        </w:rPr>
        <w:t>plochy  pracoviska odborného výcviku v odbore zameranom na ručné obrábanie a najmenej 10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plochy pracoviska odborného výcviku v odbore zameranom na strojové obrábanie. </w:t>
      </w: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(5) V škole musí byť na jedného žiaka najmenej 4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 vnútorných priestorov určených na výučbu telesnej výchovy, v prípade plošne náročných druhov cvičení najmenej 8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týchto priestorov a v šatni pri priestoroch určených na výučbu telesnej výchovy najmenej 0,5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 šatne.</w:t>
      </w: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b/>
          <w:color w:val="000000"/>
        </w:rPr>
      </w:pPr>
    </w:p>
    <w:p w:rsidR="0087624B">
      <w:pPr>
        <w:tabs>
          <w:tab w:val="left" w:pos="360"/>
        </w:tabs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(6) V školskom klube detí, v školskom stredisku záujmovej činnosti, v centre voľného času a v prevádzkarni pre výchovu a</w:t>
      </w:r>
      <w:r w:rsidR="00765614">
        <w:rPr>
          <w:rStyle w:val="DefaultParagraphFont"/>
          <w:rFonts w:cs="Times New Roman"/>
          <w:color w:val="000000"/>
        </w:rPr>
        <w:t xml:space="preserve"> mimoškolské </w:t>
      </w:r>
      <w:r>
        <w:rPr>
          <w:rStyle w:val="DefaultParagraphFont"/>
          <w:rFonts w:cs="Times New Roman"/>
          <w:color w:val="000000"/>
        </w:rPr>
        <w:t>vzdelávanie</w:t>
      </w:r>
      <w:r w:rsidR="00765614">
        <w:rPr>
          <w:rStyle w:val="DefaultParagraphFont"/>
          <w:rFonts w:cs="Times New Roman"/>
          <w:color w:val="000000"/>
        </w:rPr>
        <w:t xml:space="preserve"> detí a mládeže </w:t>
      </w:r>
      <w:r>
        <w:rPr>
          <w:rStyle w:val="DefaultParagraphFont"/>
          <w:rFonts w:cs="Times New Roman"/>
          <w:color w:val="000000"/>
        </w:rPr>
        <w:t>musí byť na jedného žiaka najmenej 2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plochy priestoru určeného na záujmovú a oddychovú činnosť. V škole v prírode musí byť na jedného žiaka 1,5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alebo 3 m</w:t>
      </w:r>
      <w:r>
        <w:rPr>
          <w:rStyle w:val="DefaultParagraphFont"/>
          <w:rFonts w:cs="Times New Roman"/>
          <w:color w:val="000000"/>
          <w:vertAlign w:val="superscript"/>
        </w:rPr>
        <w:t>2</w:t>
      </w:r>
      <w:r>
        <w:rPr>
          <w:rStyle w:val="DefaultParagraphFont"/>
          <w:rFonts w:cs="Times New Roman"/>
          <w:color w:val="000000"/>
        </w:rPr>
        <w:t xml:space="preserve"> na jedno dieťa predškolského veku plochy priestoru určeného na trávenie voľného času.</w:t>
      </w:r>
    </w:p>
    <w:p w:rsidR="0087624B">
      <w:pPr>
        <w:pStyle w:val="BodyText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(7) Ak je súčasťou zariadenia pre deti a mládež aj jedáleň, na jednu stoličku musí byť najmenej 1,4 m</w:t>
      </w:r>
      <w:r>
        <w:rPr>
          <w:rStyle w:val="DefaultParagraphFont"/>
          <w:rFonts w:ascii="Times New Roman" w:hAnsi="Times New Roman"/>
          <w:b w:val="0"/>
          <w:color w:val="000000"/>
          <w:vertAlign w:val="superscript"/>
        </w:rPr>
        <w:t>2</w:t>
      </w:r>
      <w:r>
        <w:rPr>
          <w:rStyle w:val="DefaultParagraphFont"/>
          <w:rFonts w:ascii="Times New Roman" w:hAnsi="Times New Roman"/>
          <w:b w:val="0"/>
          <w:color w:val="000000"/>
        </w:rPr>
        <w:t xml:space="preserve"> plochy jedálne.</w:t>
      </w: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</w:rPr>
      </w:pPr>
      <w:r>
        <w:rPr>
          <w:rStyle w:val="DefaultParagraphFont"/>
          <w:rFonts w:ascii="Times New Roman" w:hAnsi="Times New Roman"/>
          <w:b/>
        </w:rPr>
        <w:t>Vybavenie zariadení pre deti a mládež</w:t>
      </w: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  <w:r>
        <w:rPr>
          <w:rStyle w:val="DefaultParagraphFont"/>
          <w:rFonts w:cs="Times New Roman"/>
          <w:b/>
          <w:color w:val="000000"/>
        </w:rPr>
        <w:t xml:space="preserve">§ 5 </w:t>
      </w: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pStyle w:val="BodyTextIndent2"/>
        <w:ind w:firstLine="426"/>
        <w:jc w:val="both"/>
        <w:rPr>
          <w:rStyle w:val="DefaultParagraphFont"/>
          <w:rFonts w:ascii="Times New Roman" w:hAnsi="Times New Roman"/>
        </w:rPr>
      </w:pPr>
      <w:r>
        <w:rPr>
          <w:rStyle w:val="DefaultParagraphFont"/>
          <w:rFonts w:ascii="Times New Roman" w:hAnsi="Times New Roman"/>
        </w:rPr>
        <w:t xml:space="preserve"> (1) Učebne </w:t>
      </w:r>
      <w:r>
        <w:rPr>
          <w:rStyle w:val="DefaultParagraphFont"/>
          <w:rFonts w:ascii="Times New Roman" w:hAnsi="Times New Roman"/>
          <w:color w:val="000000"/>
        </w:rPr>
        <w:t xml:space="preserve">zariadenia pre deti a mládež </w:t>
      </w:r>
      <w:r>
        <w:rPr>
          <w:rStyle w:val="DefaultParagraphFont"/>
          <w:rFonts w:ascii="Times New Roman" w:hAnsi="Times New Roman"/>
        </w:rPr>
        <w:t xml:space="preserve">musia byť vybavené školským nábytkom, ktorý zohľadňuje rozdielnu telesnú výšku žiakov. Veľkostné typy školského nábytku a ergonomické zásady práce žiakov v sede sú uvedené v prílohe. Pri používaní tabule musí byť dodržaný zrakový uhol, ktorého vrchol leží na zadnej hrane pracovnej plochy prvého stola žiaka pred tabuľou a je tvorený spojnicami zadnej hrany pracovnej plochy stola so stredom tabule a s jednou z bočných strán tabule, najviac 30 stupňov. </w:t>
      </w:r>
    </w:p>
    <w:p w:rsidR="0087624B">
      <w:pPr>
        <w:ind w:firstLine="426"/>
        <w:rPr>
          <w:rStyle w:val="DefaultParagraphFont"/>
          <w:rFonts w:cs="Times New Roman"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(2) V zariadení pre deti a mládež musia byť pre žiakov a deti predškolského veku so zdravotným postihnutím zabezpečené podmienky podľa druhu ich zdravotného postihnutia vrátane bezbariérového prostredia. Školský nábytok musí zohľadňovať ich zdravotný stav a v učebni musia byť vytvorené relaxačné kútiky s možnosťou zaujatia pohodlnej sedacej alebo ležiacej polohy aspoň jednej osoby a musí byť vyčlenený priestor na odkladanie kompenzačných pomôcok.</w:t>
      </w:r>
    </w:p>
    <w:p w:rsidR="0087624B">
      <w:pPr>
        <w:ind w:firstLine="426"/>
        <w:rPr>
          <w:rStyle w:val="DefaultParagraphFont"/>
          <w:rFonts w:cs="Times New Roman"/>
          <w:b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(3) Vybavenie a priestorové usporiadanie priestorov určených na pobyt žiakov v školskom klube detí, v školskom stredisku záujmovej činnosti, v centre voľného času a v prevádzkarni pre výchovu a</w:t>
      </w:r>
      <w:r w:rsidR="00765614">
        <w:rPr>
          <w:rStyle w:val="DefaultParagraphFont"/>
          <w:rFonts w:cs="Times New Roman"/>
          <w:color w:val="000000"/>
        </w:rPr>
        <w:t xml:space="preserve"> mimoškolské </w:t>
      </w:r>
      <w:r>
        <w:rPr>
          <w:rStyle w:val="DefaultParagraphFont"/>
          <w:rFonts w:cs="Times New Roman"/>
          <w:color w:val="000000"/>
        </w:rPr>
        <w:t>vzdelávanie</w:t>
      </w:r>
      <w:r w:rsidR="00765614">
        <w:rPr>
          <w:rStyle w:val="DefaultParagraphFont"/>
          <w:rFonts w:cs="Times New Roman"/>
          <w:color w:val="000000"/>
        </w:rPr>
        <w:t xml:space="preserve"> detí a mládeže </w:t>
      </w:r>
      <w:r>
        <w:rPr>
          <w:rStyle w:val="DefaultParagraphFont"/>
          <w:rFonts w:cs="Times New Roman"/>
          <w:color w:val="000000"/>
        </w:rPr>
        <w:t>musí byť v súlade s vykonávanou činnosťou.</w:t>
      </w:r>
    </w:p>
    <w:p w:rsidR="0087624B">
      <w:pPr>
        <w:rPr>
          <w:rStyle w:val="DefaultParagraphFont"/>
          <w:rFonts w:cs="Times New Roman"/>
          <w:color w:val="000000"/>
        </w:rPr>
      </w:pPr>
    </w:p>
    <w:p w:rsidR="0087624B">
      <w:pPr>
        <w:jc w:val="center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b/>
          <w:color w:val="000000"/>
        </w:rPr>
        <w:t>§ 6</w:t>
      </w: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pStyle w:val="BodyTextIndent"/>
        <w:tabs>
          <w:tab w:val="left" w:pos="360"/>
        </w:tabs>
        <w:ind w:firstLine="426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(1) V umyvárňach predškolského zariadenia a v prevádzkarni pre starostlivosť o deti do šesť rokov veku musia byť umývadlá inštalované tak, aby ich horná hrana bola vo výške 0,5 m od podlahy, ak nie je ďalej uvedené inak. Batérie umývadiel musia byť umiestnené vo výške 0,6 m od podlahy. Spoločná miešacia batéria musí byť umiestnená mimo dosahu detí. Na stenách umyvárne sú držadlá vo výške</w:t>
      </w:r>
      <w:r>
        <w:rPr>
          <w:rStyle w:val="DefaultParagraphFont"/>
          <w:rFonts w:ascii="Times New Roman" w:hAnsi="Times New Roman"/>
          <w:b/>
          <w:color w:val="000000"/>
        </w:rPr>
        <w:t xml:space="preserve"> </w:t>
      </w:r>
      <w:r>
        <w:rPr>
          <w:rStyle w:val="DefaultParagraphFont"/>
          <w:rFonts w:ascii="Times New Roman" w:hAnsi="Times New Roman"/>
          <w:color w:val="000000"/>
        </w:rPr>
        <w:t>0,7 až 0,8 m</w:t>
      </w:r>
      <w:r>
        <w:rPr>
          <w:rStyle w:val="DefaultParagraphFont"/>
          <w:rFonts w:ascii="Times New Roman" w:hAnsi="Times New Roman"/>
          <w:b/>
          <w:color w:val="000000"/>
        </w:rPr>
        <w:t xml:space="preserve"> </w:t>
      </w:r>
      <w:r>
        <w:rPr>
          <w:rStyle w:val="DefaultParagraphFont"/>
          <w:rFonts w:ascii="Times New Roman" w:hAnsi="Times New Roman"/>
          <w:color w:val="000000"/>
        </w:rPr>
        <w:t>od podlahy. Detské záchodové  misy musia byť navzájom oddelené ľahkými 1,2 m vysokými a 0,6 m hlbokými priečkami bez dverí. Dispozičné riešenie umyvární a počet záchodov upravuje osobitný predpis.</w:t>
      </w:r>
      <w:r>
        <w:rPr>
          <w:rStyle w:val="FootnoteReference"/>
          <w:color w:val="000000"/>
          <w:rtl w:val="0"/>
        </w:rPr>
        <w:footnoteReference w:customMarkFollows="1" w:id="12"/>
        <w:t xml:space="preserve">1</w:t>
      </w:r>
      <w:r>
        <w:rPr>
          <w:rStyle w:val="FootnoteReference"/>
          <w:color w:val="000000"/>
        </w:rPr>
        <w:t>1)</w:t>
      </w:r>
    </w:p>
    <w:p w:rsidR="0087624B">
      <w:pPr>
        <w:pStyle w:val="BodyTextIndent"/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(2) V predškolskom zariadení a v ďalších zariadeniach pre deti a mládež, ak sú v nich umiestnené deti mladšie ako tri roky, jedno umývadlo musí byť najviac na 10 dojčiat a jedno umývadlo najviac na štyri batoľatá. Umývadlá musia byť inštalované tak, aby ich horná hrana bola vo výške 0,4 m od podlahy. V umyvárni musí byť vyčlenený priestor na nočníky najviac pre 10 detí.</w:t>
      </w:r>
    </w:p>
    <w:p w:rsidR="0087624B">
      <w:pPr>
        <w:ind w:firstLine="426"/>
        <w:rPr>
          <w:rStyle w:val="DefaultParagraphFont"/>
          <w:rFonts w:cs="Times New Roman"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(3) Podrobnosti o umiestnení zariadení na osobnú hygienu a o počte záchodov a umývadiel v zariadení pre deti a mládež ustanovuje osobitný predpis.</w:t>
      </w:r>
      <w:r>
        <w:rPr>
          <w:rStyle w:val="DefaultParagraphFont"/>
          <w:rFonts w:cs="Times New Roman"/>
          <w:color w:val="000000"/>
          <w:vertAlign w:val="superscript"/>
        </w:rPr>
        <w:t>11)</w:t>
      </w:r>
    </w:p>
    <w:p w:rsidR="0087624B">
      <w:pPr>
        <w:pStyle w:val="BodyTextIndent"/>
        <w:tabs>
          <w:tab w:val="left" w:pos="360"/>
        </w:tabs>
        <w:ind w:firstLine="0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b/>
          <w:color w:val="000000"/>
        </w:rPr>
      </w:pPr>
      <w:r>
        <w:rPr>
          <w:rStyle w:val="DefaultParagraphFont"/>
          <w:rFonts w:cs="Times New Roman"/>
          <w:color w:val="000000"/>
        </w:rPr>
        <w:t>(4) Šatne detí v predškolskom zariadení a v prevádzkarni pre starostlivosť o deti do šesť rokov veku musia byť vybavené šatňovými skrinkami a lavičkami. V predškolskom zariadení a v prevádzkarni pre starostlivosť o deti do šesť rokov veku, ak sú v nich umiestnené dojčatá, musia byť šatne vybavené aj stolmi na prebaľovanie</w:t>
      </w:r>
      <w:r>
        <w:rPr>
          <w:rStyle w:val="DefaultParagraphFont"/>
          <w:rFonts w:cs="Times New Roman"/>
          <w:b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a umývadlom.</w:t>
      </w:r>
    </w:p>
    <w:p w:rsidR="0087624B">
      <w:pPr>
        <w:pStyle w:val="BodyTextIndent"/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(5) Šatne a iné priestory určené na odkladanie vrchného odevu žiakov v zariadení pre deti a mládež musia byť vybavené vešiakmi s hákmi umiestnenými podľa vekových skupín žiakov vo výške od 120 cm do 150 cm od podlahy a lavičkami. Odstupy medzi vešiakmi musia byť najmenej 15 cm.</w:t>
      </w: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(6) Šatne v priestoroch určených na praktické vyučovanie musia byť vybavené skrinkami na uloženie pracovného odevu a obuvi.</w:t>
      </w: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  <w:r>
        <w:rPr>
          <w:rStyle w:val="DefaultParagraphFont"/>
          <w:rFonts w:ascii="Times New Roman" w:hAnsi="Times New Roman"/>
          <w:b w:val="0"/>
          <w:color w:val="000000"/>
        </w:rPr>
        <w:t>(7) Priestory určené na výučbu telesnej výchovy v škole a musia byť vybavené šatňami tak, aby jedna šatňa bola pre prichádzajúcu skupinu žiakov a jedna šatňa pre odchádzajúcu skupinu žiakov,  a umyvárňami prístupnými zo šatne. V umyvárňach musí byť jedna sprchová ružica najviac pre osem žiakov a jedno umývadlo najviac pre 10 žiakov. Šatne musia byť vybavené vešiakmi a lavičkami, pričom na jedného žiaka musí byť 0,4 m dĺžky lavičky.</w:t>
      </w:r>
    </w:p>
    <w:p w:rsidR="0087624B">
      <w:pPr>
        <w:pStyle w:val="BodyTextIndent3"/>
        <w:tabs>
          <w:tab w:val="clear" w:pos="0"/>
        </w:tabs>
        <w:spacing w:before="0"/>
        <w:ind w:firstLine="0"/>
        <w:rPr>
          <w:rStyle w:val="DefaultParagraphFont"/>
          <w:rFonts w:ascii="Times New Roman" w:hAnsi="Times New Roman"/>
          <w:b/>
          <w:color w:val="000000"/>
          <w:sz w:val="24"/>
        </w:rPr>
      </w:pPr>
    </w:p>
    <w:p w:rsidR="0087624B">
      <w:pPr>
        <w:pStyle w:val="BodyTextIndent3"/>
        <w:tabs>
          <w:tab w:val="clear" w:pos="0"/>
        </w:tabs>
        <w:spacing w:before="0"/>
        <w:ind w:firstLine="0"/>
        <w:rPr>
          <w:rStyle w:val="DefaultParagraphFont"/>
          <w:rFonts w:ascii="Times New Roman" w:hAnsi="Times New Roman"/>
          <w:b/>
          <w:color w:val="000000"/>
          <w:sz w:val="24"/>
        </w:rPr>
      </w:pPr>
    </w:p>
    <w:p w:rsidR="0087624B">
      <w:pPr>
        <w:pStyle w:val="BodyTextIndent3"/>
        <w:tabs>
          <w:tab w:val="clear" w:pos="0"/>
        </w:tabs>
        <w:spacing w:before="0"/>
        <w:ind w:firstLine="426"/>
        <w:jc w:val="center"/>
        <w:rPr>
          <w:rStyle w:val="DefaultParagraphFont"/>
          <w:rFonts w:ascii="Times New Roman" w:hAnsi="Times New Roman"/>
          <w:b/>
          <w:color w:val="000000"/>
          <w:sz w:val="24"/>
        </w:rPr>
      </w:pPr>
      <w:r>
        <w:rPr>
          <w:rStyle w:val="DefaultParagraphFont"/>
          <w:rFonts w:ascii="Times New Roman" w:hAnsi="Times New Roman"/>
          <w:b/>
          <w:color w:val="000000"/>
          <w:sz w:val="24"/>
        </w:rPr>
        <w:t>§ 7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</w:rPr>
      </w:pPr>
      <w:r>
        <w:rPr>
          <w:rStyle w:val="DefaultParagraphFont"/>
          <w:rFonts w:ascii="Times New Roman" w:hAnsi="Times New Roman"/>
          <w:b/>
        </w:rPr>
        <w:t>Prevádzka zariadení pre deti a mládež</w:t>
      </w:r>
    </w:p>
    <w:p w:rsidR="0087624B">
      <w:pPr>
        <w:pStyle w:val="BodyTextIndent3"/>
        <w:tabs>
          <w:tab w:val="clear" w:pos="0"/>
        </w:tabs>
        <w:spacing w:before="0"/>
        <w:ind w:firstLine="426"/>
        <w:jc w:val="center"/>
        <w:rPr>
          <w:rStyle w:val="DefaultParagraphFont"/>
          <w:rFonts w:ascii="Times New Roman" w:hAnsi="Times New Roman"/>
          <w:color w:val="000000"/>
          <w:sz w:val="24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(1) Zariadenie pre deti a mládež musí byť zásobované tečúcou vodou určenou na ľudskú spotrebu</w:t>
      </w:r>
      <w:r>
        <w:rPr>
          <w:rStyle w:val="FootnoteReference"/>
          <w:rFonts w:cs="Times New Roman"/>
          <w:color w:val="000000"/>
          <w:rtl w:val="0"/>
        </w:rPr>
        <w:footnoteReference w:customMarkFollows="1" w:id="13"/>
        <w:t xml:space="preserve">1</w:t>
      </w:r>
      <w:r>
        <w:rPr>
          <w:rStyle w:val="FootnoteReference"/>
          <w:rFonts w:cs="Times New Roman"/>
          <w:color w:val="000000"/>
        </w:rPr>
        <w:t>2)</w:t>
      </w:r>
      <w:r>
        <w:rPr>
          <w:rStyle w:val="DefaultParagraphFont"/>
          <w:rFonts w:cs="Times New Roman"/>
          <w:color w:val="000000"/>
        </w:rPr>
        <w:t xml:space="preserve"> tak, aby zabezpečovalo </w:t>
      </w:r>
    </w:p>
    <w:p w:rsidR="0087624B">
      <w:pPr>
        <w:ind w:left="426" w:hanging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a)</w:t>
        <w:tab/>
        <w:t xml:space="preserve">na jedno dieťa predškolského zariadenia a prevádzkarne pre starostlivosť o deti do šesť rokov veku najmenej 60 l vody na jeden deň, </w:t>
      </w:r>
    </w:p>
    <w:p w:rsidR="0087624B">
      <w:pPr>
        <w:ind w:left="426" w:hanging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b)</w:t>
        <w:tab/>
        <w:t>na jedného žiaka školy najmenej 25 l vody na jeden deň.</w:t>
      </w:r>
    </w:p>
    <w:p w:rsidR="0087624B">
      <w:pPr>
        <w:pStyle w:val="BodyTextIndent3"/>
        <w:tabs>
          <w:tab w:val="clear" w:pos="0"/>
        </w:tabs>
        <w:spacing w:before="0"/>
        <w:ind w:firstLine="0"/>
        <w:rPr>
          <w:rStyle w:val="DefaultParagraphFont"/>
          <w:rFonts w:ascii="Times New Roman" w:hAnsi="Times New Roman"/>
          <w:color w:val="000000"/>
          <w:sz w:val="24"/>
        </w:rPr>
      </w:pPr>
    </w:p>
    <w:p w:rsidR="0087624B">
      <w:pPr>
        <w:pStyle w:val="BodyTextIndent"/>
        <w:ind w:firstLine="426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(2) Zariadenie pre deti a mládež musí byť vykurované</w:t>
      </w:r>
      <w:r>
        <w:rPr>
          <w:rStyle w:val="FootnoteReference"/>
          <w:color w:val="000000"/>
          <w:rtl w:val="0"/>
        </w:rPr>
        <w:footnoteReference w:customMarkFollows="1" w:id="14"/>
        <w:t xml:space="preserve">1</w:t>
      </w:r>
      <w:r>
        <w:rPr>
          <w:rStyle w:val="FootnoteReference"/>
          <w:color w:val="000000"/>
        </w:rPr>
        <w:t>3)</w:t>
      </w:r>
      <w:r>
        <w:rPr>
          <w:rStyle w:val="DefaultParagraphFont"/>
          <w:rFonts w:ascii="Times New Roman" w:hAnsi="Times New Roman"/>
          <w:color w:val="000000"/>
        </w:rPr>
        <w:t xml:space="preserve"> tak, aby</w:t>
      </w:r>
    </w:p>
    <w:p w:rsidR="0087624B">
      <w:pPr>
        <w:pStyle w:val="BodyTextIndent"/>
        <w:numPr>
          <w:ilvl w:val="0"/>
          <w:numId w:val="1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predškolskom zariadení a v prevádzkarni pre starostlivosť o</w:t>
      </w:r>
      <w:r w:rsidR="004F7248">
        <w:rPr>
          <w:rStyle w:val="DefaultParagraphFont"/>
          <w:rFonts w:ascii="Times New Roman" w:hAnsi="Times New Roman"/>
          <w:color w:val="000000"/>
        </w:rPr>
        <w:t> </w:t>
      </w:r>
      <w:r>
        <w:rPr>
          <w:rStyle w:val="DefaultParagraphFont"/>
          <w:rFonts w:ascii="Times New Roman" w:hAnsi="Times New Roman"/>
          <w:color w:val="000000"/>
        </w:rPr>
        <w:t>deti</w:t>
      </w:r>
      <w:r w:rsidR="004F7248">
        <w:rPr>
          <w:rStyle w:val="DefaultParagraphFont"/>
          <w:rFonts w:ascii="Times New Roman" w:hAnsi="Times New Roman"/>
          <w:color w:val="000000"/>
        </w:rPr>
        <w:t xml:space="preserve"> do šesť rokov veku </w:t>
      </w:r>
      <w:r>
        <w:rPr>
          <w:rStyle w:val="DefaultParagraphFont"/>
          <w:rFonts w:ascii="Times New Roman" w:hAnsi="Times New Roman"/>
          <w:color w:val="000000"/>
        </w:rPr>
        <w:t>bola zabezpečená</w:t>
      </w:r>
      <w:r>
        <w:rPr>
          <w:rStyle w:val="DefaultParagraphFont"/>
          <w:rFonts w:ascii="Times New Roman" w:hAnsi="Times New Roman"/>
          <w:b/>
          <w:i/>
          <w:color w:val="000000"/>
        </w:rPr>
        <w:t xml:space="preserve"> </w:t>
      </w:r>
      <w:r>
        <w:rPr>
          <w:rStyle w:val="DefaultParagraphFont"/>
          <w:rFonts w:ascii="Times New Roman" w:hAnsi="Times New Roman"/>
          <w:color w:val="000000"/>
        </w:rPr>
        <w:t>teplota v</w:t>
      </w:r>
      <w:r>
        <w:rPr>
          <w:rStyle w:val="DefaultParagraphFont"/>
          <w:rFonts w:ascii="Times New Roman" w:hAnsi="Times New Roman"/>
          <w:b/>
          <w:color w:val="000000"/>
        </w:rPr>
        <w:t xml:space="preserve"> </w:t>
      </w:r>
      <w:r>
        <w:rPr>
          <w:rStyle w:val="DefaultParagraphFont"/>
          <w:rFonts w:ascii="Times New Roman" w:hAnsi="Times New Roman"/>
          <w:color w:val="000000"/>
        </w:rPr>
        <w:t xml:space="preserve">herni najmenej 22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 xml:space="preserve">C, v spálni najmenej 22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 xml:space="preserve">C a v umyvárni a záchode najmenej 24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 xml:space="preserve">C, </w:t>
      </w:r>
    </w:p>
    <w:p w:rsidR="0087624B">
      <w:pPr>
        <w:pStyle w:val="BodyTextIndent"/>
        <w:numPr>
          <w:ilvl w:val="0"/>
          <w:numId w:val="1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 zariadení pre deti a mládež, okrem zariadení pre deti a mládež uvedených v písmene a), bola zabezpečená teplota</w:t>
      </w:r>
    </w:p>
    <w:p w:rsidR="0087624B">
      <w:pPr>
        <w:pStyle w:val="BodyTextIndent"/>
        <w:numPr>
          <w:numId w:val="10"/>
        </w:numPr>
        <w:tabs>
          <w:tab w:val="left" w:pos="72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učební a ďalších miestností, v ktorých žiaci vykonávajú činnosť štyri hodiny a viac, najmenej 20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C,</w:t>
      </w:r>
    </w:p>
    <w:p w:rsidR="0087624B">
      <w:pPr>
        <w:pStyle w:val="BodyTextIndent"/>
        <w:numPr>
          <w:numId w:val="10"/>
        </w:numPr>
        <w:tabs>
          <w:tab w:val="left" w:pos="72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priestorov určených na výučbu telesnej výchovy najmenej 15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C,</w:t>
      </w:r>
    </w:p>
    <w:p w:rsidR="0087624B">
      <w:pPr>
        <w:pStyle w:val="BodyTextIndent"/>
        <w:numPr>
          <w:numId w:val="10"/>
        </w:numPr>
        <w:tabs>
          <w:tab w:val="left" w:pos="72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šatní zriadených v priestoroch určených na výučbu telesnej výchovy najmenej 20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C,</w:t>
      </w:r>
    </w:p>
    <w:p w:rsidR="0087624B">
      <w:pPr>
        <w:pStyle w:val="BodyTextIndent"/>
        <w:numPr>
          <w:numId w:val="10"/>
        </w:numPr>
        <w:tabs>
          <w:tab w:val="left" w:pos="72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šatní a iných priestorov na odkladanie vrchného odevu žiakov najmenej 15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C,</w:t>
      </w:r>
    </w:p>
    <w:p w:rsidR="0087624B">
      <w:pPr>
        <w:pStyle w:val="BodyTextIndent"/>
        <w:numPr>
          <w:numId w:val="10"/>
        </w:numPr>
        <w:tabs>
          <w:tab w:val="left" w:pos="72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chodieb a záchodov najmenej 15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C.</w:t>
      </w:r>
    </w:p>
    <w:p w:rsidR="0087624B">
      <w:pPr>
        <w:pStyle w:val="BodyTextIndent"/>
        <w:ind w:firstLine="0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(3) Ak nie je možné zabezpečiť vykurovanie podľa odseku 2, zariadenie pre deti a mládež sa môže prevádzkovať, len ak teplota vzduchu v herni a spálni predškolského zariadenia a prevádzkarne pre starostlivosť o deti do šesť rokov veku  a teplota vzduchu v učebniach a  ďalších miestnostiach zariadenia pre deti a mládež uvedených v odseku 2 písm. b), v ktorých žiaci vykonávajú činnosť štyri hodiny a viac, neklesne v troch po sebe nasledujúcich dňoch pod 18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 xml:space="preserve">C alebo ak teplota vzduchu v týchto priestoroch neklesne v jednom dni pod 16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 xml:space="preserve">C. </w:t>
      </w:r>
    </w:p>
    <w:p w:rsidR="0087624B">
      <w:pPr>
        <w:pStyle w:val="BodyText"/>
        <w:tabs>
          <w:tab w:val="left" w:pos="0"/>
        </w:tabs>
        <w:ind w:firstLine="426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Indent"/>
        <w:ind w:firstLine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(4) Výmena vzduchu v zariadení pre deti a mládež musí byť zabezpečená tak, aby zabezpečovala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učebniach 20 - 30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jedného žiaka,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priestoroch určených na výučbu telesnej výchovy 30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jedného žiaka,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šatniach a iných priestoroch určených na odkladanie vrchného odevu 20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jedno miesto,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umyvárňach 30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jedno umývadlo,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sprchách 150 až 200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jednu sprchu,</w:t>
      </w:r>
    </w:p>
    <w:p w:rsidR="0087624B">
      <w:pPr>
        <w:pStyle w:val="BodyTextIndent"/>
        <w:numPr>
          <w:numId w:val="5"/>
        </w:numPr>
        <w:tabs>
          <w:tab w:val="left" w:pos="720"/>
        </w:tabs>
        <w:ind w:left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v záchodoch 50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jednu kabínu a 25 m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3</w:t>
      </w:r>
      <w:r>
        <w:rPr>
          <w:rStyle w:val="DefaultParagraphFont"/>
          <w:rFonts w:ascii="Times New Roman" w:hAnsi="Times New Roman"/>
          <w:color w:val="000000"/>
        </w:rPr>
        <w:t xml:space="preserve"> za 1 h na jeden pisoár.</w:t>
      </w:r>
    </w:p>
    <w:p w:rsidR="0087624B">
      <w:pPr>
        <w:pStyle w:val="BodyText"/>
        <w:jc w:val="both"/>
        <w:rPr>
          <w:rStyle w:val="DefaultParagraphFont"/>
          <w:rFonts w:ascii="Times New Roman" w:hAnsi="Times New Roman"/>
          <w:b w:val="0"/>
          <w:color w:val="000000"/>
        </w:rPr>
      </w:pPr>
    </w:p>
    <w:p w:rsidR="0087624B">
      <w:pPr>
        <w:pStyle w:val="BodyText"/>
        <w:jc w:val="both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§ 8</w:t>
      </w:r>
    </w:p>
    <w:p w:rsidR="0087624B">
      <w:pPr>
        <w:pStyle w:val="BodyText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Režim dňa</w:t>
      </w:r>
    </w:p>
    <w:p w:rsidR="0087624B">
      <w:pPr>
        <w:pStyle w:val="BodyTextIndent"/>
        <w:tabs>
          <w:tab w:val="left" w:pos="0"/>
        </w:tabs>
        <w:ind w:firstLine="0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Režim dňa detí v predškolskom zariadení a v prevádzkarni pre starostlivosť o deti do šesť rokov veku musí prevádzkovateľ organizovať tak, aby zabezpečil</w:t>
      </w:r>
    </w:p>
    <w:p w:rsidR="0087624B">
      <w:pPr>
        <w:pStyle w:val="BodyTextIndent"/>
        <w:numPr>
          <w:ilvl w:val="0"/>
          <w:numId w:val="2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individuálny čas a dĺžku spánku dieťaťa vrátane možnosti ranného dospávania,</w:t>
      </w:r>
    </w:p>
    <w:p w:rsidR="0087624B">
      <w:pPr>
        <w:pStyle w:val="BodyTextIndent"/>
        <w:numPr>
          <w:ilvl w:val="0"/>
          <w:numId w:val="2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pobyt detí vonku najmenej dve hodiny dopoludnia a dve hodiny odpoludnia v závislosti na dĺžke pobytu detí v predškolskom zariadení alebo v prevádzkarni pre starostlivosť o deti do šesť rokov veku, a to v každom ročnom období; pobyt vonku môže byť skrátený alebo vynechaný pri mimoriadne nepriaznivých meteorologických podmienkach, ktorými sú víchrica, prudký dážď, teploty pod -10 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o</w:t>
      </w:r>
      <w:r>
        <w:rPr>
          <w:rStyle w:val="DefaultParagraphFont"/>
          <w:rFonts w:ascii="Times New Roman" w:hAnsi="Times New Roman"/>
          <w:color w:val="000000"/>
        </w:rPr>
        <w:t>C, alebo pri nadmernom znečistení ovzdušia,</w:t>
      </w:r>
    </w:p>
    <w:p w:rsidR="0087624B">
      <w:pPr>
        <w:pStyle w:val="BodyTextIndent"/>
        <w:numPr>
          <w:ilvl w:val="0"/>
          <w:numId w:val="2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telesné cvičenie detí najmenej dvakrát denne,</w:t>
      </w:r>
    </w:p>
    <w:p w:rsidR="0087624B">
      <w:pPr>
        <w:pStyle w:val="BodyTextIndent"/>
        <w:numPr>
          <w:ilvl w:val="0"/>
          <w:numId w:val="2"/>
        </w:numPr>
        <w:tabs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systematické otužovanie detí na zvyšovanie odolnosti ich organizmu.</w:t>
      </w: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9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Režim stravovania a pitný režim</w:t>
      </w: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(1) Režim stravovania v zariadení pre deti a mládež musí byť organizovaný tak, aby zodpovedal veku, zdravotnému stavu a fyzickej záťaži žiakov a detí predškolského veku. Podávaná strava musí byť zdravotne neškodná a výživovo hodnotná.</w:t>
      </w:r>
      <w:r>
        <w:rPr>
          <w:rStyle w:val="FootnoteReference"/>
          <w:color w:val="000000"/>
          <w:rtl w:val="0"/>
        </w:rPr>
        <w:footnoteReference w:customMarkFollows="1" w:id="15"/>
        <w:t xml:space="preserve">1</w:t>
      </w:r>
      <w:r>
        <w:rPr>
          <w:rStyle w:val="FootnoteReference"/>
          <w:color w:val="000000"/>
        </w:rPr>
        <w:t>4)</w:t>
      </w:r>
    </w:p>
    <w:p w:rsidR="0087624B">
      <w:pPr>
        <w:pStyle w:val="BodyTextIndent"/>
        <w:tabs>
          <w:tab w:val="left" w:pos="0"/>
        </w:tabs>
        <w:ind w:firstLine="426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(2) Režim stravovania žiakov a detí predškolského veku v zariadení pre deti a mládež musí prevádzkovateľ organizovať tak, aby zabezpečil</w:t>
      </w:r>
    </w:p>
    <w:p w:rsidR="0087624B">
      <w:pPr>
        <w:pStyle w:val="BodyTextIndent"/>
        <w:numPr>
          <w:ilvl w:val="0"/>
          <w:numId w:val="3"/>
        </w:numPr>
        <w:tabs>
          <w:tab w:val="left" w:pos="0"/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 deti v predškolskom zariadení a v prevádzkarni pre starostlivosť o deti do šesť rokov veku podávanie desiatej, obeda a olovrantu, ak nejde o deti uvedené v písmene b),</w:t>
      </w:r>
    </w:p>
    <w:p w:rsidR="0087624B">
      <w:pPr>
        <w:pStyle w:val="BodyTextIndent"/>
        <w:numPr>
          <w:ilvl w:val="0"/>
          <w:numId w:val="3"/>
        </w:numPr>
        <w:tabs>
          <w:tab w:val="left" w:pos="0"/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 deti dochádzajúce do predškolského zariadenia a do prevádzkarne pre starostlivosť o deti do šesť rokov veku len na dopoludňajšie hodiny podávanie desiatej a ak sú prítomné v predškolskom zariadení a v prevádzkarni pre starostlivosť o deti do šesť rokov veku aj v čase obeda, podávanie aj obeda,</w:t>
      </w:r>
    </w:p>
    <w:p w:rsidR="0087624B">
      <w:pPr>
        <w:pStyle w:val="BodyTextIndent"/>
        <w:numPr>
          <w:ilvl w:val="0"/>
          <w:numId w:val="3"/>
        </w:numPr>
        <w:tabs>
          <w:tab w:val="left" w:pos="0"/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 žiakov ubytovaných v</w:t>
      </w:r>
      <w:r>
        <w:rPr>
          <w:rStyle w:val="DefaultParagraphFont"/>
          <w:rFonts w:ascii="Times New Roman" w:hAnsi="Times New Roman"/>
          <w:b/>
          <w:color w:val="000000"/>
        </w:rPr>
        <w:t> </w:t>
      </w:r>
      <w:r>
        <w:rPr>
          <w:rStyle w:val="DefaultParagraphFont"/>
          <w:rFonts w:ascii="Times New Roman" w:hAnsi="Times New Roman"/>
          <w:color w:val="000000"/>
        </w:rPr>
        <w:t>školskom zariadení celodenné stravovanie,</w:t>
      </w:r>
      <w:r>
        <w:rPr>
          <w:rStyle w:val="FootnoteReference"/>
          <w:color w:val="000000"/>
          <w:rtl w:val="0"/>
        </w:rPr>
        <w:footnoteReference w:customMarkFollows="1" w:id="16"/>
        <w:t xml:space="preserve">1</w:t>
      </w:r>
      <w:r>
        <w:rPr>
          <w:rStyle w:val="FootnoteReference"/>
          <w:color w:val="000000"/>
        </w:rPr>
        <w:t>5)</w:t>
      </w:r>
      <w:r>
        <w:rPr>
          <w:rStyle w:val="DefaultParagraphFont"/>
          <w:rFonts w:ascii="Times New Roman" w:hAnsi="Times New Roman"/>
          <w:color w:val="000000"/>
        </w:rPr>
        <w:t xml:space="preserve"> pričom raňajky musia obsahovať teplý nápoj a obed a večera musia byť teplé,</w:t>
      </w:r>
    </w:p>
    <w:p w:rsidR="0087624B">
      <w:pPr>
        <w:pStyle w:val="BodyTextIndent"/>
        <w:numPr>
          <w:ilvl w:val="0"/>
          <w:numId w:val="3"/>
        </w:numPr>
        <w:tabs>
          <w:tab w:val="left" w:pos="0"/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časový odstup medzi jednotlivými jedlami najviac tri hodiny,</w:t>
      </w:r>
    </w:p>
    <w:p w:rsidR="0087624B">
      <w:pPr>
        <w:pStyle w:val="BodyTextIndent"/>
        <w:numPr>
          <w:ilvl w:val="0"/>
          <w:numId w:val="3"/>
        </w:numPr>
        <w:tabs>
          <w:tab w:val="left" w:pos="0"/>
          <w:tab w:val="left" w:pos="360"/>
        </w:tabs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pitný režim žiakov a detí počas celého pobytu v zariadení podávaním pitnej vody alebo výživovo hodnotných nápojov a pitie hygienicky vyhovujúcim spôsobom.</w:t>
      </w:r>
    </w:p>
    <w:p w:rsidR="0087624B">
      <w:pPr>
        <w:pStyle w:val="BodyTextIndent"/>
        <w:tabs>
          <w:tab w:val="left" w:pos="0"/>
        </w:tabs>
        <w:ind w:firstLine="0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ind w:firstLine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(3) V zariadení pre deti a mládež musí prevádzkovateľ zabezpečiť, aby </w:t>
      </w:r>
    </w:p>
    <w:p w:rsidR="0087624B">
      <w:pPr>
        <w:pStyle w:val="BodyTextIndent"/>
        <w:ind w:left="360" w:hanging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a) </w:t>
        <w:tab/>
        <w:t>sortiment tovaru v bufetoch, automatoch a iných formách ambulantného predaja zriadeného v rámci zariadenia pre deti a mládež, ktorý  je dostupný žiakom a deťom, zodpovedal zásadám zdravej výživy, bol výživovo hodnotný</w:t>
      </w:r>
      <w:r>
        <w:rPr>
          <w:rStyle w:val="DefaultParagraphFont"/>
          <w:rFonts w:ascii="Times New Roman" w:hAnsi="Times New Roman"/>
          <w:color w:val="000000"/>
          <w:vertAlign w:val="superscript"/>
        </w:rPr>
        <w:t>14)</w:t>
      </w:r>
      <w:r>
        <w:rPr>
          <w:rStyle w:val="DefaultParagraphFont"/>
          <w:rFonts w:ascii="Times New Roman" w:hAnsi="Times New Roman"/>
          <w:color w:val="000000"/>
        </w:rPr>
        <w:t xml:space="preserve"> a neobsahoval najmä alkoholické nápoje, nápoje s obsahom kofeínu a chinínu a tabakové výrobky,</w:t>
      </w:r>
    </w:p>
    <w:p w:rsidR="0087624B">
      <w:pPr>
        <w:pStyle w:val="BodyTextIndent"/>
        <w:ind w:left="360" w:hanging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b)</w:t>
        <w:tab/>
        <w:t>do školského stravovacieho zariadenia nebola žiakom a deťom individuálne donášaná strava okrem žiakov a detí, u ktorých podľa posúdenia lekára všeobecnej zdravotnej starostlivosti pre deti a dorast alebo lekára so špecializáciou v príslušnom špecializačnom odbore zdravotný stav žiaka alebo dieťaťa predškolského veku vyžaduje osobitné stravovanie.</w:t>
      </w:r>
    </w:p>
    <w:p w:rsidR="0087624B">
      <w:pPr>
        <w:rPr>
          <w:rStyle w:val="DefaultParagraphFont"/>
          <w:rFonts w:cs="Times New Roman"/>
          <w:color w:val="000000"/>
        </w:rPr>
      </w:pPr>
    </w:p>
    <w:p w:rsidR="0087624B">
      <w:pPr>
        <w:ind w:firstLine="36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(4) Podrobnosti o stravovaní žiakov a detí predškolského veku v škole v prírode ustanovuje osobitný predpis.</w:t>
      </w:r>
      <w:r>
        <w:rPr>
          <w:rStyle w:val="FootnoteReference"/>
          <w:rFonts w:cs="Times New Roman"/>
          <w:color w:val="000000"/>
          <w:rtl w:val="0"/>
        </w:rPr>
        <w:footnoteReference w:customMarkFollows="1" w:id="17"/>
        <w:t xml:space="preserve">1</w:t>
      </w:r>
      <w:r>
        <w:rPr>
          <w:rStyle w:val="FootnoteReference"/>
          <w:rFonts w:cs="Times New Roman"/>
          <w:color w:val="000000"/>
        </w:rPr>
        <w:t>6)</w:t>
      </w:r>
    </w:p>
    <w:p w:rsidR="0087624B">
      <w:pPr>
        <w:rPr>
          <w:rStyle w:val="DefaultParagraphFont"/>
          <w:rFonts w:cs="Times New Roman"/>
          <w:color w:val="000000"/>
        </w:rPr>
      </w:pPr>
    </w:p>
    <w:p w:rsidR="0087624B">
      <w:pPr>
        <w:ind w:firstLine="36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(5) Poskytovanie stravovacích služieb verejnosti v jedálni musí byť časovo alebo priestorovo oddelené od stravovania žiakov a detí. Rozsah stravovacích služieb musí byť v súlade s priestorovou kapacitou a vybavením jedálne a nesmie ohrozovať zdravotnú neškodnosť podávaných pokrmov a dodržiavanie zásad prevádzkovej a osobnej hygieny. </w:t>
      </w: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jc w:val="center"/>
        <w:rPr>
          <w:rStyle w:val="DefaultParagraphFont"/>
          <w:rFonts w:cs="Times New Roman"/>
          <w:color w:val="000000"/>
        </w:rPr>
      </w:pP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  <w:r>
        <w:rPr>
          <w:rStyle w:val="DefaultParagraphFont"/>
          <w:rFonts w:cs="Times New Roman"/>
          <w:b/>
          <w:color w:val="000000"/>
        </w:rPr>
        <w:t>§ 10</w:t>
      </w:r>
    </w:p>
    <w:p w:rsidR="0087624B">
      <w:pPr>
        <w:jc w:val="center"/>
        <w:rPr>
          <w:rStyle w:val="DefaultParagraphFont"/>
          <w:rFonts w:cs="Times New Roman"/>
          <w:b/>
          <w:color w:val="000000"/>
        </w:rPr>
      </w:pPr>
      <w:r>
        <w:rPr>
          <w:rStyle w:val="DefaultParagraphFont"/>
          <w:rFonts w:cs="Times New Roman"/>
          <w:b/>
          <w:color w:val="000000"/>
        </w:rPr>
        <w:t>Činnosti vedúce k výchove a vzdelávaniu</w:t>
      </w:r>
    </w:p>
    <w:p w:rsidR="0087624B">
      <w:pPr>
        <w:rPr>
          <w:rStyle w:val="DefaultParagraphFont"/>
          <w:rFonts w:cs="Times New Roman"/>
          <w:color w:val="000000"/>
        </w:rPr>
      </w:pPr>
    </w:p>
    <w:p w:rsidR="0087624B">
      <w:pPr>
        <w:ind w:firstLine="36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(1) Činnosti vedúce k výchove a vzdelávaniu v zariadení pre deti a mládež musia byť organizované tak, aby utvárali podmienky na zdravý rast a vývin detí a žiakov s prihliadnutím na ich vek, zdravotný stav, stupeň psychosomatického vývinu a na predchádzanie poškodeniam zdravia, najmä nadmernej psychickej a statickej záťaži a vzniku a šíreniu prenosných ochorení.</w:t>
      </w:r>
    </w:p>
    <w:p w:rsidR="0087624B">
      <w:pPr>
        <w:ind w:firstLine="360"/>
        <w:rPr>
          <w:rStyle w:val="DefaultParagraphFont"/>
          <w:rFonts w:cs="Times New Roman"/>
          <w:color w:val="000000"/>
        </w:rPr>
      </w:pPr>
    </w:p>
    <w:p w:rsidR="0087624B">
      <w:pPr>
        <w:ind w:firstLine="36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(2) Činnosti vedúce k výchove a vzdelávaniu musia zohľadňovať fyziologické osobitosti jednotlivých vekových skupín detí a žiakov; musia byť organizované tak, aby predchádzali zdravotným rizikám, a to najmä</w:t>
      </w:r>
    </w:p>
    <w:p w:rsidR="0087624B">
      <w:pPr>
        <w:numPr>
          <w:ilvl w:val="0"/>
          <w:numId w:val="6"/>
        </w:numPr>
        <w:tabs>
          <w:tab w:val="left" w:pos="36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primeranosťou záťaže so zreteľom na vekové a individuálne vývinové osobitosti jednotlivých vekových skupín detí a žiakov,</w:t>
      </w:r>
    </w:p>
    <w:p w:rsidR="0087624B">
      <w:pPr>
        <w:numPr>
          <w:ilvl w:val="0"/>
          <w:numId w:val="6"/>
        </w:numPr>
        <w:tabs>
          <w:tab w:val="left" w:pos="36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uplatňovaním foriem výučby, ktoré podporujú a rozvíjajú telesné zdravie a duševné zdravie, vedú k rozvoju individuálnych schopností detí a žiakov, zvyšujú efektivitu práce pri rešpektovaní psychického vývinu, telesného vývinu a sociálneho vývinu a zdravotného stavu jednotlivca a kompenzujú nepriaznivé účinky učebných a režimových záťaží.</w:t>
      </w:r>
    </w:p>
    <w:p w:rsidR="0087624B">
      <w:pPr>
        <w:rPr>
          <w:rStyle w:val="DefaultParagraphFont"/>
          <w:rFonts w:cs="Times New Roman"/>
          <w:color w:val="000000"/>
        </w:rPr>
      </w:pPr>
    </w:p>
    <w:p w:rsidR="0087624B">
      <w:pPr>
        <w:pStyle w:val="BodyTextIndent"/>
        <w:ind w:firstLine="426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 xml:space="preserve"> (3) Vyučovanie na zmeny</w:t>
      </w:r>
      <w:r>
        <w:rPr>
          <w:rStyle w:val="FootnoteReference"/>
          <w:color w:val="000000"/>
          <w:rtl w:val="0"/>
        </w:rPr>
        <w:footnoteReference w:customMarkFollows="1" w:id="18"/>
        <w:t xml:space="preserve">1</w:t>
      </w:r>
      <w:r>
        <w:rPr>
          <w:rStyle w:val="FootnoteReference"/>
          <w:color w:val="000000"/>
        </w:rPr>
        <w:t>7)</w:t>
      </w:r>
      <w:r>
        <w:rPr>
          <w:rStyle w:val="DefaultParagraphFont"/>
          <w:rFonts w:ascii="Times New Roman" w:hAnsi="Times New Roman"/>
          <w:color w:val="000000"/>
        </w:rPr>
        <w:t xml:space="preserve"> na základnej škole sa môže zavádzať v nevyhnutnom rozsahu, najdlhšie však na obdobie jedného školského roku, pričom do zmenného vyučovania sa nesmú zaraďovať žiaci prvého ročníka. </w:t>
      </w:r>
    </w:p>
    <w:p w:rsidR="0087624B">
      <w:pPr>
        <w:pStyle w:val="BodyTextIndent"/>
        <w:rPr>
          <w:rStyle w:val="DefaultParagraphFont"/>
          <w:rFonts w:ascii="Times New Roman" w:hAnsi="Times New Roman"/>
          <w:color w:val="000000"/>
        </w:rPr>
      </w:pPr>
    </w:p>
    <w:p w:rsidR="0087624B">
      <w:pPr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(4) Rozsadenie žiakov v učebniach</w:t>
      </w:r>
      <w:r>
        <w:rPr>
          <w:rStyle w:val="DefaultParagraphFont"/>
          <w:rFonts w:cs="Times New Roman"/>
          <w:b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>školy</w:t>
      </w:r>
      <w:r>
        <w:rPr>
          <w:rStyle w:val="DefaultParagraphFont"/>
          <w:rFonts w:cs="Times New Roman"/>
          <w:b/>
          <w:color w:val="000000"/>
        </w:rPr>
        <w:t xml:space="preserve"> </w:t>
      </w:r>
      <w:r>
        <w:rPr>
          <w:rStyle w:val="DefaultParagraphFont"/>
          <w:rFonts w:cs="Times New Roman"/>
          <w:color w:val="000000"/>
        </w:rPr>
        <w:t xml:space="preserve">v rámci vyučovania musí zohľadňovať ich telesnú výšku a zdravotný stav. Pri inom ako obvyklom usporiadaní pracovných miest žiakov musí byť zabezpečené striedanie žiakov na pracovných miestach z dôvodu zabránenia jednostrannému zaťaženiu svalových skupín. </w:t>
      </w:r>
    </w:p>
    <w:p w:rsidR="0087624B">
      <w:pPr>
        <w:pStyle w:val="BodyTextIndent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ind w:firstLine="0"/>
        <w:jc w:val="center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11</w:t>
      </w:r>
    </w:p>
    <w:p w:rsidR="0087624B">
      <w:pPr>
        <w:pStyle w:val="BodyTextIndent3"/>
        <w:spacing w:before="0"/>
        <w:ind w:firstLine="0"/>
        <w:jc w:val="center"/>
        <w:rPr>
          <w:rStyle w:val="DefaultParagraphFont"/>
          <w:rFonts w:ascii="Times New Roman" w:hAnsi="Times New Roman"/>
          <w:b/>
          <w:color w:val="000000"/>
          <w:sz w:val="24"/>
        </w:rPr>
      </w:pPr>
      <w:r>
        <w:rPr>
          <w:rStyle w:val="DefaultParagraphFont"/>
          <w:rFonts w:ascii="Times New Roman" w:hAnsi="Times New Roman"/>
          <w:color w:val="000000"/>
          <w:sz w:val="24"/>
        </w:rPr>
        <w:t xml:space="preserve"> </w:t>
      </w:r>
      <w:r>
        <w:rPr>
          <w:rStyle w:val="DefaultParagraphFont"/>
          <w:rFonts w:ascii="Times New Roman" w:hAnsi="Times New Roman"/>
          <w:b/>
          <w:color w:val="000000"/>
          <w:sz w:val="24"/>
        </w:rPr>
        <w:t xml:space="preserve">Náležitosti prevádzkového poriadku </w:t>
      </w:r>
    </w:p>
    <w:p w:rsidR="0087624B">
      <w:pPr>
        <w:tabs>
          <w:tab w:val="left" w:pos="0"/>
        </w:tabs>
        <w:jc w:val="center"/>
        <w:rPr>
          <w:rStyle w:val="DefaultParagraphFont"/>
          <w:rFonts w:cs="Times New Roman"/>
          <w:color w:val="000000"/>
        </w:rPr>
      </w:pPr>
    </w:p>
    <w:p w:rsidR="0087624B">
      <w:pPr>
        <w:tabs>
          <w:tab w:val="left" w:pos="0"/>
        </w:tabs>
        <w:ind w:firstLine="426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(1) Prevádzkový poriadok zariadenia pre deti a mládež musí obsahovať</w:t>
      </w:r>
    </w:p>
    <w:p w:rsidR="0087624B">
      <w:pPr>
        <w:numPr>
          <w:numId w:val="4"/>
        </w:numPr>
        <w:tabs>
          <w:tab w:val="left" w:pos="360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identifikačné údaje prevádzkovateľa zariadenia pre deti a mládež, </w:t>
      </w:r>
    </w:p>
    <w:p w:rsidR="0087624B">
      <w:pPr>
        <w:numPr>
          <w:numId w:val="4"/>
        </w:numPr>
        <w:tabs>
          <w:tab w:val="left" w:pos="360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druh zariadenia pre deti a mládež a najvyšší počet detí a žiakov zodpovedajúci veľkosti vnútorných priestorov zariadenia pre deti a mládež, </w:t>
      </w:r>
    </w:p>
    <w:p w:rsidR="0087624B">
      <w:pPr>
        <w:numPr>
          <w:numId w:val="4"/>
        </w:numPr>
        <w:tabs>
          <w:tab w:val="left" w:pos="360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organizáciu prevádzky zariadenia pre deti a mládež s uvedením spôsobu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organizácie režimu dňa detí a žiakov, činností vedúcich k výchove a vzdelávaniu, vrátane postupu, ak sa u žiaka alebo dieťaťa predškolského veku počas pobytu v zariadení pre deti a mládež prejavia príznaky akútneho ochorenia alebo prenosného parazitárneho ochorenia, podmienok pohybovej aktivity a režimu stravovania, vrátane sortimentu predávaného v rámci doplnkového stravovania prostredníctvom bufetov, automatov a iných foriem ambulantného predaja, 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zabezpečenia dostatočného množstva pitnej vody,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zabezpečenia čistoty a údržby jednotlivých priestorov zariadenia pre deti a mládež, frekvencie bežného a celkového upratovania, spôsobu a frekvencie dezinfekcie záchodov, spŕch, umyvární a šatní,</w:t>
      </w:r>
      <w:r>
        <w:rPr>
          <w:rStyle w:val="DefaultParagraphFont"/>
          <w:rFonts w:cs="Times New Roman"/>
          <w:b/>
          <w:color w:val="000000"/>
        </w:rPr>
        <w:t xml:space="preserve">   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starostlivosti o vonkajšie priestory, najmä o kvalitu piesku a udržovanie piesku, 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 xml:space="preserve">zabezpečenia opatrení zabraňujúcich znečisťovaniu pieskoviska, 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starostlivosti o stav preliezačiek, hojdačiek a ďalších zariadení detských ihrísk z hľadiska bezpečnosti detí,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hanging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skladovania a manipulácie s posteľnou bielizňou, vrátane frekvencie jej výmeny,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09" w:hanging="349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skladovania a manipulácie s detskými plienkami, ak ide o školské zariadenie alebo prevádzkareň určenú pre deti do troch rokov veku,</w:t>
      </w:r>
    </w:p>
    <w:p w:rsidR="0087624B">
      <w:pPr>
        <w:numPr>
          <w:ilvl w:val="1"/>
          <w:numId w:val="4"/>
        </w:numPr>
        <w:tabs>
          <w:tab w:val="left" w:pos="720"/>
          <w:tab w:val="left" w:pos="1080"/>
          <w:tab w:val="left" w:pos="7230"/>
        </w:tabs>
        <w:ind w:left="72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zneškodňovania tuhého odpadu, frekvencie vyprázdňovania odpadových nádob, ich čistenia a dezinfekcie,</w:t>
      </w:r>
    </w:p>
    <w:p w:rsidR="0087624B">
      <w:pPr>
        <w:numPr>
          <w:numId w:val="4"/>
        </w:numPr>
        <w:tabs>
          <w:tab w:val="left" w:pos="360"/>
          <w:tab w:val="left" w:pos="709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pokyny pre zamestnancov vrátane povinnosti zabezpečenia trvalého dozoru nad deťmi a žiakmi,</w:t>
      </w:r>
    </w:p>
    <w:p w:rsidR="0087624B">
      <w:pPr>
        <w:numPr>
          <w:numId w:val="4"/>
        </w:numPr>
        <w:tabs>
          <w:tab w:val="left" w:pos="360"/>
          <w:tab w:val="left" w:pos="567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pokyny pre návštevníkov,</w:t>
      </w:r>
    </w:p>
    <w:p w:rsidR="0087624B">
      <w:pPr>
        <w:numPr>
          <w:numId w:val="4"/>
        </w:numPr>
        <w:tabs>
          <w:tab w:val="left" w:pos="360"/>
          <w:tab w:val="left" w:pos="567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plán opatrení pre prípad mimoriadnych udalostí a havá</w:t>
      </w:r>
      <w:r>
        <w:rPr>
          <w:rStyle w:val="DefaultParagraphFont"/>
          <w:rFonts w:cs="Times New Roman"/>
          <w:color w:val="000000"/>
        </w:rPr>
        <w:softHyphen/>
        <w:t>rií,</w:t>
      </w:r>
    </w:p>
    <w:p w:rsidR="0087624B">
      <w:pPr>
        <w:numPr>
          <w:numId w:val="4"/>
        </w:numPr>
        <w:tabs>
          <w:tab w:val="left" w:pos="360"/>
          <w:tab w:val="left" w:pos="567"/>
          <w:tab w:val="left" w:pos="7230"/>
        </w:tabs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telefónne čísla tiesňových volaní, ak ide o mimoriadnu situáciu, ako aj zoznam  najdôležitejších inštitúcií.</w:t>
      </w:r>
    </w:p>
    <w:p w:rsidR="0087624B">
      <w:pPr>
        <w:tabs>
          <w:tab w:val="left" w:pos="360"/>
          <w:tab w:val="left" w:pos="567"/>
          <w:tab w:val="left" w:pos="7230"/>
        </w:tabs>
        <w:rPr>
          <w:rStyle w:val="DefaultParagraphFont"/>
          <w:rFonts w:cs="Times New Roman"/>
          <w:b/>
          <w:color w:val="000000"/>
        </w:rPr>
      </w:pPr>
    </w:p>
    <w:p w:rsidR="0087624B">
      <w:pPr>
        <w:tabs>
          <w:tab w:val="left" w:pos="7230"/>
        </w:tabs>
        <w:ind w:firstLine="360"/>
        <w:rPr>
          <w:rStyle w:val="DefaultParagraphFont"/>
          <w:rFonts w:cs="Times New Roman"/>
          <w:color w:val="000000"/>
        </w:rPr>
      </w:pPr>
      <w:r>
        <w:rPr>
          <w:rStyle w:val="DefaultParagraphFont"/>
          <w:rFonts w:cs="Times New Roman"/>
          <w:color w:val="000000"/>
        </w:rPr>
        <w:t>(2) Prevádzkový poriadok zariadenia pre deti a mládež musí byť prístupný na vhodnom a viditeľnom mieste.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12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Prechodné ustanovenie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tabs>
          <w:tab w:val="left" w:pos="0"/>
        </w:tabs>
        <w:ind w:firstLine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Prevádzkovatelia zariadení pre deti a mládež prevádzkovaných pred 1. júlom 2007, ktoré nespĺňajú požiadavky uvedené v § 3,  4, § 5 ods. 1 a § 5 ods. 3, sú povinní splniť tieto požiadavky najneskôr do 1. júla 2010 a požiadavky uvedené v § 5 ods. 2 najneskôr do 1. júla 2015.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§ 13</w:t>
      </w:r>
    </w:p>
    <w:p w:rsidR="0087624B">
      <w:pPr>
        <w:pStyle w:val="BodyTextIndent"/>
        <w:tabs>
          <w:tab w:val="left" w:pos="0"/>
        </w:tabs>
        <w:ind w:firstLine="0"/>
        <w:jc w:val="center"/>
        <w:rPr>
          <w:rStyle w:val="DefaultParagraphFont"/>
          <w:rFonts w:ascii="Times New Roman" w:hAnsi="Times New Roman"/>
          <w:b/>
          <w:color w:val="000000"/>
        </w:rPr>
      </w:pPr>
      <w:r>
        <w:rPr>
          <w:rStyle w:val="DefaultParagraphFont"/>
          <w:rFonts w:ascii="Times New Roman" w:hAnsi="Times New Roman"/>
          <w:b/>
          <w:color w:val="000000"/>
        </w:rPr>
        <w:t>Účinnosť</w:t>
      </w:r>
    </w:p>
    <w:p w:rsidR="0087624B">
      <w:pPr>
        <w:pStyle w:val="BodyTextIndent"/>
        <w:ind w:firstLine="360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"/>
        <w:ind w:firstLine="360"/>
        <w:rPr>
          <w:rStyle w:val="DefaultParagraphFont"/>
          <w:rFonts w:ascii="Times New Roman" w:hAnsi="Times New Roman"/>
          <w:color w:val="000000"/>
        </w:rPr>
      </w:pPr>
      <w:r>
        <w:rPr>
          <w:rStyle w:val="DefaultParagraphFont"/>
          <w:rFonts w:ascii="Times New Roman" w:hAnsi="Times New Roman"/>
          <w:color w:val="000000"/>
        </w:rPr>
        <w:t>T</w:t>
      </w:r>
      <w:r w:rsidR="0079666C">
        <w:rPr>
          <w:rStyle w:val="DefaultParagraphFont"/>
          <w:rFonts w:ascii="Times New Roman" w:hAnsi="Times New Roman"/>
          <w:color w:val="000000"/>
        </w:rPr>
        <w:t>áto vyhláška</w:t>
      </w:r>
      <w:r>
        <w:rPr>
          <w:rStyle w:val="DefaultParagraphFont"/>
          <w:rFonts w:ascii="Times New Roman" w:hAnsi="Times New Roman"/>
          <w:color w:val="000000"/>
        </w:rPr>
        <w:t xml:space="preserve"> nadobúda účinnosť 1. júla 2007.  </w:t>
      </w:r>
    </w:p>
    <w:p w:rsidR="0087624B">
      <w:pPr>
        <w:pStyle w:val="BodyTextIndent"/>
        <w:ind w:firstLine="360"/>
        <w:rPr>
          <w:rStyle w:val="DefaultParagraphFont"/>
          <w:rFonts w:ascii="Times New Roman" w:hAnsi="Times New Roman"/>
          <w:color w:val="000000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left="0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 xml:space="preserve">Príloha </w:t>
      </w: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k </w:t>
      </w:r>
      <w:r w:rsidR="00BA4F64">
        <w:rPr>
          <w:rStyle w:val="DefaultParagraphFont"/>
          <w:rFonts w:cs="Times New Roman"/>
        </w:rPr>
        <w:t xml:space="preserve">vyhláške </w:t>
      </w:r>
      <w:r>
        <w:rPr>
          <w:rStyle w:val="DefaultParagraphFont"/>
          <w:rFonts w:cs="Times New Roman"/>
        </w:rPr>
        <w:t>č.</w:t>
      </w:r>
    </w:p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  <w:b/>
        </w:rPr>
      </w:pPr>
      <w:r>
        <w:rPr>
          <w:rStyle w:val="DefaultParagraphFont"/>
          <w:rFonts w:cs="Times New Roman"/>
          <w:b/>
        </w:rPr>
        <w:t>Tabuľka veľkostí školského nábytku</w:t>
      </w:r>
    </w:p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070"/>
        <w:gridCol w:w="3070"/>
        <w:gridCol w:w="3070"/>
      </w:tblGrid>
      <w:tr>
        <w:tblPrEx>
          <w:tblW w:w="0" w:type="auto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Výška sedadla stoličky</w:t>
            </w:r>
          </w:p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(mm)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Výška dosky stola</w:t>
            </w:r>
          </w:p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(mm)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Vhodné výšky detí</w:t>
            </w:r>
          </w:p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(cm)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260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460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100,0-112,5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300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520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112,5-127,5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340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580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127,5-142,5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380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640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142,5-157,5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420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700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157,5-172,5</w:t>
            </w:r>
          </w:p>
        </w:tc>
      </w:tr>
      <w:tr>
        <w:tblPrEx>
          <w:tblW w:w="0" w:type="auto"/>
          <w:tblLayout w:type="fixed"/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hRule="auto" w:val="0"/>
        </w:trPr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460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760</w:t>
            </w:r>
          </w:p>
        </w:tc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nil"/>
              <w:tr2bl w:val="nil"/>
            </w:tcBorders>
            <w:textDirection w:val="lrTb"/>
            <w:vAlign w:val="top"/>
          </w:tcPr>
          <w:p w:rsidR="0087624B">
            <w:pPr>
              <w:pStyle w:val="BodyTextIndent0"/>
              <w:spacing w:after="0"/>
              <w:ind w:left="0"/>
              <w:jc w:val="center"/>
              <w:rPr>
                <w:rStyle w:val="DefaultParagraphFont"/>
                <w:rFonts w:cs="Times New Roman"/>
              </w:rPr>
            </w:pPr>
            <w:r>
              <w:rPr>
                <w:rStyle w:val="DefaultParagraphFont"/>
                <w:rFonts w:cs="Times New Roman"/>
              </w:rPr>
              <w:t>172,5 a viac</w:t>
            </w:r>
          </w:p>
        </w:tc>
      </w:tr>
    </w:tbl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  <w:b/>
        </w:rPr>
      </w:pPr>
      <w:r>
        <w:rPr>
          <w:rStyle w:val="DefaultParagraphFont"/>
          <w:rFonts w:cs="Times New Roman"/>
          <w:b/>
        </w:rPr>
        <w:t>Ergonomické zásady práce žiakov v sede:</w:t>
      </w:r>
    </w:p>
    <w:p w:rsidR="0087624B">
      <w:pPr>
        <w:pStyle w:val="BodyTextIndent0"/>
        <w:spacing w:after="0"/>
        <w:ind w:left="0"/>
        <w:jc w:val="both"/>
        <w:rPr>
          <w:rStyle w:val="DefaultParagraphFont"/>
          <w:rFonts w:cs="Times New Roman"/>
          <w:b/>
        </w:rPr>
      </w:pP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výška sedadla sa má rovnať dĺžke predkolenia zväčšenej o výšku nízkeho opätku (1-2 cm), t. j. chodidlá sa pri zadnom sedení bez námahy a celou plochou dotýkajú podlahy,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hĺbka sedacej plochy má podopierať najmenej 2/3 dĺžky stehna a pri zadnom sedení sa nesmie predný okraj sedadla dostať až do podkolennej jamky,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šírka sedacej plochy musí zodpovedať šírke sedu (panvy) zväčšenej o 5 až 6 cm pre odev a postupnú deformáciu mäkkých tkanív sedením,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vzhľadom na potrebnú stabilitu užívateľa je potrebný sklon sedacej plochy smerom k operadlu o 2 až 3 stupne,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horná hrana operadla má podopierať chrbát vo vzdialenosti 4 až 5 cm pod dolnými uhlami lopatiek, dolná hrana operadla má byť 16 až 17 cm nad sedadlom,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tvarovanie sedacej aj opornej plochy má kopírovať povrch tela,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pracovná plocha stola sa má nachádzať vo výške lakťov voľne spustených paží sediaceho žiaka,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materiál sedadla a operadla nesmie byť pocitovo nepríjemný, studený a musí sa dať ľahko čistiť,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stolička (celý komplet školského sedacieho nábytku) musí mať potrebnú stabilitu,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najmenej namáhavé je sedenie v miernom predklone, vzpriamená poloha vyžaduje zvýšenú námahu,</w:t>
      </w:r>
    </w:p>
    <w:p w:rsidR="0087624B">
      <w:pPr>
        <w:pStyle w:val="BodyTextIndent0"/>
        <w:numPr>
          <w:ilvl w:val="0"/>
          <w:numId w:val="13"/>
        </w:numPr>
        <w:tabs>
          <w:tab w:val="left" w:pos="360"/>
        </w:tabs>
        <w:spacing w:after="0"/>
        <w:jc w:val="both"/>
        <w:rPr>
          <w:rStyle w:val="DefaultParagraphFont"/>
          <w:rFonts w:cs="Times New Roman"/>
        </w:rPr>
      </w:pPr>
      <w:r>
        <w:rPr>
          <w:rStyle w:val="DefaultParagraphFont"/>
          <w:rFonts w:cs="Times New Roman"/>
        </w:rPr>
        <w:t>odporúča sa funkčné striedanie polôh.</w:t>
      </w: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ind w:firstLine="6480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</w:p>
    <w:p w:rsidR="0087624B">
      <w:pPr>
        <w:pStyle w:val="BodyTextIndent0"/>
        <w:spacing w:after="0"/>
        <w:ind w:left="284" w:firstLine="6481"/>
        <w:rPr>
          <w:rStyle w:val="DefaultParagraphFont"/>
          <w:rFonts w:cs="Times New Roman"/>
        </w:rPr>
      </w:pPr>
    </w:p>
    <w:p w:rsidR="00F44CA5">
      <w:pPr>
        <w:pStyle w:val="BodyTextIndent0"/>
        <w:spacing w:after="0"/>
        <w:ind w:left="0"/>
        <w:rPr>
          <w:rStyle w:val="DefaultParagraphFont"/>
          <w:rFonts w:cs="Times New Roman"/>
        </w:rPr>
      </w:pPr>
    </w:p>
    <w:sectPr>
      <w:footerReference w:type="default" r:id="rId5"/>
      <w:pgSz w:w="11906" w:h="16838"/>
      <w:pgMar w:top="1417" w:right="1417" w:bottom="1417" w:left="1417" w:header="708" w:footer="708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Arial">
    <w:altName w:val="Times New Roman"/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4F64">
    <w:pPr>
      <w:pStyle w:val="Footer"/>
      <w:framePr w:vAnchor="text" w:hAnchor="margin" w:xAlign="center"/>
      <w:rPr>
        <w:rStyle w:val="PageNumber"/>
        <w:rFonts w:cs="Times New Roman"/>
      </w:rPr>
    </w:pPr>
    <w:r>
      <w:rPr>
        <w:rStyle w:val="PageNumber"/>
        <w:rFonts w:cs="Times New Roman"/>
      </w:rPr>
      <w:fldChar w:fldCharType="begin"/>
    </w:r>
    <w:r>
      <w:rPr>
        <w:rStyle w:val="PageNumber"/>
        <w:rFonts w:cs="Times New Roman"/>
      </w:rPr>
      <w:instrText xml:space="preserve">PAGE  </w:instrText>
    </w:r>
    <w:r>
      <w:rPr>
        <w:rStyle w:val="PageNumber"/>
        <w:rFonts w:cs="Times New Roman"/>
      </w:rPr>
      <w:fldChar w:fldCharType="separate"/>
    </w:r>
    <w:r w:rsidR="001A3BBC">
      <w:rPr>
        <w:rStyle w:val="PageNumber"/>
        <w:rFonts w:cs="Times New Roman"/>
        <w:noProof/>
      </w:rPr>
      <w:t>9</w:t>
    </w:r>
    <w:r>
      <w:rPr>
        <w:rStyle w:val="PageNumber"/>
        <w:rFonts w:cs="Times New Roman"/>
      </w:rPr>
      <w:fldChar w:fldCharType="end"/>
    </w:r>
  </w:p>
  <w:p w:rsidR="00BA4F64">
    <w:pPr>
      <w:pStyle w:val="Footer"/>
      <w:rPr>
        <w:rStyle w:val="DefaultParagraphFont"/>
        <w:rFonts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/>
  <w:footnote w:type="continuationSeparator" w:id="1"/>
  <w:footnote w:id="2">
    <w:p>
      <w:pPr>
        <w:pStyle w:val="FootnoteText"/>
        <w:ind w:left="709" w:hanging="709"/>
      </w:pPr>
      <w:r w:rsidR="00BA4F64">
        <w:rPr>
          <w:rStyle w:val="FootnoteReference"/>
          <w:rFonts w:ascii="Arial" w:hAnsi="Arial"/>
        </w:rPr>
        <w:t>1)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15 zákona č. 596/2003 Z. z. o štátnej správe v školstve a školskej samospráve a o zmene a doplnení niektorých zákonov.</w:t>
      </w:r>
    </w:p>
  </w:footnote>
  <w:footnote w:id="3">
    <w:p>
      <w:pPr>
        <w:pStyle w:val="FootnoteText"/>
        <w:ind w:left="720" w:hanging="720"/>
        <w:jc w:val="both"/>
      </w:pPr>
      <w:r w:rsidR="00BA4F64">
        <w:rPr>
          <w:rStyle w:val="FootnoteReference"/>
          <w:rFonts w:ascii="Arial" w:hAnsi="Arial"/>
        </w:rPr>
        <w:t>2)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  <w:color w:val="000000"/>
        </w:rPr>
        <w:t>§ 2 ods. 1 zákona č.</w:t>
      </w:r>
      <w:r w:rsidR="00BA4F64">
        <w:rPr>
          <w:rStyle w:val="DefaultParagraphFont"/>
          <w:rFonts w:ascii="Times New Roman" w:hAnsi="Times New Roman"/>
        </w:rPr>
        <w:t xml:space="preserve"> 29/1984 Zb. o sústave základných a stredných škôl (školský zákon) v znení neskorších predpisov.</w:t>
      </w:r>
    </w:p>
  </w:footnote>
  <w:footnote w:id="4">
    <w:p>
      <w:pPr>
        <w:pStyle w:val="FootnoteText"/>
        <w:ind w:left="709" w:hanging="709"/>
        <w:jc w:val="both"/>
      </w:pPr>
      <w:r w:rsidR="00BA4F64">
        <w:rPr>
          <w:rStyle w:val="FootnoteReference"/>
          <w:rFonts w:ascii="Arial" w:hAnsi="Arial"/>
        </w:rPr>
        <w:t>3)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1 ods. 2 zákona Národnej rady Slovenskej republiky č. 279/1993 Z. z. o školských zariadeniach v znení neskorších predpisov.</w:t>
      </w:r>
    </w:p>
  </w:footnote>
  <w:footnote w:id="5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4)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5 zákona Národnej rady Slovenskej republiky č. 279/1993 Z. z.</w:t>
      </w:r>
    </w:p>
  </w:footnote>
  <w:footnote w:id="6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5)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6 ods. 1 zákona Národnej rady Slovenskej republiky č. 279/1993 Z. z.</w:t>
      </w:r>
    </w:p>
  </w:footnote>
  <w:footnote w:id="7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6)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6 ods. 2 zákona Národnej rady Slovenskej republiky č. 279/1993 Z. z.</w:t>
      </w:r>
    </w:p>
  </w:footnote>
  <w:footnote w:id="8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7)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6 ods. 3 zákona Národnej rady Slovenskej republiky č. 279/1993 Z. z.</w:t>
      </w:r>
    </w:p>
  </w:footnote>
  <w:footnote w:id="9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8)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8 ods. 1 zákona Národnej rady Slovenskej republiky č. 279/1993 Z. z.</w:t>
      </w:r>
    </w:p>
  </w:footnote>
  <w:footnote w:id="10">
    <w:p w:rsidR="00BA4F64">
      <w:pPr>
        <w:pStyle w:val="FootnoteText"/>
        <w:rPr>
          <w:rStyle w:val="DefaultParagraphFont"/>
        </w:rPr>
      </w:pPr>
      <w:r>
        <w:rPr>
          <w:rStyle w:val="FootnoteReference"/>
          <w:rFonts w:ascii="Arial" w:hAnsi="Arial"/>
        </w:rPr>
        <w:t>9)</w:t>
      </w:r>
      <w:r>
        <w:rPr>
          <w:rStyle w:val="DefaultParagraphFont"/>
        </w:rPr>
        <w:t xml:space="preserve"> </w:t>
        <w:tab/>
      </w:r>
      <w:r>
        <w:rPr>
          <w:rStyle w:val="DefaultParagraphFont"/>
          <w:rFonts w:ascii="Times New Roman" w:hAnsi="Times New Roman"/>
        </w:rPr>
        <w:t xml:space="preserve">§ 28 zákona č. 29/1984 Zb. </w:t>
      </w:r>
    </w:p>
    <w:p>
      <w:pPr>
        <w:pStyle w:val="FootnoteText"/>
      </w:pPr>
    </w:p>
  </w:footnote>
  <w:footnote w:id="11">
    <w:p>
      <w:pPr>
        <w:pStyle w:val="FootnoteText"/>
      </w:pPr>
      <w:r w:rsidR="00BA4F64">
        <w:rPr>
          <w:rStyle w:val="FootnoteReference"/>
          <w:rFonts w:ascii="Arial" w:hAnsi="Arial"/>
        </w:rPr>
        <w:t>10)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31 ods. 2 zákona Národnej rady Slovenskej republiky č. 279/1993 Z. z.</w:t>
      </w:r>
    </w:p>
  </w:footnote>
  <w:footnote w:id="12">
    <w:p w:rsidR="00BA4F64">
      <w:pPr>
        <w:pStyle w:val="FootnoteText"/>
        <w:ind w:left="720" w:hanging="720"/>
        <w:jc w:val="both"/>
        <w:rPr>
          <w:rStyle w:val="DefaultParagraphFont"/>
        </w:rPr>
      </w:pPr>
      <w:r>
        <w:rPr>
          <w:rStyle w:val="FootnoteReference"/>
          <w:rFonts w:ascii="Arial" w:hAnsi="Arial"/>
        </w:rPr>
        <w:t>11)</w:t>
      </w:r>
      <w:r>
        <w:rPr>
          <w:rStyle w:val="DefaultParagraphFont"/>
        </w:rPr>
        <w:t xml:space="preserve"> </w:t>
        <w:tab/>
        <w:t>V</w:t>
      </w:r>
      <w:r>
        <w:rPr>
          <w:rStyle w:val="DefaultParagraphFont"/>
          <w:rFonts w:ascii="Times New Roman" w:hAnsi="Times New Roman"/>
        </w:rPr>
        <w:t>yhláška Ministerstva životného prostredia Slovenskej republiky č. 532/2002 Z. z., ktorou sa ustanovujú podrobnosti o všeobecných technických požiadavkách na výstavbu a o všeobecných technických požiadavkách na stavby užívané osobami s obmedzenou schopnosťou pohybu a orientácie.</w:t>
      </w:r>
    </w:p>
    <w:p>
      <w:pPr>
        <w:pStyle w:val="FootnoteText"/>
        <w:ind w:left="720" w:hanging="720"/>
        <w:jc w:val="both"/>
      </w:pPr>
    </w:p>
  </w:footnote>
  <w:footnote w:id="13">
    <w:p>
      <w:pPr>
        <w:pStyle w:val="FootnoteText"/>
        <w:ind w:left="709" w:hanging="709"/>
        <w:jc w:val="both"/>
      </w:pPr>
      <w:r w:rsidR="00BA4F64">
        <w:rPr>
          <w:rStyle w:val="FootnoteReference"/>
          <w:rFonts w:ascii="Arial" w:hAnsi="Arial"/>
        </w:rPr>
        <w:t>12)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17 ods. 1 zákona č. ....</w:t>
      </w:r>
      <w:r w:rsidR="00BA4F64">
        <w:rPr>
          <w:rStyle w:val="DefaultParagraphFont"/>
          <w:rFonts w:ascii="Times New Roman" w:hAnsi="Times New Roman"/>
          <w:noProof/>
        </w:rPr>
        <w:t xml:space="preserve">  o ochrane, podpore a rozvoji verejného zdravia a o zmene a doplnení niektorých zákonov.</w:t>
      </w:r>
    </w:p>
  </w:footnote>
  <w:footnote w:id="14">
    <w:p w:rsidR="00BA4F64">
      <w:pPr>
        <w:pStyle w:val="FootnoteText"/>
        <w:jc w:val="both"/>
        <w:rPr>
          <w:rStyle w:val="DefaultParagraphFont"/>
          <w:rFonts w:ascii="Times New Roman" w:hAnsi="Times New Roman"/>
        </w:rPr>
      </w:pPr>
      <w:r>
        <w:rPr>
          <w:rStyle w:val="FootnoteReference"/>
          <w:rFonts w:ascii="Arial" w:hAnsi="Arial"/>
        </w:rPr>
        <w:t>13)</w:t>
      </w:r>
      <w:r>
        <w:rPr>
          <w:rStyle w:val="DefaultParagraphFont"/>
        </w:rPr>
        <w:t xml:space="preserve"> </w:t>
        <w:tab/>
      </w:r>
      <w:r>
        <w:rPr>
          <w:rStyle w:val="DefaultParagraphFont"/>
          <w:rFonts w:ascii="Times New Roman" w:hAnsi="Times New Roman"/>
        </w:rPr>
        <w:t>§ 16 ods. 2 zákona č. 657/2004 Z. z. o tepelnej energetike.</w:t>
      </w:r>
    </w:p>
    <w:p>
      <w:pPr>
        <w:pStyle w:val="FootnoteText"/>
        <w:jc w:val="both"/>
      </w:pPr>
    </w:p>
  </w:footnote>
  <w:footnote w:id="15">
    <w:p>
      <w:pPr>
        <w:pStyle w:val="FootnoteText"/>
      </w:pPr>
      <w:r w:rsidR="00BA4F64">
        <w:rPr>
          <w:rStyle w:val="FootnoteReference"/>
          <w:rFonts w:ascii="Arial" w:hAnsi="Arial"/>
        </w:rPr>
        <w:t>14)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§ 26 ods. 3 písm. i/ a ods. 5 zákona č. ....</w:t>
      </w:r>
    </w:p>
  </w:footnote>
  <w:footnote w:id="16">
    <w:p w:rsidR="00BA4F64">
      <w:pPr>
        <w:pStyle w:val="FootnoteText"/>
        <w:jc w:val="both"/>
        <w:rPr>
          <w:rStyle w:val="DefaultParagraphFont"/>
        </w:rPr>
      </w:pPr>
      <w:r>
        <w:rPr>
          <w:rStyle w:val="FootnoteReference"/>
          <w:rFonts w:ascii="Arial" w:hAnsi="Arial"/>
        </w:rPr>
        <w:t>15)</w:t>
      </w:r>
      <w:r>
        <w:rPr>
          <w:rStyle w:val="DefaultParagraphFont"/>
        </w:rPr>
        <w:t xml:space="preserve"> </w:t>
        <w:tab/>
      </w:r>
      <w:r>
        <w:rPr>
          <w:rStyle w:val="DefaultParagraphFont"/>
          <w:rFonts w:ascii="Times New Roman" w:hAnsi="Times New Roman"/>
        </w:rPr>
        <w:t>§ 42 ods. 1 zákona Národnej rady Slovenskej republiky č. 279/1993 Z. z.</w:t>
      </w:r>
    </w:p>
    <w:p>
      <w:pPr>
        <w:pStyle w:val="FootnoteText"/>
        <w:jc w:val="both"/>
      </w:pPr>
    </w:p>
  </w:footnote>
  <w:footnote w:id="17">
    <w:p>
      <w:pPr>
        <w:pStyle w:val="FootnoteText"/>
        <w:jc w:val="both"/>
      </w:pPr>
      <w:r w:rsidR="00BA4F64">
        <w:rPr>
          <w:rStyle w:val="FootnoteReference"/>
          <w:rFonts w:ascii="Arial" w:hAnsi="Arial"/>
        </w:rPr>
        <w:t>16)</w:t>
      </w:r>
      <w:r w:rsidR="00BA4F64">
        <w:rPr>
          <w:rStyle w:val="DefaultParagraphFont"/>
        </w:rPr>
        <w:t xml:space="preserve"> </w:t>
        <w:tab/>
      </w:r>
      <w:r w:rsidR="00BA4F64">
        <w:rPr>
          <w:rStyle w:val="DefaultParagraphFont"/>
          <w:rFonts w:ascii="Times New Roman" w:hAnsi="Times New Roman"/>
        </w:rPr>
        <w:t>Vyhláška Ministerstva zdravotníctva SR č... o podrobnostiach o požiadavkách na zotavovacie podujatia.</w:t>
      </w:r>
    </w:p>
  </w:footnote>
  <w:footnote w:id="18">
    <w:p w:rsidR="00BA4F64">
      <w:pPr>
        <w:pStyle w:val="FootnoteText"/>
        <w:jc w:val="both"/>
        <w:rPr>
          <w:rStyle w:val="DefaultParagraphFont"/>
          <w:rFonts w:ascii="Times New Roman" w:hAnsi="Times New Roman"/>
        </w:rPr>
      </w:pPr>
      <w:r>
        <w:rPr>
          <w:rStyle w:val="FootnoteReference"/>
          <w:rFonts w:ascii="Arial" w:hAnsi="Arial"/>
        </w:rPr>
        <w:t>17)</w:t>
      </w:r>
      <w:r>
        <w:rPr>
          <w:rStyle w:val="DefaultParagraphFont"/>
        </w:rPr>
        <w:t xml:space="preserve"> </w:t>
        <w:tab/>
      </w:r>
      <w:r>
        <w:rPr>
          <w:rStyle w:val="DefaultParagraphFont"/>
          <w:rFonts w:ascii="Times New Roman" w:hAnsi="Times New Roman"/>
        </w:rPr>
        <w:t>§ 14 ods. 5 písm. a) zákona č. 596/2003 Z. z.</w:t>
      </w:r>
    </w:p>
    <w:p>
      <w:pPr>
        <w:pStyle w:val="FootnoteText"/>
        <w:jc w:val="both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04595"/>
    <w:multiLevelType w:val="multilevel"/>
    <w:tmpl w:val="6E7882E4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ascii="Times New Roman" w:hAnsi="Times New Roman"/>
        <w:sz w:val="24"/>
        <w:szCs w:val="24"/>
        <w:rtl w:val="0"/>
      </w:rPr>
    </w:lvl>
    <w:lvl w:ilvl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ascii="Times New Roman" w:hAnsi="Times New Roman"/>
        <w:rtl w:val="0"/>
      </w:rPr>
    </w:lvl>
  </w:abstractNum>
  <w:abstractNum w:abstractNumId="1">
    <w:nsid w:val="04777416"/>
    <w:multiLevelType w:val="singleLevel"/>
    <w:tmpl w:val="3B0478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rtl w:val="0"/>
      </w:rPr>
    </w:lvl>
  </w:abstractNum>
  <w:abstractNum w:abstractNumId="2">
    <w:nsid w:val="04AE483F"/>
    <w:multiLevelType w:val="multilevel"/>
    <w:tmpl w:val="B61AA4EA"/>
    <w:lvl w:ilvl="0">
      <w:start w:val="1"/>
      <w:numFmt w:val="decimal"/>
      <w:lvlText w:val="%1."/>
      <w:lvlJc w:val="left"/>
      <w:pPr>
        <w:tabs>
          <w:tab w:val="num" w:pos="785"/>
        </w:tabs>
        <w:ind w:left="765" w:hanging="34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3">
    <w:nsid w:val="297472D0"/>
    <w:multiLevelType w:val="multilevel"/>
    <w:tmpl w:val="1152E54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4">
    <w:nsid w:val="2C794D9F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5">
    <w:nsid w:val="34612D5A"/>
    <w:multiLevelType w:val="singleLevel"/>
    <w:tmpl w:val="ADBA2B0A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  <w:rPr>
        <w:rFonts w:ascii="Times New Roman" w:hAnsi="Times New Roman"/>
        <w:rtl w:val="0"/>
      </w:rPr>
    </w:lvl>
  </w:abstractNum>
  <w:abstractNum w:abstractNumId="6">
    <w:nsid w:val="3E963B1A"/>
    <w:multiLevelType w:val="singleLevel"/>
    <w:tmpl w:val="E6DE5E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bCs w:val="0"/>
        <w:i w:val="0"/>
        <w:iCs w:val="0"/>
        <w:rtl w:val="0"/>
      </w:rPr>
    </w:lvl>
  </w:abstractNum>
  <w:abstractNum w:abstractNumId="7">
    <w:nsid w:val="537B5F9A"/>
    <w:multiLevelType w:val="singleLevel"/>
    <w:tmpl w:val="3B04780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b w:val="0"/>
        <w:i w:val="0"/>
        <w:sz w:val="24"/>
        <w:rtl w:val="0"/>
      </w:rPr>
    </w:lvl>
  </w:abstractNum>
  <w:abstractNum w:abstractNumId="8">
    <w:nsid w:val="5392427C"/>
    <w:multiLevelType w:val="multilevel"/>
    <w:tmpl w:val="053292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  <w:rtl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/>
        <w:rtl w:val="0"/>
      </w:rPr>
    </w:lvl>
  </w:abstractNum>
  <w:abstractNum w:abstractNumId="9">
    <w:nsid w:val="5F975DBE"/>
    <w:multiLevelType w:val="singleLevel"/>
    <w:tmpl w:val="1F508ED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</w:abstractNum>
  <w:abstractNum w:abstractNumId="10">
    <w:nsid w:val="68A95699"/>
    <w:multiLevelType w:val="multilevel"/>
    <w:tmpl w:val="2B165C2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/>
        <w:rtl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b w:val="0"/>
        <w:bCs w:val="0"/>
        <w:i w:val="0"/>
        <w:iCs w:val="0"/>
        <w:sz w:val="24"/>
        <w:szCs w:val="24"/>
        <w:rtl w:val="0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/>
        <w:rtl w:val="0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/>
        <w:rtl w:val="0"/>
      </w:rPr>
    </w:lvl>
  </w:abstractNum>
  <w:abstractNum w:abstractNumId="11">
    <w:nsid w:val="6AAF1A1F"/>
    <w:multiLevelType w:val="multilevel"/>
    <w:tmpl w:val="23528C00"/>
    <w:lvl w:ilvl="0">
      <w:start w:val="1"/>
      <w:numFmt w:val="decimal"/>
      <w:pStyle w:val="Textodstavce"/>
      <w:isLgl/>
      <w:lvlText w:val="(%1)"/>
      <w:lvlJc w:val="left"/>
      <w:pPr>
        <w:tabs>
          <w:tab w:val="num" w:pos="785"/>
        </w:tabs>
        <w:ind w:left="0" w:firstLine="425"/>
      </w:pPr>
      <w:rPr>
        <w:rFonts w:ascii="Times New Roman" w:hAnsi="Times New Roman"/>
        <w:rtl w:val="0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Times New Roman" w:hAnsi="Times New Roman"/>
        <w:rtl w:val="0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ascii="Times New Roman" w:hAnsi="Times New Roman"/>
        <w:rtl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/>
        <w:rtl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/>
        <w:rtl w:val="0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/>
        <w:rtl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/>
        <w:rtl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/>
        <w:rtl w:val="0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/>
        <w:rtl w:val="0"/>
      </w:rPr>
    </w:lvl>
  </w:abstractNum>
  <w:abstractNum w:abstractNumId="12">
    <w:nsid w:val="6F735246"/>
    <w:multiLevelType w:val="singleLevel"/>
    <w:tmpl w:val="113681D2"/>
    <w:lvl w:ilvl="0">
      <w:start w:val="1"/>
      <w:numFmt w:val="lowerLetter"/>
      <w:pStyle w:val="Nadpisparagrafu"/>
      <w:lvlText w:val="%1)"/>
      <w:lvlJc w:val="left"/>
      <w:pPr>
        <w:tabs>
          <w:tab w:val="num" w:pos="425"/>
        </w:tabs>
        <w:ind w:left="425" w:hanging="425"/>
      </w:pPr>
      <w:rPr>
        <w:rFonts w:ascii="Times New Roman" w:hAnsi="Times New Roman"/>
        <w:rtl w:val="0"/>
      </w:rPr>
    </w:lvl>
  </w:abstractNum>
  <w:abstractNum w:abstractNumId="13">
    <w:nsid w:val="6F735247"/>
    <w:multiLevelType w:val="multilevel"/>
    <w:tmpl w:val="6F735247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4">
    <w:nsid w:val="6F735248"/>
    <w:multiLevelType w:val="multilevel"/>
    <w:tmpl w:val="6F735248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5">
    <w:nsid w:val="6F735249"/>
    <w:multiLevelType w:val="multilevel"/>
    <w:tmpl w:val="6F735249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6">
    <w:nsid w:val="6F73524A"/>
    <w:multiLevelType w:val="multilevel"/>
    <w:tmpl w:val="6F73524A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7">
    <w:nsid w:val="6F73524B"/>
    <w:multiLevelType w:val="multilevel"/>
    <w:tmpl w:val="6F73524B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8">
    <w:nsid w:val="6F73524C"/>
    <w:multiLevelType w:val="multilevel"/>
    <w:tmpl w:val="6F73524C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19">
    <w:nsid w:val="6F73524D"/>
    <w:multiLevelType w:val="multilevel"/>
    <w:tmpl w:val="6F73524D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0">
    <w:nsid w:val="6F73524E"/>
    <w:multiLevelType w:val="multilevel"/>
    <w:tmpl w:val="6F73524E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1">
    <w:nsid w:val="6F73524F"/>
    <w:multiLevelType w:val="multilevel"/>
    <w:tmpl w:val="6F73524F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2">
    <w:nsid w:val="6F735250"/>
    <w:multiLevelType w:val="multilevel"/>
    <w:tmpl w:val="6F735250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3">
    <w:nsid w:val="6F735251"/>
    <w:multiLevelType w:val="multilevel"/>
    <w:tmpl w:val="6F735251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4">
    <w:nsid w:val="6F735252"/>
    <w:multiLevelType w:val="multilevel"/>
    <w:tmpl w:val="6F735252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5">
    <w:nsid w:val="6F735253"/>
    <w:multiLevelType w:val="multilevel"/>
    <w:tmpl w:val="6F735253"/>
    <w:lvl w:ilvl="0">
      <w:start w:val="1"/>
      <w:numFmt w:val="lowerLetter"/>
      <w:lvlText w:val=")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6">
    <w:nsid w:val="6F735254"/>
    <w:multiLevelType w:val="multilevel"/>
    <w:tmpl w:val="6F735254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7">
    <w:nsid w:val="6F735255"/>
    <w:multiLevelType w:val="multilevel"/>
    <w:tmpl w:val="6F735255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8">
    <w:nsid w:val="6F735256"/>
    <w:multiLevelType w:val="multilevel"/>
    <w:tmpl w:val="6F735256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29">
    <w:nsid w:val="6F735257"/>
    <w:multiLevelType w:val="multilevel"/>
    <w:tmpl w:val="6F735257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0">
    <w:nsid w:val="6F735258"/>
    <w:multiLevelType w:val="multilevel"/>
    <w:tmpl w:val="6F735258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1">
    <w:nsid w:val="6F735259"/>
    <w:multiLevelType w:val="multilevel"/>
    <w:tmpl w:val="6F735259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2">
    <w:nsid w:val="6F73525A"/>
    <w:multiLevelType w:val="multilevel"/>
    <w:tmpl w:val="6F73525A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3">
    <w:nsid w:val="6F73525B"/>
    <w:multiLevelType w:val="multilevel"/>
    <w:tmpl w:val="6F73525B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4">
    <w:nsid w:val="6F73525C"/>
    <w:multiLevelType w:val="multilevel"/>
    <w:tmpl w:val="6F73525C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5">
    <w:nsid w:val="6F73525D"/>
    <w:multiLevelType w:val="multilevel"/>
    <w:tmpl w:val="6F73525D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abstractNum w:abstractNumId="36">
    <w:nsid w:val="6F73525E"/>
    <w:multiLevelType w:val="multilevel"/>
    <w:tmpl w:val="6F73525E"/>
    <w:lvl w:ilvl="0">
      <w:start w:val="1"/>
      <w:numFmt w:val="bullet"/>
      <w:lvlText w:val="-"/>
      <w:lvlJc w:val="left"/>
      <w:pPr>
        <w:ind w:left="0"/>
      </w:pPr>
    </w:lvl>
    <w:lvl w:ilvl="1">
      <w:start w:val="1"/>
      <w:numFmt w:val="decimal"/>
      <w:lvlJc w:val="left"/>
      <w:pPr>
        <w:ind w:left="0"/>
      </w:pPr>
    </w:lvl>
    <w:lvl w:ilvl="2">
      <w:start w:val="1"/>
      <w:numFmt w:val="decimal"/>
      <w:lvlJc w:val="left"/>
      <w:pPr>
        <w:ind w:left="0"/>
      </w:pPr>
    </w:lvl>
    <w:lvl w:ilvl="3">
      <w:start w:val="1"/>
      <w:numFmt w:val="decimal"/>
      <w:lvlJc w:val="left"/>
      <w:pPr>
        <w:ind w:left="0"/>
      </w:pPr>
    </w:lvl>
    <w:lvl w:ilvl="4">
      <w:start w:val="1"/>
      <w:numFmt w:val="decimal"/>
      <w:lvlJc w:val="left"/>
      <w:pPr>
        <w:ind w:left="0"/>
      </w:pPr>
    </w:lvl>
    <w:lvl w:ilvl="5">
      <w:start w:val="1"/>
      <w:numFmt w:val="decimal"/>
      <w:lvlJc w:val="left"/>
      <w:pPr>
        <w:ind w:left="0"/>
      </w:pPr>
    </w:lvl>
    <w:lvl w:ilvl="6">
      <w:start w:val="1"/>
      <w:numFmt w:val="decimal"/>
      <w:lvlJc w:val="left"/>
      <w:pPr>
        <w:ind w:left="0"/>
      </w:pPr>
    </w:lvl>
    <w:lvl w:ilvl="7">
      <w:start w:val="1"/>
      <w:numFmt w:val="decimal"/>
      <w:lvlJc w:val="left"/>
      <w:pPr>
        <w:ind w:left="0"/>
      </w:pPr>
    </w:lvl>
    <w:lvl w:ilvl="8">
      <w:start w:val="1"/>
      <w:numFmt w:val="decimal"/>
      <w:lvlJc w:val="left"/>
      <w:pPr>
        <w:ind w:left="0"/>
      </w:pPr>
    </w:lvl>
  </w:abstractNum>
  <w:num w:numId="1">
    <w:abstractNumId w:val="6"/>
  </w:num>
  <w:num w:numId="2">
    <w:abstractNumId w:val="5"/>
  </w:num>
  <w:num w:numId="3">
    <w:abstractNumId w:val="9"/>
  </w:num>
  <w:num w:numId="4">
    <w:abstractNumId w:val="10"/>
  </w:num>
  <w:num w:numId="5">
    <w:abstractNumId w:val="3"/>
  </w:num>
  <w:num w:numId="6">
    <w:abstractNumId w:val="4"/>
  </w:num>
  <w:num w:numId="7">
    <w:abstractNumId w:val="12"/>
  </w:num>
  <w:num w:numId="8">
    <w:abstractNumId w:val="11"/>
  </w:num>
  <w:num w:numId="9">
    <w:abstractNumId w:val="2"/>
  </w:num>
  <w:num w:numId="10">
    <w:abstractNumId w:val="8"/>
  </w:num>
  <w:num w:numId="11">
    <w:abstractNumId w:val="0"/>
  </w:num>
  <w:num w:numId="12">
    <w:abstractNumId w:val="1"/>
  </w:num>
  <w:num w:numId="13">
    <w:abstractNumId w:val="7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oNotHyphenateCaps/>
  <w:displayHorizontalDrawingGridEvery w:val="0"/>
  <w:displayVerticalDrawingGridEvery w:val="3"/>
  <w:characterSpacingControl w:val="compressPunctuation"/>
  <w:footnotePr>
    <w:footnote w:id="0"/>
    <w:footnote w:id="1"/>
  </w:foot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doNotUseIndentAsNumberingTabStop/>
    <w:allowSpaceOfSameStyleInTable/>
    <w:splitPgBreakAndParaMark/>
    <w:useAnsiKerningPairs/>
  </w:compat>
  <w:rsids>
    <w:rsidRoot w:val="00000000"/>
    <w:rsid w:val="001A3BBC"/>
    <w:rsid w:val="004F7248"/>
    <w:rsid w:val="00765614"/>
    <w:rsid w:val="0079666C"/>
    <w:rsid w:val="0087624B"/>
    <w:rsid w:val="00BA4F64"/>
    <w:rsid w:val="00F44CA5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15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99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Times New Roman" w:hAnsi="Times New Roman"/>
      <w:sz w:val="24"/>
      <w:szCs w:val="24"/>
      <w:rtl w:val="0"/>
      <w:lang w:val="sk-SK" w:eastAsia="sk-SK" w:bidi="ar-SA"/>
    </w:rPr>
  </w:style>
  <w:style w:type="paragraph" w:styleId="Heading1">
    <w:name w:val="heading 1"/>
    <w:basedOn w:val="Normal"/>
    <w:next w:val="Normal"/>
    <w:uiPriority w:val="99"/>
    <w:pPr>
      <w:keepNext/>
      <w:ind w:firstLine="284"/>
      <w:jc w:val="center"/>
      <w:outlineLvl w:val="0"/>
    </w:pPr>
    <w:rPr>
      <w:rFonts w:ascii="Arial" w:hAnsi="Arial" w:cs="Arial"/>
      <w:b/>
      <w:bCs/>
    </w:rPr>
  </w:style>
  <w:style w:type="paragraph" w:styleId="Heading2">
    <w:name w:val="heading 2"/>
    <w:aliases w:val="Char Char,Char Char Char Char"/>
    <w:basedOn w:val="Normal"/>
    <w:next w:val="Normal"/>
    <w:uiPriority w:val="99"/>
    <w:pPr>
      <w:keepNext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uiPriority w:val="99"/>
    <w:pPr>
      <w:keepNext/>
      <w:ind w:firstLine="426"/>
      <w:jc w:val="both"/>
      <w:outlineLvl w:val="2"/>
    </w:pPr>
    <w:rPr>
      <w:b/>
      <w:bCs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uiPriority w:val="99"/>
    <w:pPr>
      <w:jc w:val="center"/>
    </w:pPr>
    <w:rPr>
      <w:rFonts w:ascii="Arial" w:hAnsi="Arial" w:cs="Arial"/>
      <w:b/>
      <w:bCs/>
    </w:rPr>
  </w:style>
  <w:style w:type="paragraph" w:styleId="BodyTextIndent">
    <w:name w:val="Body Text Indent"/>
    <w:basedOn w:val="Normal"/>
    <w:uiPriority w:val="99"/>
    <w:pPr>
      <w:ind w:firstLine="284"/>
      <w:jc w:val="both"/>
    </w:pPr>
    <w:rPr>
      <w:rFonts w:ascii="Arial" w:hAnsi="Arial" w:cs="Arial"/>
    </w:rPr>
  </w:style>
  <w:style w:type="paragraph" w:styleId="BodyText">
    <w:name w:val="Body Text"/>
    <w:basedOn w:val="Normal"/>
    <w:uiPriority w:val="99"/>
    <w:pPr>
      <w:jc w:val="center"/>
    </w:pPr>
    <w:rPr>
      <w:rFonts w:ascii="Arial" w:hAnsi="Arial" w:cs="Arial"/>
      <w:b/>
      <w:bCs/>
    </w:rPr>
  </w:style>
  <w:style w:type="paragraph" w:styleId="BodyTextIndent2">
    <w:name w:val="Body Text Indent 2"/>
    <w:basedOn w:val="Normal"/>
    <w:uiPriority w:val="99"/>
    <w:pPr>
      <w:ind w:firstLine="284"/>
      <w:jc w:val="left"/>
    </w:pPr>
    <w:rPr>
      <w:rFonts w:ascii="Arial" w:hAnsi="Arial" w:cs="Arial"/>
    </w:rPr>
  </w:style>
  <w:style w:type="character" w:styleId="FootnoteReference">
    <w:name w:val="footnote reference"/>
    <w:basedOn w:val="DefaultParagraphFont"/>
    <w:uiPriority w:val="99"/>
    <w:semiHidden/>
    <w:rPr>
      <w:rFonts w:ascii="Times New Roman" w:hAnsi="Times New Roman"/>
      <w:vertAlign w:val="superscript"/>
      <w:rtl w:val="0"/>
    </w:rPr>
  </w:style>
  <w:style w:type="paragraph" w:styleId="FootnoteText">
    <w:name w:val="footnote text"/>
    <w:basedOn w:val="Normal"/>
    <w:uiPriority w:val="99"/>
    <w:semiHidden/>
    <w:pPr>
      <w:jc w:val="left"/>
    </w:pPr>
    <w:rPr>
      <w:rFonts w:ascii="Arial" w:hAnsi="Arial" w:cs="Arial"/>
      <w:sz w:val="20"/>
      <w:szCs w:val="20"/>
    </w:rPr>
  </w:style>
  <w:style w:type="paragraph" w:styleId="BodyTextIndent3">
    <w:name w:val="Body Text Indent 3"/>
    <w:basedOn w:val="Normal"/>
    <w:uiPriority w:val="99"/>
    <w:pPr>
      <w:tabs>
        <w:tab w:val="left" w:pos="0"/>
      </w:tabs>
      <w:spacing w:before="120"/>
      <w:ind w:firstLine="284"/>
      <w:jc w:val="both"/>
    </w:pPr>
    <w:rPr>
      <w:rFonts w:ascii="Arial" w:hAnsi="Arial" w:cs="Arial"/>
      <w:sz w:val="22"/>
      <w:szCs w:val="22"/>
    </w:rPr>
  </w:style>
  <w:style w:type="paragraph" w:styleId="Footer">
    <w:name w:val="footer"/>
    <w:basedOn w:val="Normal"/>
    <w:uiPriority w:val="99"/>
    <w:pPr>
      <w:tabs>
        <w:tab w:val="center" w:pos="4536"/>
        <w:tab w:val="right" w:pos="9072"/>
      </w:tabs>
      <w:jc w:val="both"/>
    </w:pPr>
  </w:style>
  <w:style w:type="character" w:styleId="PageNumber">
    <w:name w:val="page number"/>
    <w:basedOn w:val="DefaultParagraphFont"/>
    <w:uiPriority w:val="99"/>
    <w:rPr>
      <w:rFonts w:ascii="Times New Roman" w:hAnsi="Times New Roman"/>
      <w:rtl w:val="0"/>
    </w:rPr>
  </w:style>
  <w:style w:type="paragraph" w:styleId="BalloonText">
    <w:name w:val="Balloon Text"/>
    <w:basedOn w:val="Normal"/>
    <w:uiPriority w:val="99"/>
    <w:semiHidden/>
    <w:pPr>
      <w:jc w:val="both"/>
    </w:pPr>
    <w:rPr>
      <w:rFonts w:ascii="Tahoma" w:hAnsi="Tahoma" w:cs="Tahoma"/>
      <w:sz w:val="16"/>
      <w:szCs w:val="16"/>
    </w:rPr>
  </w:style>
  <w:style w:type="paragraph" w:customStyle="1" w:styleId="Textodstavce">
    <w:name w:val="Text odstavce"/>
    <w:basedOn w:val="Normal"/>
    <w:uiPriority w:val="99"/>
    <w:pPr>
      <w:numPr>
        <w:numId w:val="8"/>
      </w:numPr>
      <w:tabs>
        <w:tab w:val="left" w:pos="785"/>
        <w:tab w:val="left" w:pos="851"/>
      </w:tabs>
      <w:spacing w:before="120" w:after="120"/>
      <w:ind w:firstLine="425"/>
      <w:jc w:val="both"/>
      <w:outlineLvl w:val="6"/>
    </w:pPr>
    <w:rPr>
      <w:lang w:val="cs-CZ"/>
    </w:rPr>
  </w:style>
  <w:style w:type="paragraph" w:customStyle="1" w:styleId="Textbodu">
    <w:name w:val="Text bodu"/>
    <w:basedOn w:val="Normal"/>
    <w:uiPriority w:val="99"/>
    <w:pPr>
      <w:numPr>
        <w:ilvl w:val="2"/>
        <w:numId w:val="8"/>
      </w:numPr>
      <w:tabs>
        <w:tab w:val="left" w:pos="851"/>
      </w:tabs>
      <w:ind w:left="851" w:hanging="426"/>
      <w:jc w:val="both"/>
      <w:outlineLvl w:val="8"/>
    </w:pPr>
    <w:rPr>
      <w:lang w:val="cs-CZ"/>
    </w:rPr>
  </w:style>
  <w:style w:type="paragraph" w:customStyle="1" w:styleId="Textpsmene">
    <w:name w:val="Text písmene"/>
    <w:basedOn w:val="Normal"/>
    <w:uiPriority w:val="99"/>
    <w:pPr>
      <w:numPr>
        <w:ilvl w:val="1"/>
        <w:numId w:val="8"/>
      </w:numPr>
      <w:tabs>
        <w:tab w:val="left" w:pos="425"/>
      </w:tabs>
      <w:ind w:left="425" w:hanging="425"/>
      <w:jc w:val="both"/>
      <w:outlineLvl w:val="7"/>
    </w:pPr>
    <w:rPr>
      <w:lang w:val="cs-CZ"/>
    </w:rPr>
  </w:style>
  <w:style w:type="paragraph" w:customStyle="1" w:styleId="Nadpisparagrafu">
    <w:name w:val="Nadpis paragrafu"/>
    <w:basedOn w:val="Normal"/>
    <w:next w:val="Textodstavce"/>
    <w:uiPriority w:val="99"/>
    <w:pPr>
      <w:keepNext/>
      <w:keepLines/>
      <w:numPr>
        <w:numId w:val="7"/>
      </w:numPr>
      <w:tabs>
        <w:tab w:val="left" w:pos="425"/>
      </w:tabs>
      <w:spacing w:before="240"/>
      <w:ind w:left="425" w:hanging="425"/>
      <w:jc w:val="center"/>
      <w:outlineLvl w:val="5"/>
    </w:pPr>
    <w:rPr>
      <w:b/>
      <w:bCs/>
      <w:lang w:val="cs-CZ"/>
    </w:rPr>
  </w:style>
  <w:style w:type="paragraph" w:customStyle="1" w:styleId="dka">
    <w:name w:val="Řádka"/>
    <w:uiPriority w:val="99"/>
    <w:pPr>
      <w:widowControl w:val="0"/>
      <w:autoSpaceDE w:val="0"/>
      <w:autoSpaceDN w:val="0"/>
      <w:bidi w:val="0"/>
      <w:adjustRightInd w:val="0"/>
      <w:ind w:left="0" w:right="0"/>
      <w:jc w:val="both"/>
      <w:textAlignment w:val="auto"/>
    </w:pPr>
    <w:rPr>
      <w:rFonts w:ascii="Times New Roman" w:hAnsi="Times New Roman"/>
      <w:color w:val="000000"/>
      <w:sz w:val="24"/>
      <w:szCs w:val="24"/>
      <w:rtl w:val="0"/>
      <w:lang w:val="cs-CZ" w:eastAsia="sk-SK" w:bidi="ar-SA"/>
    </w:rPr>
  </w:style>
  <w:style w:type="paragraph" w:styleId="Header">
    <w:name w:val="header"/>
    <w:basedOn w:val="Normal"/>
    <w:uiPriority w:val="99"/>
    <w:pPr>
      <w:tabs>
        <w:tab w:val="center" w:pos="4536"/>
        <w:tab w:val="right" w:pos="9072"/>
      </w:tabs>
      <w:jc w:val="both"/>
    </w:pPr>
    <w:rPr>
      <w:lang w:val="cs-CZ"/>
    </w:rPr>
  </w:style>
  <w:style w:type="paragraph" w:customStyle="1" w:styleId="Oddl">
    <w:name w:val="Oddíl"/>
    <w:basedOn w:val="Normal"/>
    <w:next w:val="Normal"/>
    <w:uiPriority w:val="99"/>
    <w:pPr>
      <w:keepNext/>
      <w:keepLines/>
      <w:spacing w:before="240"/>
      <w:jc w:val="center"/>
      <w:outlineLvl w:val="4"/>
    </w:pPr>
    <w:rPr>
      <w:lang w:val="cs-CZ"/>
    </w:rPr>
  </w:style>
  <w:style w:type="paragraph" w:customStyle="1" w:styleId="Nadpisdlu">
    <w:name w:val="Nadpis dílu"/>
    <w:basedOn w:val="Normal"/>
    <w:next w:val="Oddl"/>
    <w:uiPriority w:val="99"/>
    <w:pPr>
      <w:keepNext/>
      <w:keepLines/>
      <w:jc w:val="center"/>
      <w:outlineLvl w:val="3"/>
    </w:pPr>
    <w:rPr>
      <w:b/>
      <w:bCs/>
      <w:lang w:val="cs-CZ"/>
    </w:rPr>
  </w:style>
  <w:style w:type="paragraph" w:customStyle="1" w:styleId="dka3">
    <w:name w:val="Řádka 3"/>
    <w:basedOn w:val="Normal"/>
    <w:uiPriority w:val="99"/>
    <w:pPr>
      <w:spacing w:before="120"/>
      <w:jc w:val="both"/>
    </w:pPr>
    <w:rPr>
      <w:lang w:val="cs-CZ"/>
    </w:rPr>
  </w:style>
  <w:style w:type="paragraph" w:customStyle="1" w:styleId="Casti">
    <w:name w:val="Casti"/>
    <w:basedOn w:val="Heading1"/>
    <w:uiPriority w:val="99"/>
    <w:pPr>
      <w:autoSpaceDE/>
      <w:autoSpaceDN/>
      <w:spacing w:before="360" w:after="360"/>
      <w:ind w:firstLine="0"/>
      <w:jc w:val="center"/>
    </w:pPr>
    <w:rPr>
      <w:color w:val="000000"/>
      <w:kern w:val="32"/>
      <w:szCs w:val="32"/>
      <w:lang w:eastAsia="en-US"/>
    </w:rPr>
  </w:style>
  <w:style w:type="paragraph" w:customStyle="1" w:styleId="Podnadpis">
    <w:name w:val="Podnadpis"/>
    <w:uiPriority w:val="99"/>
    <w:pPr>
      <w:widowControl w:val="0"/>
      <w:autoSpaceDE/>
      <w:autoSpaceDN/>
      <w:bidi w:val="0"/>
      <w:adjustRightInd w:val="0"/>
      <w:spacing w:before="72" w:after="72"/>
      <w:ind w:left="0" w:right="0"/>
      <w:jc w:val="left"/>
      <w:textAlignment w:val="auto"/>
    </w:pPr>
    <w:rPr>
      <w:rFonts w:ascii="Times New Roman" w:hAnsi="Times New Roman"/>
      <w:b/>
      <w:color w:val="000000"/>
      <w:sz w:val="24"/>
      <w:szCs w:val="20"/>
      <w:rtl w:val="0"/>
      <w:lang w:val="cs-CZ" w:eastAsia="en-GB" w:bidi="ar-SA"/>
    </w:rPr>
  </w:style>
  <w:style w:type="paragraph" w:customStyle="1" w:styleId="BodyTextIndent0">
    <w:name w:val="Body Text Indent_0"/>
    <w:basedOn w:val="Normal"/>
    <w:uiPriority w:val="99"/>
    <w:pPr>
      <w:autoSpaceDE/>
      <w:autoSpaceDN/>
      <w:spacing w:after="120"/>
      <w:ind w:left="283"/>
      <w:jc w:val="left"/>
    </w:pPr>
  </w:style>
  <w:style w:type="paragraph" w:customStyle="1" w:styleId="Nadpis">
    <w:name w:val="Nadpis"/>
    <w:uiPriority w:val="99"/>
    <w:pPr>
      <w:keepNext/>
      <w:keepLines/>
      <w:widowControl w:val="0"/>
      <w:autoSpaceDE/>
      <w:autoSpaceDN/>
      <w:bidi w:val="0"/>
      <w:adjustRightInd w:val="0"/>
      <w:spacing w:before="144" w:after="72"/>
      <w:ind w:left="0" w:right="0"/>
      <w:jc w:val="left"/>
      <w:textAlignment w:val="auto"/>
    </w:pPr>
    <w:rPr>
      <w:rFonts w:ascii="Times New Roman" w:hAnsi="Times New Roman"/>
      <w:b/>
      <w:color w:val="000000"/>
      <w:sz w:val="24"/>
      <w:szCs w:val="20"/>
      <w:u w:val="single"/>
      <w:rtl w:val="0"/>
      <w:lang w:val="cs-CZ" w:eastAsia="en-GB" w:bidi="ar-SA"/>
    </w:rPr>
  </w:style>
  <w:style w:type="paragraph" w:styleId="BodyText2">
    <w:name w:val="Body Text 2"/>
    <w:basedOn w:val="Normal"/>
    <w:uiPriority w:val="99"/>
    <w:pPr>
      <w:autoSpaceDE/>
      <w:autoSpaceDN/>
      <w:spacing w:after="120"/>
      <w:ind w:left="283"/>
      <w:jc w:val="left"/>
    </w:pPr>
  </w:style>
  <w:style w:type="character" w:styleId="CommentReference">
    <w:name w:val="annotation reference"/>
    <w:basedOn w:val="DefaultParagraphFont"/>
    <w:uiPriority w:val="99"/>
    <w:semiHidden/>
    <w:rPr>
      <w:rFonts w:ascii="Times New Roman" w:hAnsi="Times New Roman"/>
      <w:sz w:val="16"/>
      <w:rtl w:val="0"/>
    </w:rPr>
  </w:style>
  <w:style w:type="paragraph" w:styleId="CommentText">
    <w:name w:val="annotation text"/>
    <w:basedOn w:val="Normal"/>
    <w:uiPriority w:val="99"/>
    <w:semiHidden/>
    <w:pPr>
      <w:jc w:val="both"/>
    </w:pPr>
    <w:rPr>
      <w:sz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Pages>9</Pages>
  <Words>2914</Words>
  <Characters>17198</Characters>
  <Application>Microsoft Office Word</Application>
  <DocSecurity>0</DocSecurity>
  <Lines>0</Lines>
  <Paragraphs>0</Paragraphs>
  <ScaleCrop>false</ScaleCrop>
  <Company>Ministerstvo Zdravotníctva SR</Company>
  <LinksUpToDate>false</LinksUpToDate>
  <CharactersWithSpaces>20072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</dc:title>
  <dc:creator>Ministerstvo Zdravotníctva SR</dc:creator>
  <cp:lastModifiedBy>Viera Martincová</cp:lastModifiedBy>
  <cp:revision>2</cp:revision>
  <cp:lastPrinted>2007-03-05T14:27:00Z</cp:lastPrinted>
  <dcterms:created xsi:type="dcterms:W3CDTF">2007-04-11T15:31:00Z</dcterms:created>
  <dcterms:modified xsi:type="dcterms:W3CDTF">2007-04-11T15:31:00Z</dcterms:modified>
</cp:coreProperties>
</file>