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83A13">
      <w:pPr>
        <w:pStyle w:val="Title"/>
        <w:rPr>
          <w:rStyle w:val="DefaultParagraphFont"/>
          <w:rFonts w:cs="Times New Roman"/>
        </w:rPr>
      </w:pPr>
    </w:p>
    <w:p w:rsidR="00783A13">
      <w:pPr>
        <w:pStyle w:val="Title"/>
        <w:rPr>
          <w:rStyle w:val="DefaultParagraphFont"/>
          <w:rFonts w:cs="Times New Roman"/>
        </w:rPr>
      </w:pPr>
      <w:r>
        <w:rPr>
          <w:rStyle w:val="DefaultParagraphFont"/>
          <w:rFonts w:cs="Times New Roman"/>
        </w:rPr>
        <w:t xml:space="preserve">TABUĽKA ZHODY       </w:t>
      </w:r>
    </w:p>
    <w:p w:rsidR="00783A13">
      <w:pPr>
        <w:pStyle w:val="BodyText3"/>
        <w:rPr>
          <w:rStyle w:val="DefaultParagraphFont"/>
          <w:rFonts w:cs="Times New Roman"/>
        </w:rPr>
      </w:pPr>
      <w:r>
        <w:rPr>
          <w:rStyle w:val="DefaultParagraphFont"/>
          <w:rFonts w:cs="Times New Roman"/>
        </w:rPr>
        <w:t>nariadenia vlády SR č. ........ Z.z. o minimálnych zdravotných a bezpečnostných požiadavkách na ochranu zamestnancov pred rizikami súvisiacimi s expozíciou umelému optickému žiareniu</w:t>
      </w:r>
    </w:p>
    <w:p w:rsidR="00783A13">
      <w:pPr>
        <w:pStyle w:val="BodyText3"/>
        <w:rPr>
          <w:rStyle w:val="DefaultParagraphFont"/>
          <w:rFonts w:cs="Times New Roman"/>
          <w:sz w:val="24"/>
          <w:szCs w:val="24"/>
        </w:rPr>
      </w:pPr>
      <w:r>
        <w:rPr>
          <w:rStyle w:val="DefaultParagraphFont"/>
          <w:rFonts w:cs="Times New Roman"/>
        </w:rPr>
        <w:t>s právom Európskych spoločenstiev a právom Európskej únie</w:t>
      </w:r>
    </w:p>
    <w:p w:rsidR="00783A13">
      <w:pPr>
        <w:jc w:val="center"/>
        <w:rPr>
          <w:rStyle w:val="DefaultParagraphFont"/>
          <w:rFonts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4"/>
        <w:gridCol w:w="3554"/>
        <w:gridCol w:w="567"/>
        <w:gridCol w:w="992"/>
        <w:gridCol w:w="727"/>
        <w:gridCol w:w="4820"/>
        <w:gridCol w:w="549"/>
        <w:gridCol w:w="585"/>
        <w:gridCol w:w="709"/>
        <w:gridCol w:w="89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531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Heading1"/>
              <w:rPr>
                <w:rStyle w:val="DefaultParagraphFont"/>
                <w:rFonts w:cs="Times New Roman"/>
              </w:rPr>
            </w:pPr>
            <w:r>
              <w:rPr>
                <w:rStyle w:val="DefaultParagraphFont"/>
                <w:rFonts w:cs="Times New Roman"/>
              </w:rPr>
              <w:t>Právny akt ES/EÚ</w:t>
            </w:r>
          </w:p>
        </w:tc>
        <w:tc>
          <w:tcPr>
            <w:tcW w:w="9273"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Heading1"/>
              <w:rPr>
                <w:rStyle w:val="DefaultParagraphFont"/>
                <w:rFonts w:cs="Times New Roman"/>
              </w:rPr>
            </w:pPr>
            <w:r>
              <w:rPr>
                <w:rStyle w:val="DefaultParagraphFont"/>
                <w:rFonts w:cs="Times New Roman"/>
              </w:rPr>
              <w:t>Právne predpisy Slovenskej republiky</w:t>
            </w:r>
          </w:p>
        </w:tc>
      </w:tr>
      <w:tr>
        <w:tblPrEx>
          <w:tblW w:w="0" w:type="auto"/>
          <w:tblLayout w:type="fixed"/>
          <w:tblCellMar>
            <w:top w:w="0" w:type="dxa"/>
            <w:left w:w="70" w:type="dxa"/>
            <w:bottom w:w="0" w:type="dxa"/>
            <w:right w:w="70" w:type="dxa"/>
          </w:tblCellMar>
        </w:tblPrEx>
        <w:trPr>
          <w:trHeight w:hRule="auto" w:val="0"/>
        </w:trPr>
        <w:tc>
          <w:tcPr>
            <w:tcW w:w="531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both"/>
              <w:rPr>
                <w:rStyle w:val="DefaultParagraphFont"/>
                <w:rFonts w:cs="Times New Roman"/>
                <w:b/>
                <w:bCs/>
              </w:rPr>
            </w:pPr>
            <w:r>
              <w:rPr>
                <w:rStyle w:val="DefaultParagraphFont"/>
                <w:rFonts w:cs="Times New Roman"/>
                <w:b/>
                <w:bCs/>
              </w:rPr>
              <w:t>Smernica Európskeho parlamentu a Rady 2006/25/ES z 5. apríla 2006 o minimálnych zdravotných a bezpečnostných požiadavkách týkajúcich sa vystavenia pracovníkov rizikám vyplývajúcim z fyzikálnych faktorov (umelé optické žiarenie)</w:t>
            </w:r>
          </w:p>
        </w:tc>
        <w:tc>
          <w:tcPr>
            <w:tcW w:w="9273"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b/>
                <w:bCs/>
              </w:rPr>
            </w:pPr>
            <w:r>
              <w:rPr>
                <w:rStyle w:val="DefaultParagraphFont"/>
                <w:rFonts w:cs="Times New Roman"/>
                <w:b/>
                <w:bCs/>
              </w:rPr>
              <w:t>Návrh zákona č...../2007 Z. z. o ochrane, podpore a rozvoji verejného zdravia a o zmene a doplnení niektorých zákonov</w:t>
            </w:r>
          </w:p>
          <w:p w:rsidR="00783A13">
            <w:pPr>
              <w:pStyle w:val="Heading2"/>
              <w:rPr>
                <w:rStyle w:val="DefaultParagraphFont"/>
                <w:rFonts w:cs="Times New Roman"/>
              </w:rPr>
            </w:pPr>
            <w:r>
              <w:rPr>
                <w:rStyle w:val="DefaultParagraphFont"/>
                <w:rFonts w:cs="Times New Roman"/>
              </w:rPr>
              <w:t>Nariadenie vlády SR č.......... Z.z. o minimálnych zdravotných a bezpečnostných požiadavkách na ochranu zamestnancov  pred rizikami súvisiacimi s expozíciou umelému optickému žiareniu</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2</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3</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4</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5</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6</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7</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8</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9</w:t>
            </w: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10</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cantSplit/>
          <w:trHeight w:val="1540"/>
        </w:trPr>
        <w:tc>
          <w:tcPr>
            <w:tcW w:w="1194" w:type="dxa"/>
            <w:tcBorders>
              <w:top w:val="single" w:sz="6" w:space="0" w:color="auto"/>
              <w:left w:val="single" w:sz="6" w:space="0" w:color="auto"/>
              <w:bottom w:val="single" w:sz="4" w:space="0" w:color="auto"/>
              <w:right w:val="single" w:sz="6" w:space="0" w:color="auto"/>
              <w:tl2br w:val="nil"/>
              <w:tr2bl w:val="nil"/>
            </w:tcBorders>
            <w:textDirection w:val="btLr"/>
            <w:vAlign w:val="top"/>
          </w:tcPr>
          <w:p w:rsidR="00783A13">
            <w:pPr>
              <w:ind w:left="113" w:right="113"/>
              <w:jc w:val="center"/>
              <w:rPr>
                <w:rStyle w:val="DefaultParagraphFont"/>
                <w:rFonts w:cs="Times New Roman"/>
                <w:b/>
                <w:bCs/>
              </w:rPr>
            </w:pPr>
          </w:p>
          <w:p w:rsidR="00783A13">
            <w:pPr>
              <w:pStyle w:val="Heading3"/>
              <w:rPr>
                <w:rStyle w:val="DefaultParagraphFont"/>
                <w:rFonts w:cs="Times New Roman"/>
              </w:rPr>
            </w:pPr>
            <w:r>
              <w:rPr>
                <w:rStyle w:val="DefaultParagraphFont"/>
                <w:rFonts w:cs="Times New Roman"/>
              </w:rPr>
              <w:t>Článok</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783A13">
            <w:pPr>
              <w:pStyle w:val="Heading1"/>
              <w:rPr>
                <w:rStyle w:val="DefaultParagraphFont"/>
                <w:rFonts w:cs="Times New Roman"/>
              </w:rPr>
            </w:pPr>
            <w:r>
              <w:rPr>
                <w:rStyle w:val="DefaultParagraphFont"/>
                <w:rFonts w:cs="Times New Roman"/>
              </w:rPr>
              <w:t>Text</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ind w:left="113" w:right="113"/>
              <w:jc w:val="center"/>
              <w:rPr>
                <w:rStyle w:val="DefaultParagraphFont"/>
                <w:rFonts w:cs="Times New Roman"/>
                <w:b/>
                <w:bCs/>
              </w:rPr>
            </w:pPr>
            <w:r>
              <w:rPr>
                <w:rStyle w:val="DefaultParagraphFont"/>
                <w:rFonts w:cs="Times New Roman"/>
                <w:b/>
                <w:bCs/>
              </w:rPr>
              <w:t>Spôsob transpozície</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ind w:left="113" w:right="113"/>
              <w:jc w:val="center"/>
              <w:rPr>
                <w:rStyle w:val="DefaultParagraphFont"/>
                <w:rFonts w:cs="Times New Roman"/>
                <w:b/>
                <w:bCs/>
              </w:rPr>
            </w:pPr>
          </w:p>
          <w:p w:rsidR="00783A13">
            <w:pPr>
              <w:ind w:left="113" w:right="113"/>
              <w:jc w:val="center"/>
              <w:rPr>
                <w:rStyle w:val="DefaultParagraphFont"/>
                <w:rFonts w:cs="Times New Roman"/>
                <w:b/>
                <w:bCs/>
              </w:rPr>
            </w:pPr>
            <w:r>
              <w:rPr>
                <w:rStyle w:val="DefaultParagraphFont"/>
                <w:rFonts w:cs="Times New Roman"/>
                <w:b/>
                <w:bCs/>
              </w:rPr>
              <w:t>Číslo</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ind w:left="113" w:right="113"/>
              <w:jc w:val="center"/>
              <w:rPr>
                <w:rStyle w:val="DefaultParagraphFont"/>
                <w:rFonts w:cs="Times New Roman"/>
                <w:b/>
                <w:bCs/>
              </w:rPr>
            </w:pPr>
            <w:r>
              <w:rPr>
                <w:rStyle w:val="DefaultParagraphFont"/>
                <w:rFonts w:cs="Times New Roman"/>
                <w:b/>
                <w:bCs/>
              </w:rPr>
              <w:t>Článok</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783A13">
            <w:pPr>
              <w:jc w:val="center"/>
              <w:rPr>
                <w:rStyle w:val="DefaultParagraphFont"/>
                <w:rFonts w:cs="Times New Roman"/>
                <w:b/>
                <w:bCs/>
              </w:rPr>
            </w:pPr>
            <w:r>
              <w:rPr>
                <w:rStyle w:val="DefaultParagraphFont"/>
                <w:rFonts w:cs="Times New Roman"/>
                <w:b/>
                <w:bCs/>
              </w:rPr>
              <w:t>Text</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ind w:left="113" w:right="113"/>
              <w:jc w:val="center"/>
              <w:rPr>
                <w:rStyle w:val="DefaultParagraphFont"/>
                <w:rFonts w:cs="Times New Roman"/>
                <w:b/>
                <w:bCs/>
              </w:rPr>
            </w:pPr>
            <w:r>
              <w:rPr>
                <w:rStyle w:val="DefaultParagraphFont"/>
                <w:rFonts w:cs="Times New Roman"/>
                <w:b/>
                <w:bCs/>
              </w:rPr>
              <w:t>Zhoda</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ind w:left="113" w:right="113"/>
              <w:jc w:val="center"/>
              <w:rPr>
                <w:rStyle w:val="DefaultParagraphFont"/>
                <w:rFonts w:cs="Times New Roman"/>
                <w:b/>
                <w:bCs/>
              </w:rPr>
            </w:pPr>
            <w:r>
              <w:rPr>
                <w:rStyle w:val="DefaultParagraphFont"/>
                <w:rFonts w:cs="Times New Roman"/>
                <w:b/>
                <w:bCs/>
              </w:rPr>
              <w:t>Administr. infraštruktúra</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ind w:left="113" w:right="113"/>
              <w:jc w:val="center"/>
              <w:rPr>
                <w:rStyle w:val="DefaultParagraphFont"/>
                <w:rFonts w:cs="Times New Roman"/>
                <w:b/>
                <w:bCs/>
              </w:rPr>
            </w:pPr>
          </w:p>
          <w:p w:rsidR="00783A13">
            <w:pPr>
              <w:ind w:left="113" w:right="113"/>
              <w:jc w:val="center"/>
              <w:rPr>
                <w:rStyle w:val="DefaultParagraphFont"/>
                <w:rFonts w:cs="Times New Roman"/>
                <w:b/>
                <w:bCs/>
              </w:rPr>
            </w:pPr>
            <w:r>
              <w:rPr>
                <w:rStyle w:val="DefaultParagraphFont"/>
                <w:rFonts w:cs="Times New Roman"/>
                <w:b/>
                <w:bCs/>
              </w:rPr>
              <w:t>Poznámky</w:t>
            </w:r>
          </w:p>
        </w:tc>
        <w:tc>
          <w:tcPr>
            <w:tcW w:w="891"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783A13">
            <w:pPr>
              <w:pStyle w:val="BlockText"/>
              <w:jc w:val="center"/>
              <w:rPr>
                <w:rStyle w:val="DefaultParagraphFont"/>
                <w:rFonts w:cs="Times New Roman"/>
                <w:b/>
                <w:bCs/>
              </w:rPr>
            </w:pPr>
            <w:r>
              <w:rPr>
                <w:rStyle w:val="DefaultParagraphFont"/>
                <w:rFonts w:cs="Times New Roman"/>
                <w:b/>
                <w:bCs/>
              </w:rPr>
              <w:t>Štádium  legislatívneho</w:t>
            </w:r>
          </w:p>
          <w:p w:rsidR="00783A13">
            <w:pPr>
              <w:ind w:left="113" w:right="113"/>
              <w:jc w:val="center"/>
              <w:rPr>
                <w:rStyle w:val="DefaultParagraphFont"/>
                <w:rFonts w:cs="Times New Roman"/>
                <w:b/>
                <w:bCs/>
              </w:rPr>
            </w:pPr>
            <w:r>
              <w:rPr>
                <w:rStyle w:val="DefaultParagraphFont"/>
                <w:rFonts w:cs="Times New Roman"/>
                <w:b/>
                <w:bCs/>
              </w:rPr>
              <w:t>procesu</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w:t>
            </w:r>
          </w:p>
          <w:p w:rsidR="00783A13">
            <w:pPr>
              <w:rPr>
                <w:rStyle w:val="DefaultParagraphFont"/>
                <w:rFonts w:cs="Times New Roman"/>
              </w:rPr>
            </w:pPr>
            <w:r>
              <w:rPr>
                <w:rStyle w:val="DefaultParagraphFont"/>
                <w:rFonts w:cs="Times New Roman"/>
              </w:rPr>
              <w:t>O: 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rPr>
              <w:t>Táto smernica, ktorá je 19. samostatnou smernicou v zmysle článku 16 ods.</w:t>
            </w:r>
            <w:r>
              <w:rPr>
                <w:rStyle w:val="DefaultParagraphFont"/>
                <w:rFonts w:cs="Times New Roman"/>
              </w:rPr>
              <w:t xml:space="preserve"> </w:t>
            </w:r>
            <w:r>
              <w:rPr>
                <w:rStyle w:val="DefaultParagraphFont"/>
                <w:rFonts w:cs="Times New Roman"/>
                <w:noProof/>
              </w:rPr>
              <w:t>1 smernice 89/391/EHS, stanovuje minimálne požiadavky na ochranu pracovníkov pred rizikami na ich zdravie a bezpečnosť, vyplývajúcimi alebo u ktorých je pravdepodobnosť, že vyplývajú z vystavenia umelému optickému žiareniu počas ich práce.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1</w:t>
            </w:r>
          </w:p>
          <w:p w:rsidR="00783A13">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Toto nariadenie vlády ustanovuje minimálne požiadavky na zaistenie bezpečnosti a ochrany zdravia zamestnancov v súvislosti s expozíciou optickému žiareniu z umelých zdrojov (ďalej len “umelému optickému žiareniu”) a na predchádzanie rizikám a ohrozeniam, ktoré vznikajú alebo môžu vznikať v súvislosti s expozíciou umelému optickému žiareniu, najmä na predchádzanie poškodenia očí a kože zamestnancov.</w:t>
            </w:r>
          </w:p>
          <w:p w:rsidR="00783A13">
            <w:pPr>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w:t>
            </w:r>
          </w:p>
          <w:p w:rsidR="00783A13">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tabs>
                <w:tab w:val="left" w:pos="1100"/>
              </w:tabs>
              <w:jc w:val="both"/>
              <w:rPr>
                <w:rStyle w:val="DefaultParagraphFont"/>
                <w:rFonts w:cs="Times New Roman"/>
              </w:rPr>
            </w:pPr>
            <w:r>
              <w:rPr>
                <w:rStyle w:val="DefaultParagraphFont"/>
                <w:rFonts w:cs="Times New Roman"/>
                <w:noProof/>
              </w:rPr>
              <w:t>Táto smernica sa vzťahuje na riziko pre zdravie a bezpečnosť pracovníkov v dôsledku nepriaznivých účinkov pre oči a kožu spôsobených vystavením umelému optickému žiareniu.</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1</w:t>
            </w:r>
          </w:p>
          <w:p w:rsidR="00783A13">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Toto nariadenie vlády ustanovuje minimálne požiadavky na zaistenie bezpečnosti a ochrany zdravia zamestnancov v súvislosti s expozíciou optickému žiareniu z umelých zdrojov (ďalej len “umelému optickému žiareniu”) a na predchádzanie rizikám a ohrozeniam, ktoré vznikajú alebo môžu vznikať v súvislosti s expozíciou umelému optickému žiareniu, najmä na predchádzanie poškodenia očí a kože zamestnancov.</w:t>
            </w:r>
          </w:p>
          <w:p w:rsidR="00783A13">
            <w:pPr>
              <w:pStyle w:val="EnvelopeReturn"/>
              <w:jc w:val="both"/>
              <w:rPr>
                <w:rStyle w:val="DefaultParagraphFont"/>
                <w:rFonts w:cs="Times New Roman"/>
                <w:sz w:val="20"/>
                <w:szCs w:val="20"/>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w:t>
            </w:r>
          </w:p>
          <w:p w:rsidR="00783A13">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rPr>
              <w:t>Smernica 89/391/EHS sa v plnom rozsahu uplatňuje na celú oblasť uvádzanú v odseku 1, bez toho, aby boli dotknuté prísnejšie a/alebo osobitnejšie ustanovenia obsiahnuté v tejto smernici.</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jc w:val="center"/>
              <w:rPr>
                <w:rStyle w:val="DefaultParagraphFont"/>
                <w:rFonts w:cs="Times New Roman"/>
              </w:rPr>
            </w:pPr>
            <w:r>
              <w:rPr>
                <w:rStyle w:val="DefaultParagraphFont"/>
                <w:rFonts w:cs="Times New Roman"/>
              </w:rPr>
              <w:t>n.a.</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Požiadavky smernice 89/391/EHS sú premietnuté do zákona č. 124/2006 Z.z. a prísnejšie požiadavky sú predmetom tohto nariadenia</w:t>
            </w: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2</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a</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b</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c</w:t>
            </w:r>
          </w:p>
          <w:p w:rsidR="00783A13">
            <w:pPr>
              <w:rPr>
                <w:rStyle w:val="DefaultParagraphFont"/>
                <w:rFonts w:cs="Times New Roman"/>
              </w:rPr>
            </w:pPr>
            <w:r>
              <w:rPr>
                <w:rStyle w:val="DefaultParagraphFont"/>
                <w:rFonts w:cs="Times New Roman"/>
              </w:rPr>
              <w:t>P: d</w:t>
            </w: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e</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f</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g</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h</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P: i</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noProof/>
              </w:rPr>
            </w:pPr>
            <w:r>
              <w:rPr>
                <w:rStyle w:val="DefaultParagraphFont"/>
                <w:rFonts w:cs="Times New Roman"/>
                <w:noProof/>
              </w:rPr>
              <w:t>Na účely tejto smernice sa uplatňujú tieto pojmy:</w:t>
            </w:r>
          </w:p>
          <w:p w:rsidR="00783A13">
            <w:pPr>
              <w:jc w:val="both"/>
              <w:rPr>
                <w:rStyle w:val="DefaultParagraphFont"/>
                <w:rFonts w:cs="Times New Roman"/>
                <w:noProof/>
              </w:rPr>
            </w:pPr>
          </w:p>
          <w:p w:rsidR="00783A13">
            <w:pPr>
              <w:rPr>
                <w:rStyle w:val="DefaultParagraphFont"/>
                <w:rFonts w:cs="Times New Roman"/>
                <w:noProof/>
              </w:rPr>
            </w:pPr>
            <w:r>
              <w:rPr>
                <w:rStyle w:val="DefaultParagraphFont"/>
                <w:rFonts w:cs="Times New Roman"/>
                <w:noProof/>
              </w:rPr>
              <w:t>optické žiarenie: akékoľvek elektromagnetické žiarenie s vlnovou dĺžkou od 100 nm do 1 mm. Spektrum optického žiarenia sa delí na ultrafialové žiarenie, viditeľné žiarenie a infračervené žiarenie:</w:t>
            </w:r>
          </w:p>
          <w:p w:rsidR="00783A13">
            <w:pPr>
              <w:rPr>
                <w:rStyle w:val="DefaultParagraphFont"/>
                <w:rFonts w:cs="Times New Roman"/>
              </w:rPr>
            </w:pPr>
            <w:r>
              <w:rPr>
                <w:rStyle w:val="DefaultParagraphFont"/>
                <w:rFonts w:cs="Times New Roman"/>
              </w:rPr>
              <w:t>(i)</w:t>
              <w:tab/>
              <w:t>ultrafialové žiarenie: optické žiarenie s vlnovou dĺžkou od 100 nm do 400 nm. Ultrafialová oblasť sa delí na UVA (315-400 nm), UVB (280-315 nm) a UVC (100-280 nm);</w:t>
            </w:r>
          </w:p>
          <w:p w:rsidR="00783A13">
            <w:pPr>
              <w:rPr>
                <w:rStyle w:val="DefaultParagraphFont"/>
                <w:rFonts w:cs="Times New Roman"/>
              </w:rPr>
            </w:pPr>
            <w:r>
              <w:rPr>
                <w:rStyle w:val="DefaultParagraphFont"/>
                <w:rFonts w:cs="Times New Roman"/>
                <w:noProof/>
              </w:rPr>
              <w:t>(ii)</w:t>
            </w:r>
            <w:r>
              <w:rPr>
                <w:rStyle w:val="DefaultParagraphFont"/>
                <w:rFonts w:cs="Times New Roman"/>
              </w:rPr>
              <w:tab/>
            </w:r>
            <w:r>
              <w:rPr>
                <w:rStyle w:val="DefaultParagraphFont"/>
                <w:rFonts w:cs="Times New Roman"/>
                <w:noProof/>
              </w:rPr>
              <w:t>viditeľné žiarenie:</w:t>
            </w:r>
            <w:r>
              <w:rPr>
                <w:rStyle w:val="DefaultParagraphFont"/>
                <w:rFonts w:cs="Times New Roman"/>
              </w:rPr>
              <w:t xml:space="preserve"> </w:t>
            </w:r>
            <w:r>
              <w:rPr>
                <w:rStyle w:val="DefaultParagraphFont"/>
                <w:rFonts w:cs="Times New Roman"/>
                <w:noProof/>
              </w:rPr>
              <w:t>optické žiarenie s vlnovou dĺžkou od 380 nm do 780 nm;</w:t>
            </w:r>
          </w:p>
          <w:p w:rsidR="00783A13">
            <w:pPr>
              <w:numPr>
                <w:numId w:val="18"/>
              </w:numPr>
              <w:tabs>
                <w:tab w:val="left" w:pos="1080"/>
              </w:tabs>
              <w:jc w:val="both"/>
              <w:rPr>
                <w:rStyle w:val="DefaultParagraphFont"/>
                <w:rFonts w:cs="Times New Roman"/>
                <w:noProof/>
              </w:rPr>
            </w:pPr>
            <w:r>
              <w:rPr>
                <w:rStyle w:val="DefaultParagraphFont"/>
                <w:rFonts w:cs="Times New Roman"/>
                <w:noProof/>
              </w:rPr>
              <w:t>infračervené žiarenie:</w:t>
            </w:r>
            <w:r>
              <w:rPr>
                <w:rStyle w:val="DefaultParagraphFont"/>
                <w:rFonts w:cs="Times New Roman"/>
              </w:rPr>
              <w:t xml:space="preserve"> </w:t>
            </w:r>
            <w:r>
              <w:rPr>
                <w:rStyle w:val="DefaultParagraphFont"/>
                <w:rFonts w:cs="Times New Roman"/>
                <w:noProof/>
              </w:rPr>
              <w:t>optické žiarenie s vlnovou dĺžkou od 780 nm do 1 mm. Infračervená oblasť sa delí na IRA (780-1400 nm), IRB (1400-3 000 nm) a IRC (3000 nm- 1 mm)</w:t>
            </w:r>
          </w:p>
          <w:p w:rsidR="00783A13">
            <w:pPr>
              <w:jc w:val="both"/>
              <w:rPr>
                <w:rStyle w:val="DefaultParagraphFont"/>
                <w:rFonts w:cs="Times New Roman"/>
                <w:noProof/>
              </w:rPr>
            </w:pPr>
            <w:r>
              <w:rPr>
                <w:rStyle w:val="DefaultParagraphFont"/>
                <w:rFonts w:cs="Times New Roman"/>
                <w:noProof/>
              </w:rPr>
              <w:t>laser (zosilňovanie svetla pomocou stimulovanej emisie žiarenia):</w:t>
            </w:r>
            <w:r>
              <w:rPr>
                <w:rStyle w:val="DefaultParagraphFont"/>
                <w:rFonts w:cs="Times New Roman"/>
              </w:rPr>
              <w:t xml:space="preserve"> </w:t>
            </w:r>
            <w:r>
              <w:rPr>
                <w:rStyle w:val="DefaultParagraphFont"/>
                <w:rFonts w:cs="Times New Roman"/>
                <w:noProof/>
              </w:rPr>
              <w:t>akékoľvek zariadenie, ktoré môže byť prispôsobené na výrobu alebo zosilňovanie elektromagnetického žiarenia v rozsahu vlnovej dĺžky optického žiarenia predovšetkým procesom kontrolovanej stimulovanej emisie;</w:t>
            </w:r>
          </w:p>
          <w:p w:rsidR="00783A13">
            <w:pPr>
              <w:jc w:val="both"/>
              <w:rPr>
                <w:rStyle w:val="DefaultParagraphFont"/>
                <w:rFonts w:cs="Times New Roman"/>
                <w:noProof/>
              </w:rPr>
            </w:pPr>
            <w:r>
              <w:rPr>
                <w:rStyle w:val="DefaultParagraphFont"/>
                <w:rFonts w:cs="Times New Roman"/>
                <w:noProof/>
              </w:rPr>
              <w:t>žiarenie laserov:</w:t>
            </w:r>
            <w:r>
              <w:rPr>
                <w:rStyle w:val="DefaultParagraphFont"/>
                <w:rFonts w:cs="Times New Roman"/>
              </w:rPr>
              <w:t xml:space="preserve"> </w:t>
            </w:r>
            <w:r>
              <w:rPr>
                <w:rStyle w:val="DefaultParagraphFont"/>
                <w:rFonts w:cs="Times New Roman"/>
                <w:noProof/>
              </w:rPr>
              <w:t>optické žiarenie laserov;</w:t>
            </w:r>
          </w:p>
          <w:p w:rsidR="00783A13">
            <w:pPr>
              <w:jc w:val="both"/>
              <w:rPr>
                <w:rStyle w:val="DefaultParagraphFont"/>
                <w:rFonts w:cs="Times New Roman"/>
                <w:noProof/>
              </w:rPr>
            </w:pPr>
            <w:r>
              <w:rPr>
                <w:rStyle w:val="DefaultParagraphFont"/>
                <w:rFonts w:cs="Times New Roman"/>
                <w:noProof/>
              </w:rPr>
              <w:t>nekoherentné žiarenie:</w:t>
            </w:r>
            <w:r>
              <w:rPr>
                <w:rStyle w:val="DefaultParagraphFont"/>
                <w:rFonts w:cs="Times New Roman"/>
                <w:i/>
                <w:iCs/>
              </w:rPr>
              <w:t xml:space="preserve"> </w:t>
            </w:r>
            <w:r>
              <w:rPr>
                <w:rStyle w:val="DefaultParagraphFont"/>
                <w:rFonts w:cs="Times New Roman"/>
                <w:noProof/>
              </w:rPr>
              <w:t>akékoľvek iné optické žiarenie ako žiarenie laserov;</w:t>
            </w:r>
          </w:p>
          <w:p w:rsidR="00783A13">
            <w:pPr>
              <w:jc w:val="both"/>
              <w:rPr>
                <w:rStyle w:val="DefaultParagraphFont"/>
                <w:rFonts w:cs="Times New Roman"/>
                <w:noProof/>
              </w:rPr>
            </w:pPr>
            <w:r>
              <w:rPr>
                <w:rStyle w:val="DefaultParagraphFont"/>
                <w:rFonts w:cs="Times New Roman"/>
                <w:noProof/>
              </w:rPr>
              <w:t>limitné hodnoty expozície:</w:t>
            </w:r>
            <w:r>
              <w:rPr>
                <w:rStyle w:val="DefaultParagraphFont"/>
                <w:rFonts w:cs="Times New Roman"/>
              </w:rPr>
              <w:t xml:space="preserve"> limitné</w:t>
            </w:r>
            <w:r>
              <w:rPr>
                <w:rStyle w:val="DefaultParagraphFont"/>
                <w:rFonts w:cs="Times New Roman"/>
                <w:noProof/>
              </w:rPr>
              <w:t xml:space="preserve"> hodnoty vystavenia optickému žiareniu, ktoré sa priamo zakladajú na známych účinkoch na zdravie a biologických dôvodoch.</w:t>
            </w:r>
            <w:r>
              <w:rPr>
                <w:rStyle w:val="DefaultParagraphFont"/>
                <w:rFonts w:cs="Times New Roman"/>
              </w:rPr>
              <w:t xml:space="preserve"> Dodržiavanie týchto limitov </w:t>
            </w:r>
            <w:r>
              <w:rPr>
                <w:rStyle w:val="DefaultParagraphFont"/>
                <w:rFonts w:cs="Times New Roman"/>
                <w:noProof/>
              </w:rPr>
              <w:t xml:space="preserve"> zabezpečí, že pracovníci, ktorí sú vystavení umelým zdrojom optického žiarenia, sú chránení proti všetkým známym zdraviu škodlivým účinkom</w:t>
            </w:r>
          </w:p>
          <w:p w:rsidR="00783A13">
            <w:pPr>
              <w:jc w:val="both"/>
              <w:rPr>
                <w:rStyle w:val="DefaultParagraphFont"/>
                <w:rFonts w:cs="Times New Roman"/>
                <w:noProof/>
              </w:rPr>
            </w:pPr>
            <w:r>
              <w:rPr>
                <w:rStyle w:val="DefaultParagraphFont"/>
                <w:rFonts w:cs="Times New Roman"/>
                <w:noProof/>
              </w:rPr>
              <w:t>ožiarenosť (E) alebo hustota žiarivého toku:</w:t>
            </w:r>
            <w:r>
              <w:rPr>
                <w:rStyle w:val="DefaultParagraphFont"/>
                <w:rFonts w:cs="Times New Roman"/>
              </w:rPr>
              <w:t xml:space="preserve"> žiarivý tok dopadajúci</w:t>
            </w:r>
            <w:r>
              <w:rPr>
                <w:rStyle w:val="DefaultParagraphFont"/>
                <w:rFonts w:cs="Times New Roman"/>
                <w:noProof/>
                <w:spacing w:val="2"/>
              </w:rPr>
              <w:t xml:space="preserve"> na jednotku plochy na povrch vyjadrený vo wattoch na meter štvorcový (W m</w:t>
            </w:r>
            <w:r>
              <w:rPr>
                <w:rStyle w:val="DefaultParagraphFont"/>
                <w:rFonts w:cs="Times New Roman"/>
                <w:noProof/>
                <w:spacing w:val="2"/>
                <w:vertAlign w:val="superscript"/>
              </w:rPr>
              <w:t>-2</w:t>
            </w:r>
            <w:r>
              <w:rPr>
                <w:rStyle w:val="DefaultParagraphFont"/>
                <w:rFonts w:cs="Times New Roman"/>
                <w:noProof/>
                <w:spacing w:val="2"/>
              </w:rPr>
              <w:t>);</w:t>
            </w:r>
          </w:p>
          <w:p w:rsidR="00783A13">
            <w:pPr>
              <w:jc w:val="both"/>
              <w:rPr>
                <w:rStyle w:val="DefaultParagraphFont"/>
                <w:rFonts w:cs="Times New Roman"/>
                <w:noProof/>
              </w:rPr>
            </w:pPr>
            <w:r>
              <w:rPr>
                <w:rStyle w:val="DefaultParagraphFont"/>
                <w:rFonts w:cs="Times New Roman"/>
                <w:spacing w:val="2"/>
              </w:rPr>
              <w:t>dávka ožiarenia</w:t>
            </w:r>
            <w:r>
              <w:rPr>
                <w:rStyle w:val="DefaultParagraphFont"/>
                <w:rFonts w:cs="Times New Roman"/>
                <w:noProof/>
                <w:spacing w:val="2"/>
              </w:rPr>
              <w:t xml:space="preserve"> (H):</w:t>
            </w:r>
            <w:r>
              <w:rPr>
                <w:rStyle w:val="DefaultParagraphFont"/>
                <w:rFonts w:cs="Times New Roman"/>
                <w:spacing w:val="2"/>
              </w:rPr>
              <w:t xml:space="preserve"> </w:t>
            </w:r>
            <w:r>
              <w:rPr>
                <w:rStyle w:val="DefaultParagraphFont"/>
                <w:rFonts w:cs="Times New Roman"/>
                <w:noProof/>
                <w:spacing w:val="2"/>
              </w:rPr>
              <w:t>časový integrál ožiarenosti vyjadrený v jouloch na meter štvorcový (J m</w:t>
            </w:r>
            <w:r>
              <w:rPr>
                <w:rStyle w:val="DefaultParagraphFont"/>
                <w:rFonts w:cs="Times New Roman"/>
                <w:noProof/>
                <w:spacing w:val="2"/>
                <w:vertAlign w:val="superscript"/>
              </w:rPr>
              <w:t>-2</w:t>
            </w:r>
            <w:r>
              <w:rPr>
                <w:rStyle w:val="DefaultParagraphFont"/>
                <w:rFonts w:cs="Times New Roman"/>
                <w:noProof/>
                <w:spacing w:val="2"/>
              </w:rPr>
              <w:t>);</w:t>
            </w:r>
          </w:p>
          <w:p w:rsidR="00783A13">
            <w:pPr>
              <w:jc w:val="both"/>
              <w:rPr>
                <w:rStyle w:val="DefaultParagraphFont"/>
                <w:rFonts w:cs="Times New Roman"/>
                <w:noProof/>
              </w:rPr>
            </w:pPr>
            <w:r>
              <w:rPr>
                <w:rStyle w:val="DefaultParagraphFont"/>
                <w:rFonts w:cs="Times New Roman"/>
                <w:noProof/>
              </w:rPr>
              <w:t>žiara (L):</w:t>
            </w:r>
            <w:r>
              <w:rPr>
                <w:rStyle w:val="DefaultParagraphFont"/>
                <w:rFonts w:cs="Times New Roman"/>
              </w:rPr>
              <w:t xml:space="preserve"> </w:t>
            </w:r>
            <w:r>
              <w:rPr>
                <w:rStyle w:val="DefaultParagraphFont"/>
                <w:rFonts w:cs="Times New Roman"/>
                <w:noProof/>
              </w:rPr>
              <w:t>žiarivý tok alebo výstup energie na jednotku priestorového uhla na jednotku plochy vyjadrený vo wattoch na meter štvorcový na steradián (W m</w:t>
            </w:r>
            <w:r>
              <w:rPr>
                <w:rStyle w:val="DefaultParagraphFont"/>
                <w:rFonts w:cs="Times New Roman"/>
                <w:noProof/>
                <w:vertAlign w:val="superscript"/>
              </w:rPr>
              <w:t>-</w:t>
            </w:r>
            <w:r>
              <w:rPr>
                <w:rStyle w:val="DefaultParagraphFont"/>
                <w:rFonts w:cs="Times New Roman"/>
                <w:noProof/>
              </w:rPr>
              <w:t>² sr</w:t>
            </w:r>
            <w:r>
              <w:rPr>
                <w:rStyle w:val="DefaultParagraphFont"/>
                <w:rFonts w:cs="Times New Roman"/>
                <w:noProof/>
                <w:vertAlign w:val="superscript"/>
              </w:rPr>
              <w:t>-1</w:t>
            </w:r>
            <w:r>
              <w:rPr>
                <w:rStyle w:val="DefaultParagraphFont"/>
                <w:rFonts w:cs="Times New Roman"/>
                <w:noProof/>
              </w:rPr>
              <w:t>);</w:t>
            </w:r>
          </w:p>
          <w:p w:rsidR="00783A13">
            <w:pPr>
              <w:jc w:val="both"/>
              <w:rPr>
                <w:rStyle w:val="DefaultParagraphFont"/>
                <w:rFonts w:cs="Times New Roman"/>
                <w:noProof/>
              </w:rPr>
            </w:pPr>
            <w:r>
              <w:rPr>
                <w:rStyle w:val="DefaultParagraphFont"/>
                <w:rFonts w:cs="Times New Roman"/>
                <w:noProof/>
              </w:rPr>
              <w:t>úroveň:</w:t>
            </w:r>
            <w:r>
              <w:rPr>
                <w:rStyle w:val="DefaultParagraphFont"/>
                <w:rFonts w:cs="Times New Roman"/>
              </w:rPr>
              <w:t xml:space="preserve"> </w:t>
            </w:r>
            <w:r>
              <w:rPr>
                <w:rStyle w:val="DefaultParagraphFont"/>
                <w:rFonts w:cs="Times New Roman"/>
                <w:noProof/>
              </w:rPr>
              <w:t>kombinácia intenzity ožiarenia, dávky ožiarenia a žiary, ktorej je pracovník vystavený.</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 1</w:t>
            </w:r>
          </w:p>
          <w:p w:rsidR="00783A13">
            <w:pPr>
              <w:rPr>
                <w:rStyle w:val="DefaultParagraphFont"/>
                <w:rFonts w:cs="Times New Roman"/>
              </w:rPr>
            </w:pPr>
            <w:r>
              <w:rPr>
                <w:rStyle w:val="DefaultParagraphFont"/>
                <w:rFonts w:cs="Times New Roman"/>
              </w:rPr>
              <w:t>O: 3</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EnvelopeReturn"/>
              <w:spacing w:line="360" w:lineRule="auto"/>
              <w:rPr>
                <w:rStyle w:val="DefaultParagraphFont"/>
                <w:rFonts w:cs="Times New Roman"/>
                <w:noProof/>
                <w:sz w:val="20"/>
                <w:szCs w:val="20"/>
              </w:rPr>
            </w:pPr>
            <w:r>
              <w:rPr>
                <w:rStyle w:val="DefaultParagraphFont"/>
                <w:rFonts w:cs="Times New Roman"/>
                <w:noProof/>
                <w:sz w:val="20"/>
                <w:szCs w:val="20"/>
              </w:rPr>
              <w:t>Na účely tohto nariadenia vlády</w:t>
            </w:r>
          </w:p>
          <w:p w:rsidR="00783A13">
            <w:pPr>
              <w:pStyle w:val="Heading7"/>
              <w:rPr>
                <w:rStyle w:val="DefaultParagraphFont"/>
                <w:rFonts w:cs="Times New Roman"/>
                <w:i w:val="0"/>
                <w:iCs w:val="0"/>
                <w:sz w:val="20"/>
                <w:szCs w:val="20"/>
              </w:rPr>
            </w:pPr>
          </w:p>
          <w:p w:rsidR="00783A13">
            <w:pPr>
              <w:rPr>
                <w:rStyle w:val="DefaultParagraphFont"/>
                <w:rFonts w:cs="Times New Roman"/>
              </w:rPr>
            </w:pPr>
          </w:p>
          <w:p w:rsidR="00783A13">
            <w:pPr>
              <w:rPr>
                <w:rStyle w:val="DefaultParagraphFont"/>
                <w:rFonts w:cs="Times New Roman"/>
                <w:noProof/>
              </w:rPr>
            </w:pPr>
            <w:r>
              <w:rPr>
                <w:rStyle w:val="DefaultParagraphFont"/>
                <w:rFonts w:cs="Times New Roman"/>
                <w:noProof/>
              </w:rPr>
              <w:t>optické žiarenie je akékoľvek elektromagnetické žiarenie s vlnovou dĺžkou od 100 nm do 1 mm. Spektrum optického žiarenia sa delí na ultrafialové žiarenie, viditeľné žiarenie a infračervené žiarenie:</w:t>
            </w:r>
          </w:p>
          <w:p w:rsidR="00783A13">
            <w:pPr>
              <w:rPr>
                <w:rStyle w:val="DefaultParagraphFont"/>
                <w:rFonts w:cs="Times New Roman"/>
                <w:noProof/>
              </w:rPr>
            </w:pP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1. ultrafialové žiarenie je optické žiarenie s vlnovou dĺžkou od 100 nm do 400 nm; ultrafialová oblasť sa delí na UVA (315-400 nm), UVB (280-315 nm) a UVC (100-280 nm),</w:t>
            </w:r>
          </w:p>
          <w:p w:rsidR="00783A13">
            <w:pPr>
              <w:rPr>
                <w:rStyle w:val="DefaultParagraphFont"/>
                <w:rFonts w:cs="Times New Roman"/>
              </w:rPr>
            </w:pPr>
          </w:p>
          <w:p w:rsidR="00783A13">
            <w:pPr>
              <w:rPr>
                <w:rStyle w:val="DefaultParagraphFont"/>
                <w:rFonts w:cs="Times New Roman"/>
                <w:noProof/>
              </w:rPr>
            </w:pPr>
            <w:r>
              <w:rPr>
                <w:rStyle w:val="DefaultParagraphFont"/>
                <w:rFonts w:cs="Times New Roman"/>
              </w:rPr>
              <w:t xml:space="preserve">2. </w:t>
            </w:r>
            <w:r>
              <w:rPr>
                <w:rStyle w:val="DefaultParagraphFont"/>
                <w:rFonts w:cs="Times New Roman"/>
                <w:noProof/>
              </w:rPr>
              <w:t>viditeľné žiarenie je optické žiarenie s vlnovou dĺžkou od 380 nm do 780 nm</w:t>
            </w: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3. infračervené žiarenie je optické žiarenie s vlnovou dĺžkou od 780 nm do 1 mm. Infračervená oblasť sa delí na IRA (780-1400 nm), IRB (1400-3 000 nm) a IRC (3000 nm  - 1 mm),</w:t>
            </w: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laser (zosilňovanie svetla pomocou stimulovanej emisie žiarenia) je</w:t>
            </w:r>
            <w:r>
              <w:rPr>
                <w:rStyle w:val="DefaultParagraphFont"/>
                <w:rFonts w:cs="Times New Roman"/>
              </w:rPr>
              <w:t xml:space="preserve"> </w:t>
            </w:r>
            <w:r>
              <w:rPr>
                <w:rStyle w:val="DefaultParagraphFont"/>
                <w:rFonts w:cs="Times New Roman"/>
                <w:noProof/>
              </w:rPr>
              <w:t>akékoľvek zariadenie, ktoré môže byť prispôsobené na výrobu alebo zosilňovanie elektromagnetického žiarenia v rozsahu vlnovej dĺžky optického žiarenia predovšetkým procesom kontrolovanej stimulovanej emisie</w:t>
            </w:r>
          </w:p>
          <w:p w:rsidR="00783A13">
            <w:pPr>
              <w:rPr>
                <w:rStyle w:val="DefaultParagraphFont"/>
                <w:rFonts w:cs="Times New Roman"/>
                <w:noProof/>
              </w:rPr>
            </w:pP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 xml:space="preserve">laserové žiarenie je optické žiarenie laserov </w:t>
            </w:r>
          </w:p>
          <w:p w:rsidR="00783A13">
            <w:pPr>
              <w:rPr>
                <w:rStyle w:val="DefaultParagraphFont"/>
                <w:rFonts w:cs="Times New Roman"/>
                <w:noProof/>
              </w:rPr>
            </w:pPr>
            <w:r>
              <w:rPr>
                <w:rStyle w:val="DefaultParagraphFont"/>
                <w:rFonts w:cs="Times New Roman"/>
                <w:noProof/>
              </w:rPr>
              <w:t>nekoherentné žiarenie je</w:t>
            </w:r>
            <w:r>
              <w:rPr>
                <w:rStyle w:val="DefaultParagraphFont"/>
                <w:rFonts w:cs="Times New Roman"/>
                <w:i/>
                <w:iCs/>
              </w:rPr>
              <w:t xml:space="preserve"> </w:t>
            </w:r>
            <w:r>
              <w:rPr>
                <w:rStyle w:val="DefaultParagraphFont"/>
                <w:rFonts w:cs="Times New Roman"/>
                <w:noProof/>
              </w:rPr>
              <w:t>akékoľvek iné optické žiarenie ako žiarenie laserov</w:t>
            </w:r>
          </w:p>
          <w:p w:rsidR="00783A13">
            <w:pPr>
              <w:rPr>
                <w:rStyle w:val="DefaultParagraphFont"/>
                <w:rFonts w:cs="Times New Roman"/>
                <w:noProof/>
              </w:rPr>
            </w:pPr>
            <w:r>
              <w:rPr>
                <w:rStyle w:val="DefaultParagraphFont"/>
                <w:rFonts w:cs="Times New Roman"/>
                <w:noProof/>
              </w:rPr>
              <w:t>limitné hodnoty expozície sú</w:t>
            </w:r>
            <w:r>
              <w:rPr>
                <w:rStyle w:val="DefaultParagraphFont"/>
                <w:rFonts w:cs="Times New Roman"/>
              </w:rPr>
              <w:t xml:space="preserve"> limitné</w:t>
            </w:r>
            <w:r>
              <w:rPr>
                <w:rStyle w:val="DefaultParagraphFont"/>
                <w:rFonts w:cs="Times New Roman"/>
                <w:noProof/>
              </w:rPr>
              <w:t xml:space="preserve"> hodnoty vystavenia optickému žiareniu, ktoré sa priamo zakladajú na známych účinkoch na zdravie a biologických dôvodoch; d</w:t>
            </w:r>
            <w:r>
              <w:rPr>
                <w:rStyle w:val="DefaultParagraphFont"/>
                <w:rFonts w:cs="Times New Roman"/>
              </w:rPr>
              <w:t xml:space="preserve">održiavanie týchto limitov </w:t>
            </w:r>
            <w:r>
              <w:rPr>
                <w:rStyle w:val="DefaultParagraphFont"/>
                <w:rFonts w:cs="Times New Roman"/>
                <w:noProof/>
              </w:rPr>
              <w:t xml:space="preserve"> zabezpečí, že pracovníci, vystavení umelým zdrojom optického žiarenia, sú chránení proti všetkým známym zdraviu škodlivým účinkom</w:t>
            </w:r>
          </w:p>
          <w:p w:rsidR="00783A13">
            <w:pPr>
              <w:rPr>
                <w:rStyle w:val="DefaultParagraphFont"/>
                <w:rFonts w:cs="Times New Roman"/>
                <w:noProof/>
              </w:rPr>
            </w:pP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ožiarenosť (E) alebo hustota žiarivého toku je</w:t>
            </w:r>
            <w:r>
              <w:rPr>
                <w:rStyle w:val="DefaultParagraphFont"/>
                <w:rFonts w:cs="Times New Roman"/>
              </w:rPr>
              <w:t xml:space="preserve"> žiarivý tok dopadajúci</w:t>
            </w:r>
            <w:r>
              <w:rPr>
                <w:rStyle w:val="DefaultParagraphFont"/>
                <w:rFonts w:cs="Times New Roman"/>
                <w:noProof/>
              </w:rPr>
              <w:t xml:space="preserve"> na jednotku plochy na povrch vyjadrený vo wattoch na meter štvorcový (W m</w:t>
            </w:r>
            <w:r>
              <w:rPr>
                <w:rStyle w:val="DefaultParagraphFont"/>
                <w:rFonts w:cs="Times New Roman"/>
                <w:noProof/>
                <w:vertAlign w:val="superscript"/>
              </w:rPr>
              <w:t>-2</w:t>
            </w:r>
            <w:r>
              <w:rPr>
                <w:rStyle w:val="DefaultParagraphFont"/>
                <w:rFonts w:cs="Times New Roman"/>
                <w:noProof/>
              </w:rPr>
              <w:t>)</w:t>
            </w: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rPr>
              <w:t>dávka ožiarenia</w:t>
            </w:r>
            <w:r>
              <w:rPr>
                <w:rStyle w:val="DefaultParagraphFont"/>
                <w:rFonts w:cs="Times New Roman"/>
                <w:noProof/>
              </w:rPr>
              <w:t xml:space="preserve"> (H) je</w:t>
            </w:r>
            <w:r>
              <w:rPr>
                <w:rStyle w:val="DefaultParagraphFont"/>
                <w:rFonts w:cs="Times New Roman"/>
              </w:rPr>
              <w:t xml:space="preserve"> </w:t>
            </w:r>
            <w:r>
              <w:rPr>
                <w:rStyle w:val="DefaultParagraphFont"/>
                <w:rFonts w:cs="Times New Roman"/>
                <w:noProof/>
              </w:rPr>
              <w:t>časový integrál ožiarenosti vyjadrený v jouloch na meter štvorcový (J m</w:t>
            </w:r>
            <w:r>
              <w:rPr>
                <w:rStyle w:val="DefaultParagraphFont"/>
                <w:rFonts w:cs="Times New Roman"/>
                <w:noProof/>
                <w:vertAlign w:val="superscript"/>
              </w:rPr>
              <w:t>-2</w:t>
            </w:r>
            <w:r>
              <w:rPr>
                <w:rStyle w:val="DefaultParagraphFont"/>
                <w:rFonts w:cs="Times New Roman"/>
                <w:noProof/>
              </w:rPr>
              <w:t>)</w:t>
            </w: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žiara (L) je</w:t>
            </w:r>
            <w:r>
              <w:rPr>
                <w:rStyle w:val="DefaultParagraphFont"/>
                <w:rFonts w:cs="Times New Roman"/>
              </w:rPr>
              <w:t xml:space="preserve"> </w:t>
            </w:r>
            <w:r>
              <w:rPr>
                <w:rStyle w:val="DefaultParagraphFont"/>
                <w:rFonts w:cs="Times New Roman"/>
                <w:noProof/>
              </w:rPr>
              <w:t>žiarivý tok alebo výstup energie na jednotku priestorového uhla na jednotku plochy vyjadrený vo wattoch na meter štvorcový na steradián (W m</w:t>
            </w:r>
            <w:r>
              <w:rPr>
                <w:rStyle w:val="DefaultParagraphFont"/>
                <w:rFonts w:cs="Times New Roman"/>
                <w:noProof/>
                <w:vertAlign w:val="superscript"/>
              </w:rPr>
              <w:t>-</w:t>
            </w:r>
            <w:r>
              <w:rPr>
                <w:rStyle w:val="DefaultParagraphFont"/>
                <w:rFonts w:cs="Times New Roman"/>
                <w:noProof/>
              </w:rPr>
              <w:t>² sr</w:t>
            </w:r>
            <w:r>
              <w:rPr>
                <w:rStyle w:val="DefaultParagraphFont"/>
                <w:rFonts w:cs="Times New Roman"/>
                <w:noProof/>
                <w:vertAlign w:val="superscript"/>
              </w:rPr>
              <w:t>-1</w:t>
            </w:r>
            <w:r>
              <w:rPr>
                <w:rStyle w:val="DefaultParagraphFont"/>
                <w:rFonts w:cs="Times New Roman"/>
                <w:noProof/>
              </w:rPr>
              <w:t>)</w:t>
            </w:r>
          </w:p>
          <w:p w:rsidR="00783A13">
            <w:pPr>
              <w:rPr>
                <w:rStyle w:val="DefaultParagraphFont"/>
                <w:rFonts w:cs="Times New Roman"/>
                <w:noProof/>
              </w:rPr>
            </w:pPr>
          </w:p>
          <w:p w:rsidR="00783A13">
            <w:pPr>
              <w:rPr>
                <w:rStyle w:val="DefaultParagraphFont"/>
                <w:rFonts w:cs="Times New Roman"/>
                <w:noProof/>
              </w:rPr>
            </w:pPr>
            <w:r>
              <w:rPr>
                <w:rStyle w:val="DefaultParagraphFont"/>
                <w:rFonts w:cs="Times New Roman"/>
                <w:noProof/>
              </w:rPr>
              <w:t>úroveň je</w:t>
            </w:r>
            <w:r>
              <w:rPr>
                <w:rStyle w:val="DefaultParagraphFont"/>
                <w:rFonts w:cs="Times New Roman"/>
              </w:rPr>
              <w:t xml:space="preserve"> </w:t>
            </w:r>
            <w:r>
              <w:rPr>
                <w:rStyle w:val="DefaultParagraphFont"/>
                <w:rFonts w:cs="Times New Roman"/>
                <w:noProof/>
              </w:rPr>
              <w:t>kombinácia intenzity ožiarenia, dávky ožiarenia a žiary, ktorej je pracovník vystavený.</w:t>
            </w:r>
          </w:p>
          <w:p w:rsidR="00783A13">
            <w:pPr>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3</w:t>
            </w:r>
          </w:p>
          <w:p w:rsidR="00783A13">
            <w:pPr>
              <w:rPr>
                <w:rStyle w:val="DefaultParagraphFont"/>
                <w:rFonts w:cs="Times New Roman"/>
              </w:rPr>
            </w:pPr>
            <w:r>
              <w:rPr>
                <w:rStyle w:val="DefaultParagraphFont"/>
                <w:rFonts w:cs="Times New Roman"/>
              </w:rPr>
              <w:t>O: 1</w:t>
            </w:r>
          </w:p>
          <w:p w:rsidR="00783A13">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noProof/>
                <w:spacing w:val="2"/>
              </w:rPr>
            </w:pPr>
            <w:r>
              <w:rPr>
                <w:rStyle w:val="DefaultParagraphFont"/>
                <w:rFonts w:cs="Times New Roman"/>
                <w:noProof/>
                <w:spacing w:val="2"/>
              </w:rPr>
              <w:t>Limitné hodnoty expozície pre nekoherentné žiarenie odlišné od prírodných zdrojov optického žiarenia sú stanovené v prílohe I.</w:t>
            </w:r>
          </w:p>
          <w:p w:rsidR="00783A13">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2</w:t>
            </w:r>
          </w:p>
          <w:p w:rsidR="00783A13">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Limitné hodnoty expozície umelému nekoherentnému žiareniu sú uvedené v prílohe č. 1.</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3</w:t>
            </w:r>
          </w:p>
          <w:p w:rsidR="00783A13">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spacing w:val="2"/>
              </w:rPr>
              <w:t>Limitné hodnoty expozície pre laserové žiarenie sú stanovené v prílohe II.</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2</w:t>
            </w:r>
          </w:p>
          <w:p w:rsidR="00783A13">
            <w:pPr>
              <w:jc w:val="center"/>
              <w:rPr>
                <w:rStyle w:val="DefaultParagraphFont"/>
                <w:rFonts w:cs="Times New Roman"/>
              </w:rPr>
            </w:pPr>
            <w:r>
              <w:rPr>
                <w:rStyle w:val="DefaultParagraphFont"/>
                <w:rFonts w:cs="Times New Roman"/>
              </w:rPr>
              <w:t>O: 2</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Header"/>
              <w:tabs>
                <w:tab w:val="clear" w:pos="4536"/>
                <w:tab w:val="clear" w:pos="9072"/>
              </w:tabs>
              <w:rPr>
                <w:rStyle w:val="DefaultParagraphFont"/>
                <w:rFonts w:cs="Times New Roman"/>
                <w:lang w:val="cs-CZ"/>
              </w:rPr>
            </w:pPr>
            <w:r>
              <w:rPr>
                <w:rStyle w:val="DefaultParagraphFont"/>
                <w:rFonts w:cs="Times New Roman"/>
              </w:rPr>
              <w:t>Limitné hodnoty expozície laserovému žiareniu sú uvedené v prílohe č. 2</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Č:4</w:t>
            </w:r>
          </w:p>
          <w:p w:rsidR="00783A13">
            <w:pPr>
              <w:rPr>
                <w:rStyle w:val="DefaultParagraphFont"/>
                <w:rFonts w:cs="Times New Roman"/>
              </w:rPr>
            </w:pPr>
            <w:r>
              <w:rPr>
                <w:rStyle w:val="DefaultParagraphFont"/>
                <w:rFonts w:cs="Times New Roman"/>
              </w:rPr>
              <w:t>O:1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rPr>
              <w:t>Pri plnení povinností stanovených v článku 6 ods.</w:t>
            </w:r>
            <w:r>
              <w:rPr>
                <w:rStyle w:val="DefaultParagraphFont"/>
                <w:rFonts w:cs="Times New Roman"/>
              </w:rPr>
              <w:t xml:space="preserve"> </w:t>
            </w:r>
            <w:r>
              <w:rPr>
                <w:rStyle w:val="DefaultParagraphFont"/>
                <w:rFonts w:cs="Times New Roman"/>
                <w:noProof/>
              </w:rPr>
              <w:t>3 a článku 9 ods.</w:t>
            </w:r>
            <w:r>
              <w:rPr>
                <w:rStyle w:val="DefaultParagraphFont"/>
                <w:rFonts w:cs="Times New Roman"/>
              </w:rPr>
              <w:t xml:space="preserve"> </w:t>
            </w:r>
            <w:r>
              <w:rPr>
                <w:rStyle w:val="DefaultParagraphFont"/>
                <w:rFonts w:cs="Times New Roman"/>
                <w:noProof/>
              </w:rPr>
              <w:t>1 smernice 89/391/EHS zamestnávateľ, v prípade pracovníkov vystavených umelým zdrojom optického žiarenia, posúdi a, ak je to potrebné, zmeria a/alebo vypočíta úrovne optického žiarenia, ktorému sú pracovníci pravdepodobne vystavení tak, aby bolo možné určiť opatrenia a zaviesť do praxe platné obmedzenia obmedzujúce expozíciu.</w:t>
            </w:r>
            <w:r>
              <w:rPr>
                <w:rStyle w:val="DefaultParagraphFont"/>
                <w:rFonts w:cs="Times New Roman"/>
              </w:rPr>
              <w:t xml:space="preserve"> </w:t>
            </w:r>
            <w:r>
              <w:rPr>
                <w:rStyle w:val="DefaultParagraphFont"/>
                <w:rFonts w:cs="Times New Roman"/>
                <w:noProof/>
              </w:rPr>
              <w:t>Metodika, ktorá sa uplatňuje pri posúdení, meraní a/alebo výpočte dodržiava pri laserovom žiarení normy Medzinárodnej elektrotechnickej komisie (IEC) a pri nekoherentnom žiarení odporúčanie Medzinárodnej komisie pre osvetlenie (CIE) a Európskeho výboru pre normalizáciu (CEN).</w:t>
            </w:r>
            <w:r>
              <w:rPr>
                <w:rStyle w:val="DefaultParagraphFont"/>
                <w:rFonts w:cs="Times New Roman"/>
              </w:rPr>
              <w:t xml:space="preserve"> </w:t>
            </w:r>
            <w:r>
              <w:rPr>
                <w:rStyle w:val="DefaultParagraphFont"/>
                <w:rFonts w:cs="Times New Roman"/>
                <w:noProof/>
              </w:rPr>
              <w:t>V prípadoch expozícií, na ktoré sa nevzťahujú tieto normy a odporúčania, a kým sa nezavedú vhodné štandardy alebo odporúčania EÚ, sa posúdenie, meranie a/alebo výpočet uskutoční použitím dostupných vnútroštátnych alebo medzinárodných vedecky založených usmernení.</w:t>
            </w:r>
            <w:r>
              <w:rPr>
                <w:rStyle w:val="DefaultParagraphFont"/>
                <w:rFonts w:cs="Times New Roman"/>
              </w:rPr>
              <w:t xml:space="preserve"> V oboch prípadoch expozície sa pri posúdení</w:t>
            </w:r>
            <w:r>
              <w:rPr>
                <w:rStyle w:val="DefaultParagraphFont"/>
                <w:rFonts w:cs="Times New Roman"/>
                <w:noProof/>
              </w:rPr>
              <w:t xml:space="preserve"> môžu zohľadniť údaje poskytnuté výrobcami zariadenia, ak sa naň vzťahujú príslušné smernice Spoločenstva.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3</w:t>
            </w:r>
          </w:p>
          <w:p w:rsidR="00783A13">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Pri plnení povinností ustanovených v osobitnom predpise</w:t>
            </w:r>
            <w:r>
              <w:rPr>
                <w:rStyle w:val="FootnoteReference"/>
                <w:rFonts w:cs="Times New Roman"/>
                <w:rtl w:val="0"/>
              </w:rPr>
              <w:footnoteReference w:id="2"/>
            </w:r>
            <w:r>
              <w:rPr>
                <w:rStyle w:val="DefaultParagraphFont"/>
                <w:rFonts w:cs="Times New Roman"/>
              </w:rPr>
              <w:t>) zamestnávateľ posúdi úroveň expozície umelému optickému žiareniu a ak je to potrebné, zmeria alebo vypočíta túto úroveň expozície umelému optickému žiareniu, aby bolo možné stanoviť a realizovať opatrenia na zníženie alebo odstránenie expozície umelému optickému žiareniu.</w:t>
            </w: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r>
              <w:rPr>
                <w:rStyle w:val="DefaultParagraphFont"/>
                <w:rFonts w:cs="Times New Roman"/>
              </w:rPr>
              <w:t>Pre posúdenie, meranie alebo výpočet expozície umelému optickému žiareniu sa používajú vedecky podložené normy, postupy a odporúčania, ktoré umožňujú stanoviť veličiny uvedené v prílohe č. 1 a  2. Posudzovanie, meranie alebo výpočet expozície umelému optickému žiareniu sa môže vykonať s použitím údajov o úrovniach žiarenia poskytovaných výrobcom zariadenia v súlade s osobitnými predpismi.</w:t>
            </w:r>
            <w:r>
              <w:rPr>
                <w:rStyle w:val="DefaultParagraphFont"/>
                <w:rFonts w:cs="Times New Roman"/>
                <w:vertAlign w:val="superscript"/>
                <w:rtl w:val="0"/>
              </w:rPr>
              <w:footnoteReference w:id="3"/>
            </w:r>
            <w:r>
              <w:rPr>
                <w:rStyle w:val="DefaultParagraphFont"/>
                <w:rFonts w:cs="Times New Roman"/>
              </w:rPr>
              <w:t>)</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4</w:t>
            </w:r>
          </w:p>
          <w:p w:rsidR="00783A13">
            <w:pPr>
              <w:rPr>
                <w:rStyle w:val="DefaultParagraphFont"/>
                <w:rFonts w:cs="Times New Roman"/>
              </w:rPr>
            </w:pPr>
            <w:r>
              <w:rPr>
                <w:rStyle w:val="DefaultParagraphFont"/>
                <w:rFonts w:cs="Times New Roman"/>
              </w:rPr>
              <w:t>O: 2</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BodyText3"/>
              <w:tabs>
                <w:tab w:val="left" w:pos="978"/>
              </w:tabs>
              <w:jc w:val="both"/>
              <w:rPr>
                <w:rStyle w:val="DefaultParagraphFont"/>
                <w:rFonts w:cs="Times New Roman"/>
                <w:b w:val="0"/>
                <w:bCs w:val="0"/>
                <w:sz w:val="20"/>
                <w:szCs w:val="20"/>
              </w:rPr>
            </w:pPr>
            <w:r>
              <w:rPr>
                <w:rStyle w:val="DefaultParagraphFont"/>
                <w:rFonts w:cs="Times New Roman"/>
                <w:b w:val="0"/>
                <w:bCs w:val="0"/>
                <w:noProof/>
                <w:sz w:val="20"/>
                <w:szCs w:val="20"/>
              </w:rPr>
              <w:t>Posúdenie, meranie a/alebo výpočet uvedený v  odseku</w:t>
            </w:r>
            <w:r>
              <w:rPr>
                <w:rStyle w:val="DefaultParagraphFont"/>
                <w:rFonts w:cs="Times New Roman"/>
                <w:b w:val="0"/>
                <w:bCs w:val="0"/>
                <w:sz w:val="20"/>
                <w:szCs w:val="20"/>
              </w:rPr>
              <w:t xml:space="preserve"> </w:t>
            </w:r>
            <w:r>
              <w:rPr>
                <w:rStyle w:val="DefaultParagraphFont"/>
                <w:rFonts w:cs="Times New Roman"/>
                <w:b w:val="0"/>
                <w:bCs w:val="0"/>
                <w:noProof/>
                <w:sz w:val="20"/>
                <w:szCs w:val="20"/>
              </w:rPr>
              <w:t>1 plánujú a vykonávajú príslušné služby alebo osoby vo vhodných intervaloch, berúc do úvahy najmä ustanovenia článku 7 a článku 11 smernice 89/391/EHS týkajúce sa nevyhnutných príslušných služieb alebo osôb a konzultácie a účasti pracovníkov.</w:t>
            </w:r>
            <w:r>
              <w:rPr>
                <w:rStyle w:val="DefaultParagraphFont"/>
                <w:rFonts w:cs="Times New Roman"/>
                <w:b w:val="0"/>
                <w:bCs w:val="0"/>
                <w:sz w:val="20"/>
                <w:szCs w:val="20"/>
              </w:rPr>
              <w:t xml:space="preserve"> </w:t>
            </w:r>
            <w:r>
              <w:rPr>
                <w:rStyle w:val="DefaultParagraphFont"/>
                <w:rFonts w:cs="Times New Roman"/>
                <w:b w:val="0"/>
                <w:bCs w:val="0"/>
                <w:noProof/>
                <w:sz w:val="20"/>
                <w:szCs w:val="20"/>
              </w:rPr>
              <w:t>Údaje získané z posúdenia vrátane údajov získaných z merania a/alebo výpočtu úrovne expozície uvedenej v odseku</w:t>
            </w:r>
            <w:r>
              <w:rPr>
                <w:rStyle w:val="DefaultParagraphFont"/>
                <w:rFonts w:cs="Times New Roman"/>
                <w:b w:val="0"/>
                <w:bCs w:val="0"/>
                <w:sz w:val="20"/>
                <w:szCs w:val="20"/>
              </w:rPr>
              <w:t xml:space="preserve"> </w:t>
            </w:r>
            <w:r>
              <w:rPr>
                <w:rStyle w:val="DefaultParagraphFont"/>
                <w:rFonts w:cs="Times New Roman"/>
                <w:b w:val="0"/>
                <w:bCs w:val="0"/>
                <w:noProof/>
                <w:sz w:val="20"/>
                <w:szCs w:val="20"/>
              </w:rPr>
              <w:t>1 sa zachovajú vo vhodnej forme, aby bolo možné do nich neskôr nahliadnuť.</w:t>
            </w:r>
            <w:r>
              <w:rPr>
                <w:rStyle w:val="DefaultParagraphFont"/>
                <w:rFonts w:cs="Times New Roman"/>
                <w:b w:val="0"/>
                <w:bCs w:val="0"/>
                <w:sz w:val="20"/>
                <w:szCs w:val="20"/>
              </w:rPr>
              <w:tab/>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3</w:t>
            </w:r>
          </w:p>
          <w:p w:rsidR="00783A13">
            <w:pPr>
              <w:jc w:val="center"/>
              <w:rPr>
                <w:rStyle w:val="DefaultParagraphFont"/>
                <w:rFonts w:cs="Times New Roman"/>
              </w:rPr>
            </w:pPr>
            <w:r>
              <w:rPr>
                <w:rStyle w:val="DefaultParagraphFont"/>
                <w:rFonts w:cs="Times New Roman"/>
              </w:rPr>
              <w:t>O: 3</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O: 4</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Posudzovanie, meranie alebo výpočet expozície umelému optickému žiareniu vo vhodných časových intervaloch vykonáva pracovná zdravotná služba</w:t>
            </w:r>
            <w:r>
              <w:rPr>
                <w:rStyle w:val="FootnoteReference"/>
                <w:rFonts w:cs="Times New Roman"/>
                <w:rtl w:val="0"/>
              </w:rPr>
              <w:footnoteReference w:id="4"/>
            </w:r>
            <w:r>
              <w:rPr>
                <w:rStyle w:val="DefaultParagraphFont"/>
                <w:rFonts w:cs="Times New Roman"/>
                <w:vertAlign w:val="superscript"/>
              </w:rPr>
              <w:t>)</w:t>
            </w:r>
            <w:r>
              <w:rPr>
                <w:rStyle w:val="DefaultParagraphFont"/>
                <w:rFonts w:cs="Times New Roman"/>
              </w:rPr>
              <w:t xml:space="preserve"> za účasti zamestnanca alebo zástupcu zamestnancov pre bezpečnosť.</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Údaje o úrovni expozície umelému optickému žiareniu, získané na základe posudzovania, merania alebo výpočtu expozície umelému optickému žiareniu, sa uchovávajú v písomnej forme</w:t>
            </w:r>
            <w:r>
              <w:rPr>
                <w:rStyle w:val="DefaultParagraphFont"/>
                <w:rFonts w:cs="Times New Roman"/>
                <w:i/>
                <w:iCs/>
              </w:rPr>
              <w:t xml:space="preserve"> </w:t>
            </w:r>
            <w:r>
              <w:rPr>
                <w:rStyle w:val="DefaultParagraphFont"/>
                <w:rFonts w:cs="Times New Roman"/>
              </w:rPr>
              <w:t>po dobu 20 rokov od skončenia práce na pracovisku s expozíciou umelému optickému žiareniu.</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4</w:t>
            </w:r>
          </w:p>
          <w:p w:rsidR="00783A13">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noProof/>
              </w:rPr>
            </w:pPr>
            <w:r>
              <w:rPr>
                <w:rStyle w:val="DefaultParagraphFont"/>
                <w:rFonts w:cs="Times New Roman"/>
                <w:noProof/>
              </w:rPr>
              <w:t>Podľa článku 6 ods.</w:t>
            </w:r>
            <w:r>
              <w:rPr>
                <w:rStyle w:val="DefaultParagraphFont"/>
                <w:rFonts w:cs="Times New Roman"/>
              </w:rPr>
              <w:t xml:space="preserve"> </w:t>
            </w:r>
            <w:r>
              <w:rPr>
                <w:rStyle w:val="DefaultParagraphFont"/>
                <w:rFonts w:cs="Times New Roman"/>
                <w:noProof/>
              </w:rPr>
              <w:t>3 smernice 89/391/EHS zamestnávateľ pri hodnotení rizík venuje osobitnú pozornosť:</w:t>
            </w:r>
          </w:p>
          <w:p w:rsidR="00783A13">
            <w:pPr>
              <w:numPr>
                <w:numId w:val="19"/>
              </w:numPr>
              <w:tabs>
                <w:tab w:val="left" w:pos="720"/>
              </w:tabs>
              <w:jc w:val="both"/>
              <w:rPr>
                <w:rStyle w:val="DefaultParagraphFont"/>
                <w:rFonts w:cs="Times New Roman"/>
                <w:noProof/>
              </w:rPr>
            </w:pPr>
            <w:r>
              <w:rPr>
                <w:rStyle w:val="DefaultParagraphFont"/>
                <w:rFonts w:cs="Times New Roman"/>
                <w:noProof/>
              </w:rPr>
              <w:t>úrovni, rozsahu vlnovej dĺžky a trvania expozície umelým zdrojom optického žiarenia</w:t>
            </w:r>
          </w:p>
          <w:p w:rsidR="00783A13">
            <w:pPr>
              <w:numPr>
                <w:numId w:val="19"/>
              </w:numPr>
              <w:tabs>
                <w:tab w:val="left" w:pos="720"/>
              </w:tabs>
              <w:jc w:val="both"/>
              <w:rPr>
                <w:rStyle w:val="DefaultParagraphFont"/>
                <w:rFonts w:cs="Times New Roman"/>
              </w:rPr>
            </w:pPr>
            <w:r>
              <w:rPr>
                <w:rStyle w:val="DefaultParagraphFont"/>
                <w:rFonts w:cs="Times New Roman"/>
              </w:rPr>
              <w:t>limitným hodnotám expozície</w:t>
            </w:r>
            <w:r>
              <w:rPr>
                <w:rStyle w:val="DefaultParagraphFont"/>
                <w:rFonts w:cs="Times New Roman"/>
                <w:noProof/>
              </w:rPr>
              <w:t xml:space="preserve"> uvedeným v článku 3 tejto smernice</w:t>
            </w:r>
          </w:p>
          <w:p w:rsidR="00783A13">
            <w:pPr>
              <w:numPr>
                <w:numId w:val="19"/>
              </w:numPr>
              <w:tabs>
                <w:tab w:val="left" w:pos="720"/>
              </w:tabs>
              <w:jc w:val="both"/>
              <w:rPr>
                <w:rStyle w:val="DefaultParagraphFont"/>
                <w:rFonts w:cs="Times New Roman"/>
              </w:rPr>
            </w:pPr>
            <w:r>
              <w:rPr>
                <w:rStyle w:val="DefaultParagraphFont"/>
                <w:rFonts w:cs="Times New Roman"/>
                <w:noProof/>
              </w:rPr>
              <w:t>všetkým vplyvom týkajúcim sa zdravia a bezpečnosti pracovníkov, ktorí patria do osobitne citlivých rizikových skupín</w:t>
            </w:r>
          </w:p>
          <w:p w:rsidR="00783A13">
            <w:pPr>
              <w:numPr>
                <w:numId w:val="19"/>
              </w:numPr>
              <w:tabs>
                <w:tab w:val="left" w:pos="720"/>
              </w:tabs>
              <w:jc w:val="both"/>
              <w:rPr>
                <w:rStyle w:val="DefaultParagraphFont"/>
                <w:rFonts w:cs="Times New Roman"/>
              </w:rPr>
            </w:pPr>
            <w:r>
              <w:rPr>
                <w:rStyle w:val="DefaultParagraphFont"/>
                <w:rFonts w:cs="Times New Roman"/>
                <w:noProof/>
              </w:rPr>
              <w:t>všetkým možným vplyvom na zdravie a bezpečnosť pracovníkov, ktoré vyplývajú zo vzájomného pôsobenia medzi optickým žiarením a fotosenzitívnymi chemickými látkami na pracovisku</w:t>
            </w:r>
          </w:p>
          <w:p w:rsidR="00783A13">
            <w:pPr>
              <w:numPr>
                <w:numId w:val="19"/>
              </w:numPr>
              <w:tabs>
                <w:tab w:val="left" w:pos="720"/>
              </w:tabs>
              <w:jc w:val="both"/>
              <w:rPr>
                <w:rStyle w:val="DefaultParagraphFont"/>
                <w:rFonts w:cs="Times New Roman"/>
              </w:rPr>
            </w:pPr>
            <w:r>
              <w:rPr>
                <w:rStyle w:val="DefaultParagraphFont"/>
                <w:rFonts w:cs="Times New Roman"/>
                <w:noProof/>
              </w:rPr>
              <w:t>všetkým nepriamym vplyvom ako je dočasné oslepenie, výbuch alebo požiar</w:t>
            </w:r>
          </w:p>
          <w:p w:rsidR="00783A13">
            <w:pPr>
              <w:numPr>
                <w:numId w:val="19"/>
              </w:numPr>
              <w:tabs>
                <w:tab w:val="left" w:pos="720"/>
              </w:tabs>
              <w:jc w:val="both"/>
              <w:rPr>
                <w:rStyle w:val="DefaultParagraphFont"/>
                <w:rFonts w:cs="Times New Roman"/>
              </w:rPr>
            </w:pPr>
            <w:r>
              <w:rPr>
                <w:rStyle w:val="DefaultParagraphFont"/>
                <w:rFonts w:cs="Times New Roman"/>
                <w:noProof/>
              </w:rPr>
              <w:t>existencii náhradného zariadenia určeného na zníženie úrovní vystavenia umelému optickému žiareniu;</w:t>
            </w:r>
          </w:p>
          <w:p w:rsidR="00783A13">
            <w:pPr>
              <w:numPr>
                <w:numId w:val="19"/>
              </w:numPr>
              <w:tabs>
                <w:tab w:val="left" w:pos="720"/>
              </w:tabs>
              <w:jc w:val="both"/>
              <w:rPr>
                <w:rStyle w:val="DefaultParagraphFont"/>
                <w:rFonts w:cs="Times New Roman"/>
              </w:rPr>
            </w:pPr>
            <w:r>
              <w:rPr>
                <w:rStyle w:val="DefaultParagraphFont"/>
                <w:rFonts w:cs="Times New Roman"/>
                <w:noProof/>
              </w:rPr>
              <w:t>primeraným informáciám získaným z vykonávania zdravotného dozoru vrátane publikovaných informácií, pokiaľ je to možné</w:t>
            </w:r>
          </w:p>
          <w:p w:rsidR="00783A13">
            <w:pPr>
              <w:numPr>
                <w:numId w:val="19"/>
              </w:numPr>
              <w:tabs>
                <w:tab w:val="left" w:pos="720"/>
              </w:tabs>
              <w:jc w:val="both"/>
              <w:rPr>
                <w:rStyle w:val="DefaultParagraphFont"/>
                <w:rFonts w:cs="Times New Roman"/>
              </w:rPr>
            </w:pPr>
            <w:r>
              <w:rPr>
                <w:rStyle w:val="DefaultParagraphFont"/>
                <w:rFonts w:cs="Times New Roman"/>
                <w:noProof/>
              </w:rPr>
              <w:t>viacnásobným zdrojom vystavenia umelému optickému žiareniu</w:t>
            </w:r>
          </w:p>
          <w:p w:rsidR="00783A13">
            <w:pPr>
              <w:numPr>
                <w:numId w:val="19"/>
              </w:numPr>
              <w:tabs>
                <w:tab w:val="left" w:pos="720"/>
              </w:tabs>
              <w:jc w:val="both"/>
              <w:rPr>
                <w:rStyle w:val="DefaultParagraphFont"/>
                <w:rFonts w:cs="Times New Roman"/>
              </w:rPr>
            </w:pPr>
            <w:r>
              <w:rPr>
                <w:rStyle w:val="DefaultParagraphFont"/>
                <w:rFonts w:cs="Times New Roman"/>
                <w:noProof/>
              </w:rPr>
              <w:t>klasifikácii lasera tak, ako je definovaná v súlade s príslušnými normami IEC a vo vzťahu ku každému umelému zdroju, ktorý by mohol spôsobiť podobné poškodenie ako laser triedy 3B alebo 4, každej podobnej klasifikácii</w:t>
            </w:r>
          </w:p>
          <w:p w:rsidR="00783A13">
            <w:pPr>
              <w:numPr>
                <w:numId w:val="19"/>
              </w:numPr>
              <w:tabs>
                <w:tab w:val="left" w:pos="720"/>
              </w:tabs>
              <w:jc w:val="both"/>
              <w:rPr>
                <w:rStyle w:val="DefaultParagraphFont"/>
                <w:rFonts w:cs="Times New Roman"/>
              </w:rPr>
            </w:pPr>
            <w:r>
              <w:rPr>
                <w:rStyle w:val="DefaultParagraphFont"/>
                <w:rFonts w:cs="Times New Roman"/>
                <w:noProof/>
              </w:rPr>
              <w:t>informáciám poskytovaným výrobcami zdrojov optického žiarenia a súvisiacich pracovných prostriedkov v súlade s príslušnými smernicami Spoločenstva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 3</w:t>
            </w:r>
          </w:p>
          <w:p w:rsidR="00783A13">
            <w:pPr>
              <w:rPr>
                <w:rStyle w:val="DefaultParagraphFont"/>
                <w:rFonts w:cs="Times New Roman"/>
              </w:rPr>
            </w:pPr>
            <w:r>
              <w:rPr>
                <w:rStyle w:val="DefaultParagraphFont"/>
                <w:rFonts w:cs="Times New Roman"/>
              </w:rPr>
              <w:t>O: 5</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tabs>
                <w:tab w:val="left" w:pos="2085"/>
              </w:tabs>
              <w:jc w:val="both"/>
              <w:rPr>
                <w:rStyle w:val="DefaultParagraphFont"/>
                <w:rFonts w:cs="Times New Roman"/>
              </w:rPr>
            </w:pPr>
            <w:r>
              <w:rPr>
                <w:rStyle w:val="DefaultParagraphFont"/>
                <w:rFonts w:cs="Times New Roman"/>
              </w:rPr>
              <w:t>Pri posudzovaní rizík expozície umelému optickému žiareniu zamestnávateľ zohľadňuje najmä</w:t>
            </w:r>
          </w:p>
          <w:p w:rsidR="00783A13">
            <w:pPr>
              <w:tabs>
                <w:tab w:val="left" w:pos="2085"/>
              </w:tabs>
              <w:jc w:val="both"/>
              <w:rPr>
                <w:rStyle w:val="DefaultParagraphFont"/>
                <w:rFonts w:cs="Times New Roman"/>
              </w:rPr>
            </w:pPr>
          </w:p>
          <w:p w:rsidR="00783A13">
            <w:pPr>
              <w:pStyle w:val="EnvelopeReturn"/>
              <w:numPr>
                <w:numId w:val="26"/>
              </w:numPr>
              <w:tabs>
                <w:tab w:val="left" w:pos="360"/>
              </w:tabs>
              <w:jc w:val="both"/>
              <w:rPr>
                <w:rStyle w:val="DefaultParagraphFont"/>
                <w:rFonts w:cs="Times New Roman"/>
                <w:sz w:val="20"/>
                <w:szCs w:val="20"/>
              </w:rPr>
            </w:pPr>
            <w:r>
              <w:rPr>
                <w:rStyle w:val="DefaultParagraphFont"/>
                <w:rFonts w:cs="Times New Roman"/>
                <w:sz w:val="20"/>
                <w:szCs w:val="20"/>
              </w:rPr>
              <w:t>úroveň, vlnovú dĺžku a trvanie expozície umelému optickému žiareniu a ich vplyv na prekračovanie hodnôt podľa písmena b),</w:t>
            </w:r>
          </w:p>
          <w:p w:rsidR="00783A13">
            <w:pPr>
              <w:pStyle w:val="EnvelopeReturn"/>
              <w:numPr>
                <w:numId w:val="26"/>
              </w:numPr>
              <w:tabs>
                <w:tab w:val="left" w:pos="360"/>
              </w:tabs>
              <w:rPr>
                <w:rStyle w:val="DefaultParagraphFont"/>
                <w:rFonts w:cs="Times New Roman"/>
                <w:sz w:val="20"/>
                <w:szCs w:val="20"/>
              </w:rPr>
            </w:pPr>
            <w:r>
              <w:rPr>
                <w:rStyle w:val="DefaultParagraphFont"/>
                <w:rFonts w:cs="Times New Roman"/>
                <w:sz w:val="20"/>
                <w:szCs w:val="20"/>
              </w:rPr>
              <w:t>limitné hodnoty expozície,</w:t>
            </w:r>
          </w:p>
          <w:p w:rsidR="00783A13">
            <w:pPr>
              <w:pStyle w:val="EnvelopeReturn"/>
              <w:rPr>
                <w:rStyle w:val="DefaultParagraphFont"/>
                <w:rFonts w:cs="Times New Roman"/>
                <w:sz w:val="20"/>
                <w:szCs w:val="20"/>
              </w:rPr>
            </w:pPr>
          </w:p>
          <w:p w:rsidR="00783A13">
            <w:pPr>
              <w:pStyle w:val="EnvelopeReturn"/>
              <w:rPr>
                <w:rStyle w:val="DefaultParagraphFont"/>
                <w:rFonts w:cs="Times New Roman"/>
                <w:sz w:val="20"/>
                <w:szCs w:val="20"/>
              </w:rPr>
            </w:pPr>
          </w:p>
          <w:p w:rsidR="00783A13">
            <w:pPr>
              <w:pStyle w:val="EnvelopeReturn"/>
              <w:numPr>
                <w:numId w:val="26"/>
              </w:numPr>
              <w:tabs>
                <w:tab w:val="left" w:pos="360"/>
              </w:tabs>
              <w:rPr>
                <w:rStyle w:val="DefaultParagraphFont"/>
                <w:rFonts w:cs="Times New Roman"/>
                <w:sz w:val="20"/>
                <w:szCs w:val="20"/>
              </w:rPr>
            </w:pPr>
            <w:r>
              <w:rPr>
                <w:rStyle w:val="DefaultParagraphFont"/>
                <w:rFonts w:cs="Times New Roman"/>
                <w:sz w:val="20"/>
                <w:szCs w:val="20"/>
              </w:rPr>
              <w:t>vplyv na bezpečnosť a zdravie osobitných skupín zamestnancov</w:t>
            </w:r>
            <w:r>
              <w:rPr>
                <w:rStyle w:val="FootnoteReference"/>
                <w:rFonts w:cs="Times New Roman"/>
                <w:sz w:val="20"/>
                <w:szCs w:val="20"/>
                <w:rtl w:val="0"/>
              </w:rPr>
              <w:footnoteReference w:id="5"/>
            </w:r>
            <w:r>
              <w:rPr>
                <w:rStyle w:val="DefaultParagraphFont"/>
                <w:rFonts w:cs="Times New Roman"/>
                <w:sz w:val="20"/>
                <w:szCs w:val="20"/>
                <w:vertAlign w:val="superscript"/>
              </w:rPr>
              <w:t>)</w:t>
            </w:r>
            <w:r>
              <w:rPr>
                <w:rStyle w:val="DefaultParagraphFont"/>
                <w:rFonts w:cs="Times New Roman"/>
                <w:sz w:val="20"/>
                <w:szCs w:val="20"/>
              </w:rPr>
              <w:t>,</w:t>
            </w:r>
          </w:p>
          <w:p w:rsidR="00783A13">
            <w:pPr>
              <w:pStyle w:val="EnvelopeReturn"/>
              <w:rPr>
                <w:rStyle w:val="DefaultParagraphFont"/>
                <w:rFonts w:cs="Times New Roman"/>
                <w:sz w:val="20"/>
                <w:szCs w:val="20"/>
              </w:rPr>
            </w:pPr>
          </w:p>
          <w:p w:rsidR="00783A13">
            <w:pPr>
              <w:pStyle w:val="EnvelopeReturn"/>
              <w:rPr>
                <w:rStyle w:val="DefaultParagraphFont"/>
                <w:rFonts w:cs="Times New Roman"/>
                <w:sz w:val="20"/>
                <w:szCs w:val="20"/>
              </w:rPr>
            </w:pPr>
          </w:p>
          <w:p w:rsidR="00783A13">
            <w:pPr>
              <w:pStyle w:val="EnvelopeReturn"/>
              <w:rPr>
                <w:rStyle w:val="DefaultParagraphFont"/>
                <w:rFonts w:cs="Times New Roman"/>
                <w:sz w:val="20"/>
                <w:szCs w:val="20"/>
              </w:rPr>
            </w:pPr>
          </w:p>
          <w:p w:rsidR="00783A13">
            <w:pPr>
              <w:pStyle w:val="EnvelopeReturn"/>
              <w:numPr>
                <w:numId w:val="26"/>
              </w:numPr>
              <w:tabs>
                <w:tab w:val="left" w:pos="360"/>
              </w:tabs>
              <w:rPr>
                <w:rStyle w:val="DefaultParagraphFont"/>
                <w:rFonts w:cs="Times New Roman"/>
                <w:sz w:val="20"/>
                <w:szCs w:val="20"/>
              </w:rPr>
            </w:pPr>
            <w:r>
              <w:rPr>
                <w:rStyle w:val="DefaultParagraphFont"/>
                <w:rFonts w:cs="Times New Roman"/>
                <w:sz w:val="20"/>
                <w:szCs w:val="20"/>
              </w:rPr>
              <w:t>vplyv na bezpečnosť a zdravie zamestnancov, vyplývajúci zo vzájomného pôsobenia optického žiarenia a fotosenzitívnych chemických látok na pracovisku,</w:t>
            </w:r>
          </w:p>
          <w:p w:rsidR="00783A13">
            <w:pPr>
              <w:pStyle w:val="EnvelopeReturn"/>
              <w:rPr>
                <w:rStyle w:val="DefaultParagraphFont"/>
                <w:rFonts w:cs="Times New Roman"/>
                <w:sz w:val="20"/>
                <w:szCs w:val="20"/>
              </w:rPr>
            </w:pPr>
          </w:p>
          <w:p w:rsidR="00783A13">
            <w:pPr>
              <w:pStyle w:val="EnvelopeReturn"/>
              <w:rPr>
                <w:rStyle w:val="DefaultParagraphFont"/>
                <w:rFonts w:cs="Times New Roman"/>
                <w:sz w:val="20"/>
                <w:szCs w:val="20"/>
              </w:rPr>
            </w:pPr>
          </w:p>
          <w:p w:rsidR="00783A13">
            <w:pPr>
              <w:pStyle w:val="EnvelopeReturn"/>
              <w:rPr>
                <w:rStyle w:val="DefaultParagraphFont"/>
                <w:rFonts w:cs="Times New Roman"/>
                <w:sz w:val="20"/>
                <w:szCs w:val="20"/>
              </w:rPr>
            </w:pPr>
          </w:p>
          <w:p w:rsidR="00783A13">
            <w:pPr>
              <w:pStyle w:val="EnvelopeReturn"/>
              <w:numPr>
                <w:numId w:val="26"/>
              </w:numPr>
              <w:tabs>
                <w:tab w:val="left" w:pos="360"/>
              </w:tabs>
              <w:jc w:val="both"/>
              <w:rPr>
                <w:rStyle w:val="DefaultParagraphFont"/>
                <w:rFonts w:cs="Times New Roman"/>
                <w:sz w:val="20"/>
                <w:szCs w:val="20"/>
              </w:rPr>
            </w:pPr>
            <w:r>
              <w:rPr>
                <w:rStyle w:val="DefaultParagraphFont"/>
                <w:rFonts w:cs="Times New Roman"/>
                <w:sz w:val="20"/>
                <w:szCs w:val="20"/>
              </w:rPr>
              <w:t>nepriame vplyvy ako napríklad dočasné oslepenie, výbuch alebo požiar,</w:t>
            </w:r>
          </w:p>
          <w:p w:rsidR="00783A13">
            <w:pPr>
              <w:pStyle w:val="EnvelopeReturn"/>
              <w:jc w:val="both"/>
              <w:rPr>
                <w:rStyle w:val="DefaultParagraphFont"/>
                <w:rFonts w:cs="Times New Roman"/>
                <w:sz w:val="20"/>
                <w:szCs w:val="20"/>
              </w:rPr>
            </w:pPr>
          </w:p>
          <w:p w:rsidR="00783A13">
            <w:pPr>
              <w:pStyle w:val="EnvelopeReturn"/>
              <w:numPr>
                <w:numId w:val="26"/>
              </w:numPr>
              <w:tabs>
                <w:tab w:val="left" w:pos="360"/>
              </w:tabs>
              <w:jc w:val="both"/>
              <w:rPr>
                <w:rStyle w:val="DefaultParagraphFont"/>
                <w:rFonts w:cs="Times New Roman"/>
                <w:sz w:val="20"/>
                <w:szCs w:val="20"/>
              </w:rPr>
            </w:pPr>
            <w:r>
              <w:rPr>
                <w:rStyle w:val="DefaultParagraphFont"/>
                <w:rFonts w:cs="Times New Roman"/>
                <w:sz w:val="20"/>
                <w:szCs w:val="20"/>
              </w:rPr>
              <w:t xml:space="preserve">doplnkové vybavenie navrhnutého na zníženie úrovne expozície umelému optickému žiareniu, </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numId w:val="26"/>
              </w:numPr>
              <w:tabs>
                <w:tab w:val="left" w:pos="360"/>
              </w:tabs>
              <w:jc w:val="both"/>
              <w:rPr>
                <w:rStyle w:val="DefaultParagraphFont"/>
                <w:rFonts w:cs="Times New Roman"/>
                <w:sz w:val="20"/>
                <w:szCs w:val="20"/>
              </w:rPr>
            </w:pPr>
            <w:r>
              <w:rPr>
                <w:rStyle w:val="DefaultParagraphFont"/>
                <w:rFonts w:cs="Times New Roman"/>
                <w:sz w:val="20"/>
                <w:szCs w:val="20"/>
              </w:rPr>
              <w:t xml:space="preserve">príslušné informácie získané výkonom zdravotného dohľadu podľa § 7 vrátane publikovaných informácií, </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numId w:val="26"/>
              </w:numPr>
              <w:tabs>
                <w:tab w:val="left" w:pos="360"/>
              </w:tabs>
              <w:rPr>
                <w:rStyle w:val="DefaultParagraphFont"/>
                <w:rFonts w:cs="Times New Roman"/>
                <w:sz w:val="20"/>
                <w:szCs w:val="20"/>
              </w:rPr>
            </w:pPr>
            <w:r>
              <w:rPr>
                <w:rStyle w:val="DefaultParagraphFont"/>
                <w:rFonts w:cs="Times New Roman"/>
                <w:sz w:val="20"/>
                <w:szCs w:val="20"/>
              </w:rPr>
              <w:t>viaceré zdroje expozície umelému optickému žiareniu,</w:t>
            </w:r>
          </w:p>
          <w:p w:rsidR="00783A13">
            <w:pPr>
              <w:pStyle w:val="EnvelopeReturn"/>
              <w:rPr>
                <w:rStyle w:val="DefaultParagraphFont"/>
                <w:rFonts w:cs="Times New Roman"/>
                <w:sz w:val="20"/>
                <w:szCs w:val="20"/>
              </w:rPr>
            </w:pPr>
          </w:p>
          <w:p w:rsidR="00783A13">
            <w:pPr>
              <w:pStyle w:val="FootnoteText"/>
              <w:rPr>
                <w:rStyle w:val="DefaultParagraphFont"/>
                <w:rFonts w:cs="Times New Roman"/>
              </w:rPr>
            </w:pPr>
            <w:r>
              <w:rPr>
                <w:rStyle w:val="DefaultParagraphFont"/>
                <w:rFonts w:cs="Times New Roman"/>
              </w:rPr>
              <w:t xml:space="preserve">i) zaradenie lasera do triedy v súlade s príslušnými harmonizovanými normami, </w:t>
            </w: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r>
              <w:rPr>
                <w:rStyle w:val="DefaultParagraphFont"/>
                <w:rFonts w:cs="Times New Roman"/>
              </w:rPr>
              <w:t>j) informácie, ktoré sú poskytované výrobcami zdrojov optického žiarenia a príslušných pracovných zariadení v súlade s príslušnou legislatívou.</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4</w:t>
            </w:r>
          </w:p>
          <w:p w:rsidR="00783A13">
            <w:pPr>
              <w:rPr>
                <w:rStyle w:val="DefaultParagraphFont"/>
                <w:rFonts w:cs="Times New Roman"/>
              </w:rPr>
            </w:pPr>
            <w:r>
              <w:rPr>
                <w:rStyle w:val="DefaultParagraphFont"/>
                <w:rFonts w:cs="Times New Roman"/>
              </w:rPr>
              <w:t>O: 4</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rPr>
              <w:t>Zamestnávateľ musí mať posúdenie rizika v súlade s článkom 9 ods.</w:t>
            </w:r>
            <w:r>
              <w:rPr>
                <w:rStyle w:val="DefaultParagraphFont"/>
                <w:rFonts w:cs="Times New Roman"/>
              </w:rPr>
              <w:t xml:space="preserve"> </w:t>
            </w:r>
            <w:r>
              <w:rPr>
                <w:rStyle w:val="DefaultParagraphFont"/>
                <w:rFonts w:cs="Times New Roman"/>
                <w:noProof/>
              </w:rPr>
              <w:t>1 písm. a) smernice 89/391/EHS a určí, ktoré opatrenia sa musia prijať v súlade s článkami 5 a 6 tejto smernice.</w:t>
            </w:r>
            <w:r>
              <w:rPr>
                <w:rStyle w:val="DefaultParagraphFont"/>
                <w:rFonts w:cs="Times New Roman"/>
              </w:rPr>
              <w:t xml:space="preserve"> Posúdenie</w:t>
            </w:r>
            <w:r>
              <w:rPr>
                <w:rStyle w:val="DefaultParagraphFont"/>
                <w:rFonts w:cs="Times New Roman"/>
                <w:noProof/>
              </w:rPr>
              <w:t xml:space="preserve"> rizík sa zaznamená na vhodné médium podľa vnútroštátneho práva a postupu;</w:t>
            </w:r>
            <w:r>
              <w:rPr>
                <w:rStyle w:val="DefaultParagraphFont"/>
                <w:rFonts w:cs="Times New Roman"/>
              </w:rPr>
              <w:t xml:space="preserve"> </w:t>
            </w:r>
            <w:r>
              <w:rPr>
                <w:rStyle w:val="DefaultParagraphFont"/>
                <w:rFonts w:cs="Times New Roman"/>
                <w:noProof/>
              </w:rPr>
              <w:t>môže obsahovať odôvodnenie zamestnávateľa, že povaha a rozsah rizika súvisiaceho s optickým žiarením si nevyžaduje ďalšie podrobné posúdenie rizika.</w:t>
            </w:r>
            <w:r>
              <w:rPr>
                <w:rStyle w:val="DefaultParagraphFont"/>
                <w:rFonts w:cs="Times New Roman"/>
              </w:rPr>
              <w:t xml:space="preserve"> Posúdenie </w:t>
            </w:r>
            <w:r>
              <w:rPr>
                <w:rStyle w:val="DefaultParagraphFont"/>
                <w:rFonts w:cs="Times New Roman"/>
                <w:noProof/>
              </w:rPr>
              <w:t>rizík sa pravidelne aktualizuje, najmä ak došlo k závažným zmenám, ktoré by mohli spôsobiť jeho neaktuálnosť, alebo ak výsledky zdravotného dozoru ukážu, že aktualizácia je potrebná</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3</w:t>
            </w:r>
          </w:p>
          <w:p w:rsidR="00783A13">
            <w:pPr>
              <w:jc w:val="center"/>
              <w:rPr>
                <w:rStyle w:val="DefaultParagraphFont"/>
                <w:rFonts w:cs="Times New Roman"/>
              </w:rPr>
            </w:pPr>
            <w:r>
              <w:rPr>
                <w:rStyle w:val="DefaultParagraphFont"/>
                <w:rFonts w:cs="Times New Roman"/>
              </w:rPr>
              <w:t>O: 6</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O: 7</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Zamestnávateľ vypracuje o posúdení rizík posudok o riziku a určí opatrenia, ktoré sa vykonajú podľa § 4 a 5. Ak v dôsledku povahy a rozsahu rizika súvisiaceho s expozíciou umelému optickému žiareniu nie je potrebné ďalšie podrobnejšie posúdenie rizík, zamestnávateľ túto skutočnosť uvedie v posudku o riziku spolu s odôvodnením.</w:t>
            </w: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p>
          <w:p w:rsidR="00783A13">
            <w:pPr>
              <w:pStyle w:val="FootnoteText"/>
              <w:rPr>
                <w:rStyle w:val="DefaultParagraphFont"/>
                <w:rFonts w:cs="Times New Roman"/>
              </w:rPr>
            </w:pPr>
            <w:r>
              <w:rPr>
                <w:rStyle w:val="DefaultParagraphFont"/>
                <w:rFonts w:cs="Times New Roman"/>
              </w:rPr>
              <w:t>Zamestnávateľ je povinný posudok o riziku pravidelne v potrebnom rozsahu aktualizovať, najmä ak sa na pracovisku alebo v pracovných postupoch uskutočnili významné zmeny, ktoré by mohli spôsobiť zastaranie tohto posudku alebo ak výsledky zdravotného dohľadu ukázali, že je to potrebné</w:t>
            </w:r>
          </w:p>
          <w:p w:rsidR="00783A13">
            <w:pPr>
              <w:pStyle w:val="FootnoteText"/>
              <w:rPr>
                <w:rStyle w:val="DefaultParagraphFont"/>
                <w:rFonts w:cs="Times New Roman"/>
              </w:rPr>
            </w:pP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5</w:t>
            </w:r>
          </w:p>
          <w:p w:rsidR="00783A13">
            <w:pPr>
              <w:rPr>
                <w:rStyle w:val="DefaultParagraphFont"/>
                <w:rFonts w:cs="Times New Roman"/>
              </w:rPr>
            </w:pPr>
            <w:r>
              <w:rPr>
                <w:rStyle w:val="DefaultParagraphFont"/>
                <w:rFonts w:cs="Times New Roman"/>
              </w:rPr>
              <w:t>O: 1</w:t>
            </w:r>
          </w:p>
          <w:p w:rsidR="00783A13">
            <w:pPr>
              <w:rPr>
                <w:rStyle w:val="DefaultParagraphFont"/>
                <w:rFonts w:cs="Times New Roman"/>
              </w:rPr>
            </w:pPr>
            <w:r>
              <w:rPr>
                <w:rStyle w:val="DefaultParagraphFont"/>
                <w:rFonts w:cs="Times New Roman"/>
              </w:rPr>
              <w:t>V: 1</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V: 2</w:t>
            </w:r>
          </w:p>
          <w:p w:rsidR="00783A13">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noProof/>
              </w:rPr>
            </w:pPr>
            <w:r>
              <w:rPr>
                <w:rStyle w:val="DefaultParagraphFont"/>
                <w:rFonts w:cs="Times New Roman"/>
                <w:noProof/>
              </w:rPr>
              <w:t>Berúc do úvahy technický pokrok a dostupnosť opatrení na kontrolu rizika pri zdroji, riziká vznikajúce z vystavenia umelému optickému žiareniu sa obmedzujú alebo znižujú na minimum.</w:t>
            </w:r>
          </w:p>
          <w:p w:rsidR="00783A13">
            <w:pPr>
              <w:jc w:val="both"/>
              <w:rPr>
                <w:rStyle w:val="DefaultParagraphFont"/>
                <w:rFonts w:cs="Times New Roman"/>
                <w:noProof/>
              </w:rPr>
            </w:pPr>
          </w:p>
          <w:p w:rsidR="00783A13">
            <w:pPr>
              <w:rPr>
                <w:rStyle w:val="DefaultParagraphFont"/>
                <w:rFonts w:cs="Times New Roman"/>
              </w:rPr>
            </w:pPr>
            <w:r>
              <w:rPr>
                <w:rStyle w:val="DefaultParagraphFont"/>
                <w:rFonts w:cs="Times New Roman"/>
                <w:noProof/>
              </w:rPr>
              <w:t>Zníženie rizík vznikajúcich vystavením umelému optickému žiareniu sa zakladá na všeobecných zásadách prevencie ustanovených v smernici 89/391/EHS.</w:t>
            </w:r>
          </w:p>
          <w:p w:rsidR="00783A13">
            <w:pPr>
              <w:jc w:val="both"/>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4</w:t>
            </w:r>
          </w:p>
          <w:p w:rsidR="00783A13">
            <w:pPr>
              <w:jc w:val="center"/>
              <w:rPr>
                <w:rStyle w:val="DefaultParagraphFont"/>
                <w:rFonts w:cs="Times New Roman"/>
              </w:rPr>
            </w:pPr>
            <w:r>
              <w:rPr>
                <w:rStyle w:val="DefaultParagraphFont"/>
                <w:rFonts w:cs="Times New Roman"/>
              </w:rPr>
              <w:t>O: 1</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Riziká vyplývajúce z expozície umelému optickému žiareniu musí zamestnávateľ odstrániť alebo znížiť na najnižšiu dosiahnuteľnú úroveň predovšetkým pri zdroji umelého optického žiarenia. Prihliada pritom na technický pokrok a dostupnosť opatrení na odstránenie alebo zníženie expozície umelému optickému žiareniu. Zníženie rizík vyplývajúcich z expozície elektromagnetickému poľu je založené na všeobecných zásadách prevencie uvedených v osobitných predpisoch</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5</w:t>
            </w:r>
          </w:p>
          <w:p w:rsidR="00783A13">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noProof/>
              </w:rPr>
            </w:pPr>
            <w:r>
              <w:rPr>
                <w:rStyle w:val="DefaultParagraphFont"/>
                <w:rFonts w:cs="Times New Roman"/>
                <w:noProof/>
              </w:rPr>
              <w:t>Ak posúdenie rizika uskutočnené v súlade s článkom 4 ods.</w:t>
            </w:r>
            <w:r>
              <w:rPr>
                <w:rStyle w:val="DefaultParagraphFont"/>
                <w:rFonts w:cs="Times New Roman"/>
              </w:rPr>
              <w:t xml:space="preserve"> </w:t>
            </w:r>
            <w:r>
              <w:rPr>
                <w:rStyle w:val="DefaultParagraphFont"/>
                <w:rFonts w:cs="Times New Roman"/>
                <w:noProof/>
              </w:rPr>
              <w:t>1 pre pracovníkov vystavených umelým zdrojom optického žiarenia ukazuje akúkoľvek možnosť, že limitné hodnoty expozície môžu byť prekročené, zamestnávateľ vypracuje a uskutoční akčný plán zložený z technických a/alebo organizačných opatrení zameraných na predchádzanie expozícii prekračujúcej limitné hodnoty, ktorý zohľadní predovšetkým:</w:t>
            </w:r>
          </w:p>
          <w:p w:rsidR="00783A13">
            <w:pPr>
              <w:numPr>
                <w:numId w:val="20"/>
              </w:numPr>
              <w:tabs>
                <w:tab w:val="left" w:pos="720"/>
              </w:tabs>
              <w:rPr>
                <w:rStyle w:val="DefaultParagraphFont"/>
                <w:rFonts w:cs="Times New Roman"/>
                <w:noProof/>
              </w:rPr>
            </w:pPr>
            <w:r>
              <w:rPr>
                <w:rStyle w:val="DefaultParagraphFont"/>
                <w:rFonts w:cs="Times New Roman"/>
                <w:noProof/>
              </w:rPr>
              <w:t>ostatné pracovné metódy, ktoré znižujú riziko optického žiarenia;</w:t>
            </w:r>
          </w:p>
          <w:p w:rsidR="00783A13">
            <w:pPr>
              <w:numPr>
                <w:numId w:val="20"/>
              </w:numPr>
              <w:tabs>
                <w:tab w:val="left" w:pos="720"/>
              </w:tabs>
              <w:rPr>
                <w:rStyle w:val="DefaultParagraphFont"/>
                <w:rFonts w:cs="Times New Roman"/>
              </w:rPr>
            </w:pPr>
            <w:r>
              <w:rPr>
                <w:rStyle w:val="DefaultParagraphFont"/>
                <w:rFonts w:cs="Times New Roman"/>
                <w:noProof/>
              </w:rPr>
              <w:t>voľbu zariadenia, ktoré vzhľadom k práci, ktorá sa má vykonať, vyžaruje menej optického žiarenia</w:t>
            </w:r>
          </w:p>
          <w:p w:rsidR="00783A13">
            <w:pPr>
              <w:numPr>
                <w:numId w:val="20"/>
              </w:numPr>
              <w:tabs>
                <w:tab w:val="left" w:pos="720"/>
              </w:tabs>
              <w:rPr>
                <w:rStyle w:val="DefaultParagraphFont"/>
                <w:rFonts w:cs="Times New Roman"/>
              </w:rPr>
            </w:pPr>
            <w:r>
              <w:rPr>
                <w:rStyle w:val="DefaultParagraphFont"/>
                <w:rFonts w:cs="Times New Roman"/>
                <w:noProof/>
              </w:rPr>
              <w:t>technické opatrenia na zníženie optického žiarenia vrátane použitia blokovacích, tieniacich alebo podobných mechanizmov na ochranu zdravia tam, kde je to potrebné</w:t>
            </w:r>
          </w:p>
          <w:p w:rsidR="00783A13">
            <w:pPr>
              <w:numPr>
                <w:numId w:val="20"/>
              </w:numPr>
              <w:tabs>
                <w:tab w:val="left" w:pos="720"/>
              </w:tabs>
              <w:rPr>
                <w:rStyle w:val="DefaultParagraphFont"/>
                <w:rFonts w:cs="Times New Roman"/>
              </w:rPr>
            </w:pPr>
            <w:r>
              <w:rPr>
                <w:rStyle w:val="DefaultParagraphFont"/>
                <w:rFonts w:cs="Times New Roman"/>
                <w:noProof/>
              </w:rPr>
              <w:t>vhodné programy na údržbu pracovných prostriedkov, pracovísk a systémov pracovných stanovíšť;</w:t>
            </w:r>
          </w:p>
          <w:p w:rsidR="00783A13">
            <w:pPr>
              <w:numPr>
                <w:numId w:val="20"/>
              </w:numPr>
              <w:tabs>
                <w:tab w:val="left" w:pos="720"/>
              </w:tabs>
              <w:rPr>
                <w:rStyle w:val="DefaultParagraphFont"/>
                <w:rFonts w:cs="Times New Roman"/>
              </w:rPr>
            </w:pPr>
            <w:r>
              <w:rPr>
                <w:rStyle w:val="DefaultParagraphFont"/>
                <w:rFonts w:cs="Times New Roman"/>
              </w:rPr>
              <w:t>návrh a dispozičné riešenie pracovísk a pracovných stanovíšť</w:t>
            </w:r>
          </w:p>
          <w:p w:rsidR="00783A13">
            <w:pPr>
              <w:numPr>
                <w:numId w:val="20"/>
              </w:numPr>
              <w:tabs>
                <w:tab w:val="left" w:pos="720"/>
              </w:tabs>
              <w:rPr>
                <w:rStyle w:val="DefaultParagraphFont"/>
                <w:rFonts w:cs="Times New Roman"/>
              </w:rPr>
            </w:pPr>
            <w:r>
              <w:rPr>
                <w:rStyle w:val="DefaultParagraphFont"/>
                <w:rFonts w:cs="Times New Roman"/>
                <w:noProof/>
              </w:rPr>
              <w:t>obmedzenie trvania a úrovne expozície</w:t>
            </w:r>
          </w:p>
          <w:p w:rsidR="00783A13">
            <w:pPr>
              <w:numPr>
                <w:numId w:val="20"/>
              </w:numPr>
              <w:tabs>
                <w:tab w:val="left" w:pos="720"/>
              </w:tabs>
              <w:rPr>
                <w:rStyle w:val="DefaultParagraphFont"/>
                <w:rFonts w:cs="Times New Roman"/>
              </w:rPr>
            </w:pPr>
            <w:r>
              <w:rPr>
                <w:rStyle w:val="DefaultParagraphFont"/>
                <w:rFonts w:cs="Times New Roman"/>
                <w:noProof/>
              </w:rPr>
              <w:t>dostupnosť vhodných osobných ochranných prostriedkov</w:t>
            </w:r>
          </w:p>
          <w:p w:rsidR="00783A13">
            <w:pPr>
              <w:numPr>
                <w:numId w:val="20"/>
              </w:numPr>
              <w:tabs>
                <w:tab w:val="left" w:pos="720"/>
              </w:tabs>
              <w:rPr>
                <w:rStyle w:val="DefaultParagraphFont"/>
                <w:rFonts w:cs="Times New Roman"/>
              </w:rPr>
            </w:pPr>
            <w:r>
              <w:rPr>
                <w:rStyle w:val="DefaultParagraphFont"/>
                <w:rFonts w:cs="Times New Roman"/>
                <w:noProof/>
              </w:rPr>
              <w:t>pokyny výrobcu zariadenia, pokiaľ sa naň vzťahujú príslušné smernice Spoločenstva.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4</w:t>
            </w:r>
          </w:p>
          <w:p w:rsidR="00783A13">
            <w:pPr>
              <w:jc w:val="center"/>
              <w:rPr>
                <w:rStyle w:val="DefaultParagraphFont"/>
                <w:rFonts w:cs="Times New Roman"/>
              </w:rPr>
            </w:pPr>
            <w:r>
              <w:rPr>
                <w:rStyle w:val="DefaultParagraphFont"/>
                <w:rFonts w:cs="Times New Roman"/>
              </w:rPr>
              <w:t>O: 2</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EnvelopeReturn"/>
              <w:numPr>
                <w:numId w:val="30"/>
              </w:numPr>
              <w:tabs>
                <w:tab w:val="left" w:pos="644"/>
              </w:tabs>
              <w:jc w:val="both"/>
              <w:rPr>
                <w:rStyle w:val="DefaultParagraphFont"/>
                <w:rFonts w:cs="Times New Roman"/>
                <w:sz w:val="20"/>
                <w:szCs w:val="20"/>
              </w:rPr>
            </w:pPr>
            <w:r>
              <w:rPr>
                <w:rStyle w:val="DefaultParagraphFont"/>
                <w:rFonts w:cs="Times New Roman"/>
                <w:sz w:val="20"/>
                <w:szCs w:val="20"/>
              </w:rPr>
              <w:t xml:space="preserve">Ak posúdenie rizík preukáže prekročenie limitných hodnôt expozície umelému optickému žiareniu, zamestnávateľ zostaví a realizuje program technických opatrení alebo organizačných opatrení s cieľom znížiť expozíciu umelému optickému žiareniu a spolupôsobiace riziká na najnižšiu možnú úroveň. Zamestnávateľ pritom berie do úvahy najmä </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numId w:val="29"/>
              </w:numPr>
              <w:tabs>
                <w:tab w:val="left" w:pos="360"/>
              </w:tabs>
              <w:rPr>
                <w:rStyle w:val="DefaultParagraphFont"/>
                <w:rFonts w:cs="Times New Roman"/>
                <w:sz w:val="20"/>
                <w:szCs w:val="20"/>
              </w:rPr>
            </w:pPr>
            <w:r>
              <w:rPr>
                <w:rStyle w:val="DefaultParagraphFont"/>
                <w:rFonts w:cs="Times New Roman"/>
                <w:sz w:val="20"/>
                <w:szCs w:val="20"/>
              </w:rPr>
              <w:t>iné metódy práce, ktoré znížia expozíciu umelému optickému žiareniu,</w:t>
            </w:r>
          </w:p>
          <w:p w:rsidR="00783A13">
            <w:pPr>
              <w:pStyle w:val="EnvelopeReturn"/>
              <w:numPr>
                <w:numId w:val="29"/>
              </w:numPr>
              <w:tabs>
                <w:tab w:val="left" w:pos="360"/>
              </w:tabs>
              <w:rPr>
                <w:rStyle w:val="DefaultParagraphFont"/>
                <w:rFonts w:cs="Times New Roman"/>
                <w:sz w:val="20"/>
                <w:szCs w:val="20"/>
              </w:rPr>
            </w:pPr>
            <w:r>
              <w:rPr>
                <w:rStyle w:val="DefaultParagraphFont"/>
                <w:rFonts w:cs="Times New Roman"/>
                <w:sz w:val="20"/>
                <w:szCs w:val="20"/>
              </w:rPr>
              <w:t xml:space="preserve">výber zariadenia vyžarujúceho menej optického žiarenia, </w:t>
            </w:r>
          </w:p>
          <w:p w:rsidR="00783A13">
            <w:pPr>
              <w:pStyle w:val="EnvelopeReturn"/>
              <w:rPr>
                <w:rStyle w:val="DefaultParagraphFont"/>
                <w:rFonts w:cs="Times New Roman"/>
                <w:sz w:val="20"/>
                <w:szCs w:val="20"/>
              </w:rPr>
            </w:pPr>
          </w:p>
          <w:p w:rsidR="00783A13">
            <w:pPr>
              <w:pStyle w:val="EnvelopeReturn"/>
              <w:rPr>
                <w:rStyle w:val="DefaultParagraphFont"/>
                <w:rFonts w:cs="Times New Roman"/>
                <w:sz w:val="20"/>
                <w:szCs w:val="20"/>
              </w:rPr>
            </w:pPr>
          </w:p>
          <w:p w:rsidR="00783A13">
            <w:pPr>
              <w:pStyle w:val="EnvelopeReturn"/>
              <w:numPr>
                <w:numId w:val="29"/>
              </w:numPr>
              <w:tabs>
                <w:tab w:val="left" w:pos="360"/>
              </w:tabs>
              <w:jc w:val="both"/>
              <w:rPr>
                <w:rStyle w:val="DefaultParagraphFont"/>
                <w:rFonts w:cs="Times New Roman"/>
                <w:sz w:val="20"/>
                <w:szCs w:val="20"/>
              </w:rPr>
            </w:pPr>
            <w:r>
              <w:rPr>
                <w:rStyle w:val="DefaultParagraphFont"/>
                <w:rFonts w:cs="Times New Roman"/>
                <w:sz w:val="20"/>
                <w:szCs w:val="20"/>
              </w:rPr>
              <w:t>technické opatrenia na zníženie optického žiarenia vrátane blokovacích, tieniacich a ďalších podobných mechanizmov a zariadení na ochranu zdravia,</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numId w:val="29"/>
              </w:numPr>
              <w:tabs>
                <w:tab w:val="left" w:pos="360"/>
              </w:tabs>
              <w:jc w:val="both"/>
              <w:rPr>
                <w:rStyle w:val="DefaultParagraphFont"/>
                <w:rFonts w:cs="Times New Roman"/>
                <w:sz w:val="20"/>
                <w:szCs w:val="20"/>
              </w:rPr>
            </w:pPr>
            <w:r>
              <w:rPr>
                <w:rStyle w:val="DefaultParagraphFont"/>
                <w:rFonts w:cs="Times New Roman"/>
                <w:sz w:val="20"/>
                <w:szCs w:val="20"/>
              </w:rPr>
              <w:t>vhodné spôsoby údržby pracovných prostriedkov, pracoviska a zariadení na pracovisku,</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numId w:val="29"/>
              </w:numPr>
              <w:tabs>
                <w:tab w:val="left" w:pos="360"/>
              </w:tabs>
              <w:rPr>
                <w:rStyle w:val="DefaultParagraphFont"/>
                <w:rFonts w:cs="Times New Roman"/>
                <w:sz w:val="20"/>
                <w:szCs w:val="20"/>
              </w:rPr>
            </w:pPr>
            <w:r>
              <w:rPr>
                <w:rStyle w:val="DefaultParagraphFont"/>
                <w:rFonts w:cs="Times New Roman"/>
                <w:sz w:val="20"/>
                <w:szCs w:val="20"/>
              </w:rPr>
              <w:t>stavebné a priestorové riešenie pracoviska,</w:t>
            </w:r>
          </w:p>
          <w:p w:rsidR="00783A13">
            <w:pPr>
              <w:pStyle w:val="EnvelopeReturn"/>
              <w:rPr>
                <w:rStyle w:val="DefaultParagraphFont"/>
                <w:rFonts w:cs="Times New Roman"/>
                <w:sz w:val="20"/>
                <w:szCs w:val="20"/>
              </w:rPr>
            </w:pPr>
          </w:p>
          <w:p w:rsidR="00783A13">
            <w:pPr>
              <w:pStyle w:val="EnvelopeReturn"/>
              <w:numPr>
                <w:numId w:val="29"/>
              </w:numPr>
              <w:tabs>
                <w:tab w:val="left" w:pos="360"/>
              </w:tabs>
              <w:rPr>
                <w:rStyle w:val="DefaultParagraphFont"/>
                <w:rFonts w:cs="Times New Roman"/>
                <w:sz w:val="20"/>
                <w:szCs w:val="20"/>
              </w:rPr>
            </w:pPr>
            <w:r>
              <w:rPr>
                <w:rStyle w:val="DefaultParagraphFont"/>
                <w:rFonts w:cs="Times New Roman"/>
                <w:sz w:val="20"/>
                <w:szCs w:val="20"/>
              </w:rPr>
              <w:t>obmedzenie trvania a úrovne expozície umelému optickému žiareniu,</w:t>
            </w:r>
          </w:p>
          <w:p w:rsidR="00783A13">
            <w:pPr>
              <w:pStyle w:val="FootnoteText"/>
              <w:rPr>
                <w:rStyle w:val="DefaultParagraphFont"/>
                <w:rFonts w:cs="Times New Roman"/>
              </w:rPr>
            </w:pPr>
            <w:r>
              <w:rPr>
                <w:rStyle w:val="DefaultParagraphFont"/>
                <w:rFonts w:cs="Times New Roman"/>
              </w:rPr>
              <w:t>g)   účinné osobné ochranné pracovné prostriedky,</w:t>
            </w:r>
          </w:p>
          <w:p w:rsidR="00783A13">
            <w:pPr>
              <w:pStyle w:val="FootnoteText"/>
              <w:rPr>
                <w:rStyle w:val="DefaultParagraphFont"/>
                <w:rFonts w:cs="Times New Roman"/>
              </w:rPr>
            </w:pPr>
            <w:r>
              <w:rPr>
                <w:rStyle w:val="DefaultParagraphFont"/>
                <w:rFonts w:cs="Times New Roman"/>
              </w:rPr>
              <w:t>h)   pokyny výrobcu zariadenia, ak sa naň vzťahuje  príslušné osobitné predpisy</w:t>
            </w:r>
            <w:r>
              <w:rPr>
                <w:rStyle w:val="DefaultParagraphFont"/>
                <w:rFonts w:cs="Times New Roman"/>
                <w:vertAlign w:val="superscript"/>
              </w:rPr>
              <w:t>2</w:t>
            </w:r>
            <w:r>
              <w:rPr>
                <w:rStyle w:val="DefaultParagraphFont"/>
                <w:rFonts w:cs="Times New Roman"/>
              </w:rPr>
              <w:t>)</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5</w:t>
            </w:r>
          </w:p>
          <w:p w:rsidR="00783A13">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rPr>
              <w:t>Na základe posúdenia rizika vykonaného v súlade s článkom 4 pracoviská, na ktorých by pracovníci mohli byť vystavení úrovni optického žiarenia z prírodných zdrojov presahujúcej limitné hodnoty expozície, sa označia vhodnými označeniami v súlade so smernicou Rady 92/58/EHS</w:t>
            </w:r>
            <w:r>
              <w:rPr>
                <w:rStyle w:val="tw4winMark"/>
                <w:rFonts w:cs="Courier New"/>
                <w:noProof/>
                <w:vanish w:val="0"/>
              </w:rPr>
              <w:t xml:space="preserve"> </w:t>
            </w:r>
            <w:r>
              <w:rPr>
                <w:rStyle w:val="DefaultParagraphFont"/>
                <w:rFonts w:cs="Times New Roman"/>
                <w:noProof/>
              </w:rPr>
              <w:t>z 24. júna 1992 o minimálnych požiadavkách na zaistenie bezpečnostných a/alebo zdravotných označení pri práci (9. samostatná smernica v zmysle článku 16 ods.</w:t>
            </w:r>
            <w:r>
              <w:rPr>
                <w:rStyle w:val="DefaultParagraphFont"/>
                <w:rFonts w:cs="Times New Roman"/>
              </w:rPr>
              <w:t xml:space="preserve"> </w:t>
            </w:r>
            <w:r>
              <w:rPr>
                <w:rStyle w:val="DefaultParagraphFont"/>
                <w:rFonts w:cs="Times New Roman"/>
                <w:noProof/>
              </w:rPr>
              <w:t>1 smernice 89/391/EHS)</w:t>
            </w:r>
            <w:r>
              <w:rPr>
                <w:rStyle w:val="FootnoteReference"/>
                <w:rFonts w:cs="Times New Roman"/>
                <w:noProof/>
                <w:rtl w:val="0"/>
              </w:rPr>
              <w:footnoteReference w:id="6"/>
            </w:r>
            <w:r>
              <w:rPr>
                <w:rStyle w:val="DefaultParagraphFont"/>
                <w:rFonts w:cs="Times New Roman"/>
                <w:noProof/>
              </w:rPr>
              <w:t>.</w:t>
            </w:r>
            <w:r>
              <w:rPr>
                <w:rStyle w:val="DefaultParagraphFont"/>
                <w:rFonts w:cs="Times New Roman"/>
              </w:rPr>
              <w:t xml:space="preserve"> Kde je to technicky možné a kde je riziko, že by mohli byť prekročené limitné hodnoty expozície, príslušné oblasti sa vyznačujú a obmedzuje sa prístup do nich</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4</w:t>
            </w:r>
          </w:p>
          <w:p w:rsidR="00783A13">
            <w:pPr>
              <w:jc w:val="center"/>
              <w:rPr>
                <w:rStyle w:val="DefaultParagraphFont"/>
                <w:rFonts w:cs="Times New Roman"/>
              </w:rPr>
            </w:pPr>
            <w:r>
              <w:rPr>
                <w:rStyle w:val="DefaultParagraphFont"/>
                <w:rFonts w:cs="Times New Roman"/>
              </w:rPr>
              <w:t>O: 3</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Na základe posúdenia rizík podľa § 3 sa určia pracoviská alebo pracovné miesta, na ktorých zamestnanci sú exponovaní optickému žiareniu z prírodných zdrojov, presahujúcemu limitné hodnoty expozície. Tieto pracoviská alebo pracovné miesta sa vymedzia, označia bezpečnostnými a zdravotnými označeniami a použijú sa výstražné značky</w:t>
            </w:r>
            <w:r>
              <w:rPr>
                <w:rStyle w:val="FootnoteReference"/>
                <w:rFonts w:cs="Times New Roman"/>
                <w:rtl w:val="0"/>
              </w:rPr>
              <w:footnoteReference w:id="7"/>
            </w:r>
            <w:r>
              <w:rPr>
                <w:rStyle w:val="DefaultParagraphFont"/>
                <w:rFonts w:cs="Times New Roman"/>
                <w:vertAlign w:val="superscript"/>
              </w:rPr>
              <w:t>)</w:t>
            </w:r>
            <w:r>
              <w:rPr>
                <w:rStyle w:val="DefaultParagraphFont"/>
                <w:rFonts w:cs="Times New Roman"/>
              </w:rPr>
              <w:t xml:space="preserve"> a prístup na ne sa obmedzí, ak je to technicky uskutočniteľné.</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5</w:t>
            </w:r>
          </w:p>
          <w:p w:rsidR="00783A13">
            <w:pPr>
              <w:rPr>
                <w:rStyle w:val="DefaultParagraphFont"/>
                <w:rFonts w:cs="Times New Roman"/>
              </w:rPr>
            </w:pPr>
            <w:r>
              <w:rPr>
                <w:rStyle w:val="DefaultParagraphFont"/>
                <w:rFonts w:cs="Times New Roman"/>
              </w:rPr>
              <w:t>O: 4</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both"/>
              <w:rPr>
                <w:rStyle w:val="DefaultParagraphFont"/>
                <w:rFonts w:cs="Times New Roman"/>
              </w:rPr>
            </w:pPr>
            <w:r>
              <w:rPr>
                <w:rStyle w:val="DefaultParagraphFont"/>
                <w:rFonts w:cs="Times New Roman"/>
                <w:noProof/>
              </w:rPr>
              <w:t>V žiadnom prípade pracovníci nesmú byť vystavení vyšším hodnotám ako limitným hodnotám expozície</w:t>
            </w:r>
            <w:r>
              <w:rPr>
                <w:rStyle w:val="DefaultParagraphFont"/>
                <w:rFonts w:cs="Times New Roman"/>
              </w:rPr>
              <w:t xml:space="preserve">. </w:t>
            </w:r>
            <w:r>
              <w:rPr>
                <w:rStyle w:val="DefaultParagraphFont"/>
                <w:rFonts w:cs="Times New Roman"/>
                <w:noProof/>
              </w:rPr>
              <w:t>Ak sú, napriek opatreniam prijatým zamestnávateľom na dodržiavanie tejto smernice v súvislosti s umelými zdrojmi optického žiarenia, limitné hodnoty expozície prekročené, zamestnávateľ okamžite podnikne kroky na zníženie expozície pod limitné hodnoty expozície. Zamestnávateľ zisťuje dôvody, pre ktoré boli limitné hodnoty expozície prekročené a príslušným spôsobom upravuje ochranné a preventívne opatrenia, aby zabránil opakovanému prekročeniu limitných hodnôt expozície.,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4</w:t>
            </w:r>
          </w:p>
          <w:p w:rsidR="00783A13">
            <w:pPr>
              <w:jc w:val="center"/>
              <w:rPr>
                <w:rStyle w:val="DefaultParagraphFont"/>
                <w:rFonts w:cs="Times New Roman"/>
              </w:rPr>
            </w:pPr>
            <w:r>
              <w:rPr>
                <w:rStyle w:val="DefaultParagraphFont"/>
                <w:rFonts w:cs="Times New Roman"/>
              </w:rPr>
              <w:t>O: 4</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O: 5</w:t>
            </w: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rPr>
                <w:rStyle w:val="DefaultParagraphFont"/>
                <w:rFonts w:cs="Times New Roman"/>
              </w:rPr>
            </w:pPr>
            <w:r>
              <w:rPr>
                <w:rStyle w:val="DefaultParagraphFont"/>
                <w:rFonts w:cs="Times New Roman"/>
              </w:rPr>
              <w:t>Expozícia optickému žiareniu nesmie prekročiť limitné hodnoty expozície.</w:t>
            </w:r>
          </w:p>
          <w:p w:rsidR="00783A13">
            <w:pPr>
              <w:pStyle w:val="FootnoteText"/>
              <w:rPr>
                <w:rStyle w:val="DefaultParagraphFont"/>
                <w:rFonts w:cs="Times New Roman"/>
              </w:rPr>
            </w:pPr>
          </w:p>
          <w:p w:rsidR="00783A13">
            <w:pPr>
              <w:pStyle w:val="FootnoteText"/>
              <w:rPr>
                <w:rStyle w:val="DefaultParagraphFont"/>
                <w:rFonts w:cs="Times New Roman"/>
              </w:rPr>
            </w:pPr>
            <w:r>
              <w:rPr>
                <w:rStyle w:val="DefaultParagraphFont"/>
                <w:rFonts w:cs="Times New Roman"/>
              </w:rPr>
              <w:t>Ak je napriek realizovaným opatreniam limitná hodnota umelému optickému žiareniu expozície prekročená, zamestnávateľ bezodkladne vykoná opatrenia na zníženie expozície optickému žiareniu pod limitnú hodnotu expozície. Určí príčiny prekročenia limitnej hodnoty expozície a zmení alebo doplní preventívne opatrenia a ochranné opatrenia tak, aby nedošlo k jej opätovnému prekročeniu.</w:t>
            </w:r>
          </w:p>
        </w:tc>
        <w:tc>
          <w:tcPr>
            <w:tcW w:w="54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5</w:t>
            </w:r>
          </w:p>
          <w:p w:rsidR="00783A13">
            <w:pPr>
              <w:rPr>
                <w:rStyle w:val="DefaultParagraphFont"/>
                <w:rFonts w:cs="Times New Roman"/>
              </w:rPr>
            </w:pPr>
            <w:r>
              <w:rPr>
                <w:rStyle w:val="DefaultParagraphFont"/>
                <w:rFonts w:cs="Times New Roman"/>
              </w:rPr>
              <w:t>O: 5</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rPr>
              <w:t>Podľa článku 15 smernice 89/391/EHS zamestnávateľ prispôsobuje opatrenia uvedené v tomto článku požiadavkám pracovníkov patriacich k osobitne citlivým rizikovým skupinám.</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4"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4</w:t>
            </w:r>
          </w:p>
          <w:p w:rsidR="00783A13">
            <w:pPr>
              <w:jc w:val="center"/>
              <w:rPr>
                <w:rStyle w:val="DefaultParagraphFont"/>
                <w:rFonts w:cs="Times New Roman"/>
              </w:rPr>
            </w:pPr>
            <w:r>
              <w:rPr>
                <w:rStyle w:val="DefaultParagraphFont"/>
                <w:rFonts w:cs="Times New Roman"/>
              </w:rPr>
              <w:t>O: 6</w:t>
            </w:r>
          </w:p>
        </w:tc>
        <w:tc>
          <w:tcPr>
            <w:tcW w:w="4820" w:type="dxa"/>
            <w:tcBorders>
              <w:top w:val="single" w:sz="6" w:space="0" w:color="auto"/>
              <w:left w:val="single" w:sz="6"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rPr>
              <w:t>Zamestnávateľ prispôsobí opatrenia podľa odsekov 1 až 5 požiadavkám  osobitných skupín zamestnancov</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6</w:t>
            </w:r>
          </w:p>
          <w:p w:rsidR="00783A13">
            <w:pPr>
              <w:rPr>
                <w:rStyle w:val="DefaultParagraphFont"/>
                <w:rFonts w:cs="Times New Roman"/>
              </w:rPr>
            </w:pPr>
            <w:r>
              <w:rPr>
                <w:rStyle w:val="DefaultParagraphFont"/>
                <w:rFonts w:cs="Times New Roman"/>
              </w:rPr>
              <w:t>O: 1</w:t>
            </w:r>
          </w:p>
          <w:p w:rsidR="00783A13">
            <w:pPr>
              <w:rPr>
                <w:rStyle w:val="DefaultParagraphFont"/>
                <w:rFonts w:cs="Times New Roman"/>
              </w:rPr>
            </w:pPr>
          </w:p>
          <w:p w:rsidR="00783A13">
            <w:pPr>
              <w:rPr>
                <w:rStyle w:val="DefaultParagraphFont"/>
                <w:rFonts w:cs="Times New Roman"/>
              </w:rPr>
            </w:pPr>
          </w:p>
        </w:tc>
        <w:tc>
          <w:tcPr>
            <w:tcW w:w="355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pStyle w:val="FootnoteText"/>
              <w:jc w:val="both"/>
              <w:rPr>
                <w:rStyle w:val="DefaultParagraphFont"/>
                <w:rFonts w:cs="Times New Roman"/>
                <w:noProof/>
              </w:rPr>
            </w:pPr>
            <w:r>
              <w:rPr>
                <w:rStyle w:val="DefaultParagraphFont"/>
                <w:rFonts w:cs="Times New Roman"/>
                <w:noProof/>
              </w:rPr>
              <w:t>Bez toho, aby boli dotknuté články 10 a 12 smernice 89/391/EHS, zamestnávateľ zabezpečí, aby pracovníci, ktorí sú vystavení rizikám umelého optického žiarenia pri práci a/alebo ich zástupcovia dostali všetky potrebné informácie a školenie súvisiace s výsledkami posúdenia rizika stanoveného v článku 4 tejto smernice, ktoré sa týkajú najmä:</w:t>
            </w:r>
          </w:p>
          <w:p w:rsidR="00783A13">
            <w:pPr>
              <w:pStyle w:val="FootnoteText"/>
              <w:numPr>
                <w:numId w:val="21"/>
              </w:numPr>
              <w:tabs>
                <w:tab w:val="left" w:pos="720"/>
              </w:tabs>
              <w:jc w:val="both"/>
              <w:rPr>
                <w:rStyle w:val="DefaultParagraphFont"/>
                <w:rFonts w:cs="Times New Roman"/>
                <w:noProof/>
              </w:rPr>
            </w:pPr>
            <w:r>
              <w:rPr>
                <w:rStyle w:val="DefaultParagraphFont"/>
                <w:rFonts w:cs="Times New Roman"/>
                <w:noProof/>
              </w:rPr>
              <w:t>opatrení prijatých na vykonávanie tejto smernice</w:t>
            </w:r>
          </w:p>
          <w:p w:rsidR="00783A13">
            <w:pPr>
              <w:pStyle w:val="FootnoteText"/>
              <w:numPr>
                <w:numId w:val="21"/>
              </w:numPr>
              <w:tabs>
                <w:tab w:val="left" w:pos="720"/>
              </w:tabs>
              <w:jc w:val="both"/>
              <w:rPr>
                <w:rStyle w:val="DefaultParagraphFont"/>
                <w:rFonts w:cs="Times New Roman"/>
              </w:rPr>
            </w:pPr>
            <w:r>
              <w:rPr>
                <w:rStyle w:val="DefaultParagraphFont"/>
                <w:rFonts w:cs="Times New Roman"/>
              </w:rPr>
              <w:t>limitných hodnôt expozície</w:t>
            </w:r>
            <w:r>
              <w:rPr>
                <w:rStyle w:val="DefaultParagraphFont"/>
                <w:rFonts w:cs="Times New Roman"/>
                <w:noProof/>
              </w:rPr>
              <w:t xml:space="preserve"> a s nimi spojených možných rizík</w:t>
            </w:r>
          </w:p>
          <w:p w:rsidR="00783A13">
            <w:pPr>
              <w:pStyle w:val="FootnoteText"/>
              <w:numPr>
                <w:numId w:val="21"/>
              </w:numPr>
              <w:tabs>
                <w:tab w:val="left" w:pos="720"/>
              </w:tabs>
              <w:jc w:val="both"/>
              <w:rPr>
                <w:rStyle w:val="DefaultParagraphFont"/>
                <w:rFonts w:cs="Times New Roman"/>
              </w:rPr>
            </w:pPr>
            <w:r>
              <w:rPr>
                <w:rStyle w:val="DefaultParagraphFont"/>
                <w:rFonts w:cs="Times New Roman"/>
                <w:noProof/>
              </w:rPr>
              <w:t>výsledkov posúdenia, merania a/alebo výpočtov úrovne vystavenia umelému optickému žiareniu vykonaných v súlade s článkom 4 tejto smernice spolu s výkladom ich významu a možných rizík</w:t>
            </w:r>
          </w:p>
          <w:p w:rsidR="00783A13">
            <w:pPr>
              <w:pStyle w:val="FootnoteText"/>
              <w:numPr>
                <w:numId w:val="21"/>
              </w:numPr>
              <w:tabs>
                <w:tab w:val="left" w:pos="720"/>
              </w:tabs>
              <w:jc w:val="both"/>
              <w:rPr>
                <w:rStyle w:val="DefaultParagraphFont"/>
                <w:rFonts w:cs="Times New Roman"/>
              </w:rPr>
            </w:pPr>
            <w:r>
              <w:rPr>
                <w:rStyle w:val="DefaultParagraphFont"/>
                <w:rFonts w:cs="Times New Roman"/>
                <w:noProof/>
                <w:spacing w:val="2"/>
              </w:rPr>
              <w:t>spôsobov zistenia škodlivých účinkov expozície na zdravie a spôsobom ako ich oznámiť</w:t>
            </w:r>
          </w:p>
          <w:p w:rsidR="00783A13">
            <w:pPr>
              <w:pStyle w:val="FootnoteText"/>
              <w:numPr>
                <w:numId w:val="21"/>
              </w:numPr>
              <w:tabs>
                <w:tab w:val="left" w:pos="720"/>
              </w:tabs>
              <w:jc w:val="both"/>
              <w:rPr>
                <w:rStyle w:val="DefaultParagraphFont"/>
                <w:rFonts w:cs="Times New Roman"/>
              </w:rPr>
            </w:pPr>
            <w:r>
              <w:rPr>
                <w:rStyle w:val="DefaultParagraphFont"/>
                <w:rFonts w:cs="Times New Roman"/>
                <w:noProof/>
                <w:spacing w:val="2"/>
              </w:rPr>
              <w:t>podmienok, za ktorých majú pracovníci právo na zdravotnú prehliadku</w:t>
            </w:r>
          </w:p>
          <w:p w:rsidR="00783A13">
            <w:pPr>
              <w:pStyle w:val="FootnoteText"/>
              <w:numPr>
                <w:numId w:val="21"/>
              </w:numPr>
              <w:tabs>
                <w:tab w:val="left" w:pos="720"/>
              </w:tabs>
              <w:jc w:val="both"/>
              <w:rPr>
                <w:rStyle w:val="DefaultParagraphFont"/>
                <w:rFonts w:cs="Times New Roman"/>
              </w:rPr>
            </w:pPr>
            <w:r>
              <w:rPr>
                <w:rStyle w:val="DefaultParagraphFont"/>
                <w:rFonts w:cs="Times New Roman"/>
                <w:noProof/>
                <w:spacing w:val="2"/>
              </w:rPr>
              <w:t>bezpečných pracovných postupov na minimalizovanie rizík z expozície</w:t>
            </w:r>
          </w:p>
          <w:p w:rsidR="00783A13">
            <w:pPr>
              <w:pStyle w:val="FootnoteText"/>
              <w:numPr>
                <w:numId w:val="21"/>
              </w:numPr>
              <w:tabs>
                <w:tab w:val="left" w:pos="720"/>
              </w:tabs>
              <w:jc w:val="both"/>
              <w:rPr>
                <w:rStyle w:val="DefaultParagraphFont"/>
                <w:rFonts w:cs="Times New Roman"/>
              </w:rPr>
            </w:pPr>
            <w:r>
              <w:rPr>
                <w:rStyle w:val="DefaultParagraphFont"/>
                <w:rFonts w:cs="Times New Roman"/>
                <w:noProof/>
                <w:spacing w:val="2"/>
              </w:rPr>
              <w:t>správneho používania vhodných osobných ochranných prostriedkov.</w:t>
            </w:r>
          </w:p>
        </w:tc>
        <w:tc>
          <w:tcPr>
            <w:tcW w:w="567"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5</w:t>
            </w:r>
          </w:p>
          <w:p w:rsidR="00783A13">
            <w:pPr>
              <w:rPr>
                <w:rStyle w:val="DefaultParagraphFont"/>
                <w:rFonts w:cs="Times New Roman"/>
              </w:rPr>
            </w:pPr>
          </w:p>
        </w:tc>
        <w:tc>
          <w:tcPr>
            <w:tcW w:w="48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Zamestnávateľ zabezpečí v súlade s osobitným predpisom,</w:t>
            </w:r>
            <w:r>
              <w:rPr>
                <w:rStyle w:val="DefaultParagraphFont"/>
                <w:rFonts w:cs="Times New Roman"/>
                <w:b w:val="0"/>
                <w:bCs w:val="0"/>
                <w:sz w:val="20"/>
                <w:szCs w:val="20"/>
                <w:vertAlign w:val="superscript"/>
              </w:rPr>
              <w:t>1</w:t>
            </w:r>
            <w:r>
              <w:rPr>
                <w:rStyle w:val="DefaultParagraphFont"/>
                <w:rFonts w:cs="Times New Roman"/>
                <w:b w:val="0"/>
                <w:bCs w:val="0"/>
                <w:sz w:val="20"/>
                <w:szCs w:val="20"/>
              </w:rPr>
              <w:t>) aby zamestnanci exponovaní umelému optickému žiareniu, a zástupcovia zamestnancov pre bezpečnosť a ochranu zdravia pri práci</w:t>
            </w:r>
            <w:r>
              <w:rPr>
                <w:rStyle w:val="FootnoteReference"/>
                <w:rFonts w:cs="Times New Roman"/>
                <w:b w:val="0"/>
                <w:bCs w:val="0"/>
                <w:sz w:val="20"/>
                <w:szCs w:val="20"/>
                <w:rtl w:val="0"/>
              </w:rPr>
              <w:footnoteReference w:id="8"/>
            </w:r>
            <w:r>
              <w:rPr>
                <w:rStyle w:val="DefaultParagraphFont"/>
                <w:rFonts w:cs="Times New Roman"/>
                <w:b w:val="0"/>
                <w:bCs w:val="0"/>
                <w:sz w:val="20"/>
                <w:szCs w:val="20"/>
              </w:rPr>
              <w:t>) (ďalej len “zástupca zamestnancov pre bezpečnosť”) dostali primerané informácie a praktický výcvik súvisiaci s možnými rizikami vyplývajúcimi z expozície optickému žiareniu.</w:t>
            </w:r>
          </w:p>
          <w:p w:rsidR="00783A13">
            <w:pPr>
              <w:numPr>
                <w:numId w:val="32"/>
              </w:numPr>
              <w:tabs>
                <w:tab w:val="left" w:pos="644"/>
              </w:tabs>
              <w:jc w:val="both"/>
              <w:rPr>
                <w:rStyle w:val="DefaultParagraphFont"/>
                <w:rFonts w:cs="Times New Roman"/>
              </w:rPr>
            </w:pPr>
            <w:r>
              <w:rPr>
                <w:rStyle w:val="DefaultParagraphFont"/>
                <w:rFonts w:cs="Times New Roman"/>
              </w:rPr>
              <w:t>Informácie a praktický výcvik podľa odseku 1 sa týkajú najmä</w:t>
            </w: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 xml:space="preserve">opatrení vykonaných podľa tohto nariadenia vlády, </w:t>
            </w: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limitných hodnôt expozície a možného rizika v dôsledku ich prekročenia,</w:t>
            </w: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 xml:space="preserve">výsledkov posúdenia, merania alebo výpočtu úrovne expozície umelému optickému žiareniu vykonaných podľa § 3 s odôvodnením ich významu a možných rizík, </w:t>
            </w:r>
          </w:p>
          <w:p w:rsidR="00783A13">
            <w:pPr>
              <w:pStyle w:val="BodyText"/>
              <w:spacing w:line="240" w:lineRule="auto"/>
              <w:jc w:val="left"/>
              <w:rPr>
                <w:rStyle w:val="DefaultParagraphFont"/>
                <w:rFonts w:cs="Times New Roman"/>
                <w:sz w:val="20"/>
                <w:szCs w:val="20"/>
              </w:rPr>
            </w:pPr>
          </w:p>
          <w:p w:rsidR="00783A13">
            <w:pPr>
              <w:pStyle w:val="BodyText"/>
              <w:spacing w:line="240" w:lineRule="auto"/>
              <w:jc w:val="left"/>
              <w:rPr>
                <w:rStyle w:val="DefaultParagraphFont"/>
                <w:rFonts w:cs="Times New Roman"/>
                <w:sz w:val="20"/>
                <w:szCs w:val="20"/>
              </w:rPr>
            </w:pP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 xml:space="preserve">rozpoznania príznakov možných nepriaznivých účinkov na zdravie a spôsobu ich ohlasovania, </w:t>
            </w:r>
          </w:p>
          <w:p w:rsidR="00783A13">
            <w:pPr>
              <w:pStyle w:val="BodyText"/>
              <w:spacing w:line="240" w:lineRule="auto"/>
              <w:jc w:val="left"/>
              <w:rPr>
                <w:rStyle w:val="DefaultParagraphFont"/>
                <w:rFonts w:cs="Times New Roman"/>
                <w:sz w:val="20"/>
                <w:szCs w:val="20"/>
              </w:rPr>
            </w:pP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podmienok, za ktorých majú zamestnanci nárok na lekársku preventívnu prehliadku so vzťahom k práci,</w:t>
            </w:r>
          </w:p>
          <w:p w:rsidR="00783A13">
            <w:pPr>
              <w:pStyle w:val="BodyText"/>
              <w:spacing w:line="240" w:lineRule="auto"/>
              <w:jc w:val="left"/>
              <w:rPr>
                <w:rStyle w:val="DefaultParagraphFont"/>
                <w:rFonts w:cs="Times New Roman"/>
                <w:sz w:val="20"/>
                <w:szCs w:val="20"/>
              </w:rPr>
            </w:pP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bezpečných pracovných postupov znižujúcich riziko v dôsledku expozície umelému optickému žiareniu na najnižšiu možnú mieru,</w:t>
            </w:r>
          </w:p>
          <w:p w:rsidR="00783A13">
            <w:pPr>
              <w:pStyle w:val="BodyText"/>
              <w:numPr>
                <w:numId w:val="31"/>
              </w:numPr>
              <w:tabs>
                <w:tab w:val="left" w:pos="360"/>
              </w:tabs>
              <w:spacing w:line="240" w:lineRule="auto"/>
              <w:jc w:val="left"/>
              <w:rPr>
                <w:rStyle w:val="DefaultParagraphFont"/>
                <w:rFonts w:cs="Times New Roman"/>
                <w:sz w:val="20"/>
                <w:szCs w:val="20"/>
              </w:rPr>
            </w:pPr>
            <w:r>
              <w:rPr>
                <w:rStyle w:val="DefaultParagraphFont"/>
                <w:rFonts w:cs="Times New Roman"/>
                <w:sz w:val="20"/>
                <w:szCs w:val="20"/>
              </w:rPr>
              <w:t>správneho používania osobných ochranných pracovných prostriedkov.</w:t>
            </w:r>
          </w:p>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C: 7</w:t>
            </w:r>
          </w:p>
          <w:p w:rsidR="00783A13">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spacing w:val="2"/>
              </w:rPr>
              <w:t>Podľa článku 11 smernice 89/391/EHS sa konajú porady s pracovníkmi a/alebo s ich zástupcami o veciach upravených touto smernicou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6</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Konzultácie a účasť zamestnancov a zástupcu zamestnancov pre bezpečnosť pri riešení problematiky bezpečnosti a ochrany zdravia pri práci s expozíciou optickému žiareniu sa vykonávajú v súlade s príslušnými ustanoveniami osobitného predpisu.</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8</w:t>
            </w:r>
          </w:p>
          <w:p w:rsidR="00783A13">
            <w:pPr>
              <w:rPr>
                <w:rStyle w:val="DefaultParagraphFont"/>
                <w:rFonts w:cs="Times New Roman"/>
              </w:rPr>
            </w:pPr>
            <w:r>
              <w:rPr>
                <w:rStyle w:val="DefaultParagraphFont"/>
                <w:rFonts w:cs="Times New Roman"/>
              </w:rPr>
              <w:t>O: 1</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spacing w:val="2"/>
              </w:rPr>
              <w:t>Členské štáty prijmú opatrenia, aby zabezpečili primerané zdravotné prehliadky pracovníkov podľa článku 14 smernice 89/391/EHS s cieľom prevencie a včasného zistenia akýchkoľvek nepriaznivých účinkov na zdravie, ako aj prevencie akýchkoľvek dlhodobých zdravotných rizík a akýchkoľvek rizík chronických chorôb vyplývajúcich z vystavenia optickému žiareniu.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7</w:t>
            </w:r>
          </w:p>
          <w:p w:rsidR="00783A13">
            <w:pPr>
              <w:jc w:val="center"/>
              <w:rPr>
                <w:rStyle w:val="DefaultParagraphFont"/>
                <w:rFonts w:cs="Times New Roman"/>
              </w:rPr>
            </w:pPr>
            <w:r>
              <w:rPr>
                <w:rStyle w:val="DefaultParagraphFont"/>
                <w:rFonts w:cs="Times New Roman"/>
              </w:rPr>
              <w:t>O: 1</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Zamestnávateľ zabezpečí primeraný zdravotný dohľad</w:t>
            </w:r>
            <w:r>
              <w:rPr>
                <w:rStyle w:val="FootnoteReference"/>
                <w:rFonts w:cs="Times New Roman"/>
                <w:b w:val="0"/>
                <w:bCs w:val="0"/>
                <w:sz w:val="20"/>
                <w:szCs w:val="20"/>
                <w:rtl w:val="0"/>
              </w:rPr>
              <w:footnoteReference w:id="9"/>
            </w:r>
            <w:r>
              <w:rPr>
                <w:rStyle w:val="DefaultParagraphFont"/>
                <w:rFonts w:cs="Times New Roman"/>
                <w:b w:val="0"/>
                <w:bCs w:val="0"/>
                <w:sz w:val="20"/>
                <w:szCs w:val="20"/>
              </w:rPr>
              <w:t>) pre zamestnancov, ak na základe posúdenia rizík podľa § 3 zistí riziká pre ich zdravie; súčasťou zdravotného dohľadu sú lekárske preventívne prehliadky vo vzťahu k práci.</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8</w:t>
            </w:r>
          </w:p>
          <w:p w:rsidR="00783A13">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spacing w:val="2"/>
              </w:rPr>
              <w:t>Členské štáty zabezpečia, aby zdravotné prehliadky vykonával lekár, závodný lekár alebo zdravotnícky orgán zodpovedný za zdravotnú prehliadku v súlade s vnútroštátnym právom a praxou.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7</w:t>
            </w:r>
          </w:p>
          <w:p w:rsidR="00783A13">
            <w:pPr>
              <w:jc w:val="center"/>
              <w:rPr>
                <w:rStyle w:val="DefaultParagraphFont"/>
                <w:rFonts w:cs="Times New Roman"/>
              </w:rPr>
            </w:pPr>
            <w:r>
              <w:rPr>
                <w:rStyle w:val="DefaultParagraphFont"/>
                <w:rFonts w:cs="Times New Roman"/>
              </w:rPr>
              <w:t>O: 1</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Zamestnávateľ zabezpečí primeraný zdravotný dohľad</w:t>
            </w:r>
            <w:r>
              <w:rPr>
                <w:rStyle w:val="FootnoteReference"/>
                <w:rFonts w:cs="Times New Roman"/>
                <w:b w:val="0"/>
                <w:bCs w:val="0"/>
                <w:sz w:val="20"/>
                <w:szCs w:val="20"/>
                <w:rtl w:val="0"/>
              </w:rPr>
              <w:footnoteReference w:id="10"/>
            </w:r>
            <w:r>
              <w:rPr>
                <w:rStyle w:val="DefaultParagraphFont"/>
                <w:rFonts w:cs="Times New Roman"/>
                <w:b w:val="0"/>
                <w:bCs w:val="0"/>
                <w:sz w:val="20"/>
                <w:szCs w:val="20"/>
              </w:rPr>
              <w:t>) pre zamestnancov, ak na základe posúdenia rizík podľa § 3 zistí riziká pre ich zdravie; súčasťou zdravotného dohľadu sú lekárske preventívne prehliadky vo vzťahu k práci.</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8</w:t>
            </w:r>
          </w:p>
          <w:p w:rsidR="00783A13">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rPr>
              <w:t>Členské štáty prijmú opatrenia na zabezpečenie toho, aby sa pre každého pracovníka, ktorý sa podrobuje zdravotnej prehliadke v súlade s odsekom 1, vyhotovili a aktualizovali zdravotné záznamy.</w:t>
            </w:r>
            <w:r>
              <w:rPr>
                <w:rStyle w:val="DefaultParagraphFont"/>
                <w:rFonts w:cs="Times New Roman"/>
              </w:rPr>
              <w:t xml:space="preserve"> </w:t>
            </w:r>
            <w:r>
              <w:rPr>
                <w:rStyle w:val="DefaultParagraphFont"/>
                <w:rFonts w:cs="Times New Roman"/>
                <w:noProof/>
              </w:rPr>
              <w:t>Zdravotné záznamy obsahujú súhrn výsledkov vykonaných zdravotných prehliadok.</w:t>
            </w:r>
            <w:r>
              <w:rPr>
                <w:rStyle w:val="DefaultParagraphFont"/>
                <w:rFonts w:cs="Times New Roman"/>
              </w:rPr>
              <w:t xml:space="preserve"> </w:t>
            </w:r>
            <w:r>
              <w:rPr>
                <w:rStyle w:val="DefaultParagraphFont"/>
                <w:rFonts w:cs="Times New Roman"/>
                <w:noProof/>
              </w:rPr>
              <w:t>Uchovávajú sa vo vhodnej forme, aby sa do nich mohlo nahliadnuť aj neskôr berúc do úvahy ich dôvernosť. Kópie príslušných záznamov sa na požiadanie vydajú príslušnému orgánu berúc do úvahy ich dôvernosť.</w:t>
            </w:r>
            <w:r>
              <w:rPr>
                <w:rStyle w:val="DefaultParagraphFont"/>
                <w:rFonts w:cs="Times New Roman"/>
              </w:rPr>
              <w:t xml:space="preserve"> </w:t>
            </w:r>
            <w:r>
              <w:rPr>
                <w:rStyle w:val="DefaultParagraphFont"/>
                <w:rFonts w:cs="Times New Roman"/>
                <w:noProof/>
              </w:rPr>
              <w:t>Zamestnávateľ prijme vhodné opatrenia, aby zabezpečil, že lekár, závodný lekár alebo zdravotnícky orgán zodpovedný za zdravotné prehliadky, ktorí sú určení v prípade potreby členskými štátmi, majú prístup k výsledkom posúdenia rizika uvedeného v článku 4 ak môžu byť takéto výsledky relevantné pre zdravotnú prehliadku. Jednotliví pracovníci majú na požiadanie prístup k ich osobným zdravotným záznamom.</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7</w:t>
            </w:r>
          </w:p>
          <w:p w:rsidR="00783A13">
            <w:pPr>
              <w:jc w:val="center"/>
              <w:rPr>
                <w:rStyle w:val="DefaultParagraphFont"/>
                <w:rFonts w:cs="Times New Roman"/>
              </w:rPr>
            </w:pPr>
            <w:r>
              <w:rPr>
                <w:rStyle w:val="DefaultParagraphFont"/>
                <w:rFonts w:cs="Times New Roman"/>
              </w:rPr>
              <w:t>O: 3</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Výsledky vyšetrení lekárskej preventívnej prehliadky spolu so záverom o zdravotnej spôsobilosti zaznamená lekár do zdravotnej dokumentácie.</w:t>
            </w:r>
            <w:r>
              <w:rPr>
                <w:rStyle w:val="FootnoteReference"/>
                <w:rFonts w:cs="Times New Roman"/>
                <w:b w:val="0"/>
                <w:bCs w:val="0"/>
                <w:sz w:val="20"/>
                <w:szCs w:val="20"/>
                <w:rtl w:val="0"/>
              </w:rPr>
              <w:footnoteReference w:id="11"/>
            </w:r>
            <w:r>
              <w:rPr>
                <w:rStyle w:val="DefaultParagraphFont"/>
                <w:rFonts w:cs="Times New Roman"/>
                <w:b w:val="0"/>
                <w:bCs w:val="0"/>
                <w:sz w:val="20"/>
                <w:szCs w:val="20"/>
              </w:rPr>
              <w:t>) Zdravotná dokumentácia sa uchováva po dobu 20 rokov od skončenia práce v riziku expozície umelému optickému žiareniu. Zamestnanec má na požiadanie prístup k svojej zdravotnej dokumentácii.</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8</w:t>
            </w:r>
          </w:p>
          <w:p w:rsidR="00783A13">
            <w:pPr>
              <w:rPr>
                <w:rStyle w:val="DefaultParagraphFont"/>
                <w:rFonts w:cs="Times New Roman"/>
              </w:rPr>
            </w:pPr>
            <w:r>
              <w:rPr>
                <w:rStyle w:val="DefaultParagraphFont"/>
                <w:rFonts w:cs="Times New Roman"/>
              </w:rPr>
              <w:t>O: 4</w:t>
            </w:r>
          </w:p>
          <w:p w:rsidR="00783A13">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noProof/>
                <w:spacing w:val="2"/>
              </w:rPr>
            </w:pPr>
            <w:r>
              <w:rPr>
                <w:rStyle w:val="DefaultParagraphFont"/>
                <w:rFonts w:cs="Times New Roman"/>
                <w:spacing w:val="2"/>
              </w:rPr>
              <w:t xml:space="preserve">Vždy, keď sa zistí expozícia, ktorá prekračuje limitné hodnoty, umožní sa dotknutému pracovníkovi (pracovníkom) podrobiť sa lekárskemu vyšetreniu v súlade s vnútroštátnym právom alebo praxou. Toto lekárske vyšetrenie sa tiež uskutoční, </w:t>
            </w:r>
            <w:r>
              <w:rPr>
                <w:rStyle w:val="DefaultParagraphFont"/>
                <w:rFonts w:cs="Times New Roman"/>
                <w:noProof/>
                <w:spacing w:val="2"/>
              </w:rPr>
              <w:t>ak sa z výsledku zdravotnej prehliadky zistilo, že pracovník má identifikovateľné ochorenie alebo nepriaznivý zdravotný dôsledok, ktorý lekár alebo závodný lekár považuje za výsledok vystavenia umelému optickému žiareniu pri práci. V oboch prípadoch, ak sa prekročia limitné hodnoty alebo sa zistia nepriaznivé účinky na zdravie (vrátane chorôb):</w:t>
            </w:r>
          </w:p>
          <w:p w:rsidR="00783A13">
            <w:pPr>
              <w:pStyle w:val="FootnoteText"/>
              <w:numPr>
                <w:numId w:val="22"/>
              </w:numPr>
              <w:tabs>
                <w:tab w:val="left" w:pos="780"/>
              </w:tabs>
              <w:jc w:val="both"/>
              <w:rPr>
                <w:rStyle w:val="DefaultParagraphFont"/>
                <w:rFonts w:cs="Times New Roman"/>
                <w:noProof/>
                <w:spacing w:val="2"/>
              </w:rPr>
            </w:pPr>
            <w:r>
              <w:rPr>
                <w:rStyle w:val="DefaultParagraphFont"/>
                <w:rFonts w:cs="Times New Roman"/>
                <w:noProof/>
                <w:spacing w:val="2"/>
              </w:rPr>
              <w:t>lekár alebo iná vhodne kvalifikovaná osoba informuje pracovníka o výsledku osobne.</w:t>
            </w:r>
            <w:r>
              <w:rPr>
                <w:rStyle w:val="DefaultParagraphFont"/>
                <w:rFonts w:cs="Times New Roman"/>
                <w:spacing w:val="2"/>
              </w:rPr>
              <w:t xml:space="preserve"> </w:t>
            </w:r>
            <w:r>
              <w:rPr>
                <w:rStyle w:val="DefaultParagraphFont"/>
                <w:rFonts w:cs="Times New Roman"/>
                <w:noProof/>
                <w:spacing w:val="2"/>
              </w:rPr>
              <w:t>Pracovník dostáva predovšetkým informácie a rady, ktoré sa týkajú každej zdravotnej prehliadky, ktorú má podstúpiť po ukončení expozície;</w:t>
            </w:r>
          </w:p>
          <w:p w:rsidR="00783A13">
            <w:pPr>
              <w:pStyle w:val="FootnoteText"/>
              <w:numPr>
                <w:numId w:val="22"/>
              </w:numPr>
              <w:tabs>
                <w:tab w:val="left" w:pos="780"/>
              </w:tabs>
              <w:jc w:val="both"/>
              <w:rPr>
                <w:rStyle w:val="DefaultParagraphFont"/>
                <w:rFonts w:cs="Times New Roman"/>
              </w:rPr>
            </w:pPr>
            <w:r>
              <w:rPr>
                <w:rStyle w:val="DefaultParagraphFont"/>
                <w:rFonts w:cs="Times New Roman"/>
                <w:noProof/>
                <w:spacing w:val="2"/>
              </w:rPr>
              <w:t>zamestnávateľ je informovaný o všetkých závažných zisteniach zdravotnej prehliadky berúc do úvahy lekárske tajomstvo</w:t>
            </w:r>
          </w:p>
          <w:p w:rsidR="00783A13">
            <w:pPr>
              <w:pStyle w:val="FootnoteText"/>
              <w:numPr>
                <w:numId w:val="22"/>
              </w:numPr>
              <w:tabs>
                <w:tab w:val="left" w:pos="780"/>
              </w:tabs>
              <w:jc w:val="both"/>
              <w:rPr>
                <w:rStyle w:val="DefaultParagraphFont"/>
                <w:rFonts w:cs="Times New Roman"/>
              </w:rPr>
            </w:pPr>
            <w:r>
              <w:rPr>
                <w:rStyle w:val="DefaultParagraphFont"/>
                <w:rFonts w:cs="Times New Roman"/>
              </w:rPr>
              <w:t>zamestnávateľ:</w:t>
            </w:r>
          </w:p>
          <w:p w:rsidR="00783A13">
            <w:pPr>
              <w:pStyle w:val="FootnoteText"/>
              <w:numPr>
                <w:numId w:val="23"/>
              </w:numPr>
              <w:tabs>
                <w:tab w:val="left" w:pos="720"/>
              </w:tabs>
              <w:jc w:val="both"/>
              <w:rPr>
                <w:rStyle w:val="DefaultParagraphFont"/>
                <w:rFonts w:cs="Times New Roman"/>
                <w:noProof/>
                <w:spacing w:val="2"/>
              </w:rPr>
            </w:pPr>
            <w:r>
              <w:rPr>
                <w:rStyle w:val="DefaultParagraphFont"/>
                <w:rFonts w:cs="Times New Roman"/>
                <w:noProof/>
                <w:spacing w:val="2"/>
              </w:rPr>
              <w:t>preskúma posúdenie rizík, ktoré je vykonané podľa článku 4</w:t>
            </w:r>
          </w:p>
          <w:p w:rsidR="00783A13">
            <w:pPr>
              <w:pStyle w:val="FootnoteText"/>
              <w:numPr>
                <w:numId w:val="23"/>
              </w:numPr>
              <w:tabs>
                <w:tab w:val="left" w:pos="720"/>
              </w:tabs>
              <w:jc w:val="both"/>
              <w:rPr>
                <w:rStyle w:val="DefaultParagraphFont"/>
                <w:rFonts w:cs="Times New Roman"/>
              </w:rPr>
            </w:pPr>
            <w:r>
              <w:rPr>
                <w:rStyle w:val="DefaultParagraphFont"/>
                <w:rFonts w:cs="Times New Roman"/>
                <w:noProof/>
                <w:spacing w:val="2"/>
              </w:rPr>
              <w:t>preskúma opatrenia prijaté v zmysle článku 5 na vylúčenie alebo zníženie rizika</w:t>
            </w:r>
          </w:p>
          <w:p w:rsidR="00783A13">
            <w:pPr>
              <w:pStyle w:val="FootnoteText"/>
              <w:numPr>
                <w:numId w:val="23"/>
              </w:numPr>
              <w:tabs>
                <w:tab w:val="left" w:pos="720"/>
              </w:tabs>
              <w:jc w:val="both"/>
              <w:rPr>
                <w:rStyle w:val="DefaultParagraphFont"/>
                <w:rFonts w:cs="Times New Roman"/>
              </w:rPr>
            </w:pPr>
            <w:r>
              <w:rPr>
                <w:rStyle w:val="DefaultParagraphFont"/>
                <w:rFonts w:cs="Times New Roman"/>
                <w:noProof/>
                <w:spacing w:val="2"/>
              </w:rPr>
              <w:t>zohľadní rady závodného lekára alebo inej príslušne kvalifikovanej osoby alebo príslušného úradu pri vykonávaní akéhokoľvek opatrenia potrebného na vylúčenie alebo zníženie rizika v súlade s článkom 5 a</w:t>
            </w:r>
          </w:p>
          <w:p w:rsidR="00783A13">
            <w:pPr>
              <w:pStyle w:val="FootnoteText"/>
              <w:numPr>
                <w:numId w:val="23"/>
              </w:numPr>
              <w:tabs>
                <w:tab w:val="left" w:pos="720"/>
              </w:tabs>
              <w:jc w:val="both"/>
              <w:rPr>
                <w:rStyle w:val="DefaultParagraphFont"/>
                <w:rFonts w:cs="Times New Roman"/>
              </w:rPr>
            </w:pPr>
            <w:r>
              <w:rPr>
                <w:rStyle w:val="DefaultParagraphFont"/>
                <w:rFonts w:cs="Times New Roman"/>
                <w:noProof/>
                <w:spacing w:val="2"/>
              </w:rPr>
              <w:t>zabezpečí priebežné zdravotné prehliadky a kontrolu zdravotného stavu všetkých ostatných pracovníkov, ktorí boli podobne exponovaní.</w:t>
            </w:r>
            <w:r>
              <w:rPr>
                <w:rStyle w:val="DefaultParagraphFont"/>
                <w:rFonts w:cs="Times New Roman"/>
                <w:spacing w:val="2"/>
              </w:rPr>
              <w:t xml:space="preserve"> </w:t>
            </w:r>
            <w:r>
              <w:rPr>
                <w:rStyle w:val="DefaultParagraphFont"/>
                <w:rFonts w:cs="Times New Roman"/>
                <w:noProof/>
                <w:spacing w:val="2"/>
              </w:rPr>
              <w:t>V takýchto prípadoch môže príslušný lekár alebo závodný lekár alebo príslušný úrad navrhnúť, aby sa exponované osoby podrobili lekárskemu vyšetreniu.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NV SR</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7</w:t>
            </w:r>
          </w:p>
          <w:p w:rsidR="00783A13">
            <w:pPr>
              <w:jc w:val="center"/>
              <w:rPr>
                <w:rStyle w:val="DefaultParagraphFont"/>
                <w:rFonts w:cs="Times New Roman"/>
              </w:rPr>
            </w:pPr>
            <w:r>
              <w:rPr>
                <w:rStyle w:val="DefaultParagraphFont"/>
                <w:rFonts w:cs="Times New Roman"/>
              </w:rPr>
              <w:t>O: 2</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O: 4</w:t>
            </w: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Lekárske preventívne prehliadky vo vzťahu k práci sa uskutočnia, ak sa zistí prekročenie limitných hodnôt expozície umelému optickému žiareniu alebo ak sa zistia zmeny zdravotného stavu</w:t>
            </w:r>
            <w:r>
              <w:rPr>
                <w:rStyle w:val="DefaultParagraphFont"/>
                <w:rFonts w:cs="Times New Roman"/>
                <w:b w:val="0"/>
                <w:bCs w:val="0"/>
                <w:i/>
                <w:iCs/>
                <w:sz w:val="20"/>
                <w:szCs w:val="20"/>
              </w:rPr>
              <w:t xml:space="preserve"> </w:t>
            </w:r>
            <w:r>
              <w:rPr>
                <w:rStyle w:val="DefaultParagraphFont"/>
                <w:rFonts w:cs="Times New Roman"/>
                <w:b w:val="0"/>
                <w:bCs w:val="0"/>
                <w:sz w:val="20"/>
                <w:szCs w:val="20"/>
              </w:rPr>
              <w:t>v súvislosti s expozíciou umelému optickému žiareniu pri práci.</w:t>
            </w:r>
          </w:p>
          <w:p w:rsidR="00783A13">
            <w:pPr>
              <w:pStyle w:val="BodyText3"/>
              <w:jc w:val="left"/>
              <w:rPr>
                <w:rStyle w:val="DefaultParagraphFont"/>
                <w:rFonts w:cs="Times New Roman"/>
                <w:b w:val="0"/>
                <w:bCs w:val="0"/>
                <w:sz w:val="20"/>
                <w:szCs w:val="20"/>
              </w:rPr>
            </w:pPr>
          </w:p>
          <w:p w:rsidR="00783A13">
            <w:pPr>
              <w:pStyle w:val="EnvelopeReturn"/>
              <w:jc w:val="both"/>
              <w:rPr>
                <w:rStyle w:val="DefaultParagraphFont"/>
                <w:rFonts w:cs="Times New Roman"/>
                <w:sz w:val="20"/>
                <w:szCs w:val="20"/>
              </w:rPr>
            </w:pPr>
            <w:r>
              <w:rPr>
                <w:rStyle w:val="DefaultParagraphFont"/>
                <w:rFonts w:cs="Times New Roman"/>
                <w:sz w:val="20"/>
                <w:szCs w:val="20"/>
              </w:rPr>
              <w:t>Ak sa zistí prekročenie limitnej hodnoty expozície alebo výsledok lekárskej preventívnej prehliadky vo vzťahu k práci preukáže, že zamestnanec má poškodenie zdravia, ktoré môže byť dôsledkom expozície umelému optickému žiareniu:</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numId w:val="12"/>
              </w:numPr>
              <w:tabs>
                <w:tab w:val="left" w:pos="363"/>
                <w:tab w:val="left" w:pos="720"/>
              </w:tabs>
              <w:ind w:left="363"/>
              <w:jc w:val="both"/>
              <w:rPr>
                <w:rStyle w:val="DefaultParagraphFont"/>
                <w:rFonts w:cs="Times New Roman"/>
                <w:sz w:val="20"/>
                <w:szCs w:val="20"/>
              </w:rPr>
            </w:pPr>
            <w:r>
              <w:rPr>
                <w:rStyle w:val="DefaultParagraphFont"/>
                <w:rFonts w:cs="Times New Roman"/>
                <w:sz w:val="20"/>
                <w:szCs w:val="20"/>
              </w:rPr>
              <w:t xml:space="preserve">lekár informuje </w:t>
            </w:r>
          </w:p>
          <w:p w:rsidR="00783A13">
            <w:pPr>
              <w:pStyle w:val="EnvelopeReturn"/>
              <w:numPr>
                <w:ilvl w:val="1"/>
                <w:numId w:val="12"/>
              </w:numPr>
              <w:tabs>
                <w:tab w:val="left" w:pos="1086"/>
                <w:tab w:val="left" w:pos="1440"/>
              </w:tabs>
              <w:ind w:left="1060" w:hanging="334"/>
              <w:jc w:val="both"/>
              <w:rPr>
                <w:rStyle w:val="DefaultParagraphFont"/>
                <w:rFonts w:cs="Times New Roman"/>
                <w:sz w:val="20"/>
                <w:szCs w:val="20"/>
              </w:rPr>
            </w:pPr>
            <w:r>
              <w:rPr>
                <w:rStyle w:val="DefaultParagraphFont"/>
                <w:rFonts w:cs="Times New Roman"/>
                <w:sz w:val="20"/>
                <w:szCs w:val="20"/>
              </w:rPr>
              <w:t>zamestnanca o výsledku  lekárskej preventívnej prehliadky; súčasne ho informuje o prehliadkach, ktorých sa má zúčastniť po ukončení práce v expozícii umelému optickému žiareniu,</w:t>
            </w: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jc w:val="both"/>
              <w:rPr>
                <w:rStyle w:val="DefaultParagraphFont"/>
                <w:rFonts w:cs="Times New Roman"/>
                <w:sz w:val="20"/>
                <w:szCs w:val="20"/>
              </w:rPr>
            </w:pPr>
          </w:p>
          <w:p w:rsidR="00783A13">
            <w:pPr>
              <w:pStyle w:val="EnvelopeReturn"/>
              <w:numPr>
                <w:ilvl w:val="1"/>
                <w:numId w:val="12"/>
              </w:numPr>
              <w:tabs>
                <w:tab w:val="left" w:pos="1086"/>
                <w:tab w:val="left" w:pos="1440"/>
              </w:tabs>
              <w:ind w:left="1060" w:hanging="334"/>
              <w:jc w:val="both"/>
              <w:rPr>
                <w:rStyle w:val="DefaultParagraphFont"/>
                <w:rFonts w:cs="Times New Roman"/>
                <w:sz w:val="20"/>
                <w:szCs w:val="20"/>
              </w:rPr>
            </w:pPr>
            <w:r>
              <w:rPr>
                <w:rStyle w:val="DefaultParagraphFont"/>
                <w:rFonts w:cs="Times New Roman"/>
                <w:sz w:val="20"/>
                <w:szCs w:val="20"/>
              </w:rPr>
              <w:t>zamestnávateľa o všetkých závažných zisteniach lekárskej preventívnej prehliadky vo vzťahu k práci so zohľadnením lekárskej mlčanlivosti,</w:t>
            </w:r>
          </w:p>
          <w:p w:rsidR="00783A13">
            <w:pPr>
              <w:pStyle w:val="EnvelopeReturn"/>
              <w:numPr>
                <w:numId w:val="12"/>
              </w:numPr>
              <w:tabs>
                <w:tab w:val="left" w:pos="363"/>
                <w:tab w:val="left" w:pos="720"/>
              </w:tabs>
              <w:ind w:left="363"/>
              <w:rPr>
                <w:rStyle w:val="DefaultParagraphFont"/>
                <w:rFonts w:cs="Times New Roman"/>
                <w:sz w:val="20"/>
                <w:szCs w:val="20"/>
              </w:rPr>
            </w:pPr>
            <w:r>
              <w:rPr>
                <w:rStyle w:val="DefaultParagraphFont"/>
                <w:rFonts w:cs="Times New Roman"/>
                <w:sz w:val="20"/>
                <w:szCs w:val="20"/>
              </w:rPr>
              <w:t>zamestnávateľ</w:t>
            </w:r>
          </w:p>
          <w:p w:rsidR="00783A13">
            <w:pPr>
              <w:pStyle w:val="EnvelopeReturn"/>
              <w:numPr>
                <w:ilvl w:val="1"/>
                <w:numId w:val="12"/>
              </w:numPr>
              <w:tabs>
                <w:tab w:val="left" w:pos="1086"/>
                <w:tab w:val="left" w:pos="1440"/>
              </w:tabs>
              <w:ind w:left="1060" w:hanging="334"/>
              <w:jc w:val="both"/>
              <w:rPr>
                <w:rStyle w:val="DefaultParagraphFont"/>
                <w:rFonts w:cs="Times New Roman"/>
                <w:sz w:val="20"/>
                <w:szCs w:val="20"/>
              </w:rPr>
            </w:pPr>
            <w:r>
              <w:rPr>
                <w:rStyle w:val="DefaultParagraphFont"/>
                <w:rFonts w:cs="Times New Roman"/>
                <w:sz w:val="20"/>
                <w:szCs w:val="20"/>
              </w:rPr>
              <w:t>znovu preskúma posúdenie rizík vykonaného podľa § 3,</w:t>
            </w:r>
          </w:p>
          <w:p w:rsidR="00783A13">
            <w:pPr>
              <w:pStyle w:val="EnvelopeReturn"/>
              <w:ind w:left="726"/>
              <w:jc w:val="both"/>
              <w:rPr>
                <w:rStyle w:val="DefaultParagraphFont"/>
                <w:rFonts w:cs="Times New Roman"/>
                <w:sz w:val="20"/>
                <w:szCs w:val="20"/>
              </w:rPr>
            </w:pPr>
          </w:p>
          <w:p w:rsidR="00783A13">
            <w:pPr>
              <w:pStyle w:val="EnvelopeReturn"/>
              <w:numPr>
                <w:ilvl w:val="1"/>
                <w:numId w:val="12"/>
              </w:numPr>
              <w:tabs>
                <w:tab w:val="left" w:pos="1086"/>
                <w:tab w:val="left" w:pos="1440"/>
              </w:tabs>
              <w:ind w:left="1060" w:hanging="334"/>
              <w:jc w:val="both"/>
              <w:rPr>
                <w:rStyle w:val="DefaultParagraphFont"/>
                <w:rFonts w:cs="Times New Roman"/>
                <w:sz w:val="20"/>
                <w:szCs w:val="20"/>
              </w:rPr>
            </w:pPr>
            <w:r>
              <w:rPr>
                <w:rStyle w:val="DefaultParagraphFont"/>
                <w:rFonts w:cs="Times New Roman"/>
                <w:sz w:val="20"/>
                <w:szCs w:val="20"/>
              </w:rPr>
              <w:t>preskúma opatrenia vykonané na odstránenie alebo zníženie rizík podľa § 4,</w:t>
            </w:r>
          </w:p>
          <w:p w:rsidR="00783A13">
            <w:pPr>
              <w:pStyle w:val="EnvelopeReturn"/>
              <w:tabs>
                <w:tab w:val="left" w:pos="1440"/>
              </w:tabs>
              <w:jc w:val="both"/>
              <w:rPr>
                <w:rStyle w:val="DefaultParagraphFont"/>
                <w:rFonts w:cs="Times New Roman"/>
                <w:sz w:val="20"/>
                <w:szCs w:val="20"/>
              </w:rPr>
            </w:pPr>
          </w:p>
          <w:p w:rsidR="00783A13">
            <w:pPr>
              <w:pStyle w:val="EnvelopeReturn"/>
              <w:numPr>
                <w:ilvl w:val="1"/>
                <w:numId w:val="12"/>
              </w:numPr>
              <w:tabs>
                <w:tab w:val="left" w:pos="1086"/>
                <w:tab w:val="left" w:pos="1440"/>
              </w:tabs>
              <w:ind w:left="1060" w:hanging="334"/>
              <w:jc w:val="both"/>
              <w:rPr>
                <w:rStyle w:val="DefaultParagraphFont"/>
                <w:rFonts w:cs="Times New Roman"/>
                <w:sz w:val="20"/>
                <w:szCs w:val="20"/>
              </w:rPr>
            </w:pPr>
            <w:r>
              <w:rPr>
                <w:rStyle w:val="DefaultParagraphFont"/>
                <w:rFonts w:cs="Times New Roman"/>
                <w:sz w:val="20"/>
                <w:szCs w:val="20"/>
              </w:rPr>
              <w:t>zohľadní odporúčania lekára vykonávajúceho zdravotný dohľad alebo príslušného orgánu verejného zdravotníctva</w:t>
            </w:r>
            <w:r>
              <w:rPr>
                <w:rStyle w:val="FootnoteReference"/>
                <w:rFonts w:cs="Times New Roman"/>
                <w:sz w:val="20"/>
                <w:szCs w:val="20"/>
                <w:rtl w:val="0"/>
              </w:rPr>
              <w:footnoteReference w:id="12"/>
            </w:r>
            <w:r>
              <w:rPr>
                <w:rStyle w:val="DefaultParagraphFont"/>
                <w:rFonts w:cs="Times New Roman"/>
                <w:sz w:val="20"/>
                <w:szCs w:val="20"/>
              </w:rPr>
              <w:t>) pri uplatňovaní opatrení, ktoré sú potrebné na odstránenie alebo zníženie rizík v súlade s § 4, vrátane možnosti preložiť zamestnanca na inú prácu, kde nie je riziko ďalšej expozície a</w:t>
            </w:r>
          </w:p>
          <w:p w:rsidR="00783A13">
            <w:pPr>
              <w:pStyle w:val="EnvelopeReturn"/>
              <w:numPr>
                <w:ilvl w:val="1"/>
                <w:numId w:val="12"/>
              </w:numPr>
              <w:tabs>
                <w:tab w:val="left" w:pos="1086"/>
                <w:tab w:val="left" w:pos="1440"/>
              </w:tabs>
              <w:ind w:left="1060" w:hanging="334"/>
              <w:jc w:val="both"/>
              <w:rPr>
                <w:rStyle w:val="DefaultParagraphFont"/>
                <w:rFonts w:cs="Times New Roman"/>
              </w:rPr>
            </w:pPr>
            <w:r>
              <w:rPr>
                <w:rStyle w:val="DefaultParagraphFont"/>
                <w:rFonts w:cs="Times New Roman"/>
                <w:sz w:val="20"/>
                <w:szCs w:val="20"/>
              </w:rPr>
              <w:t>zabezpečí systematický zdravotný dohľad a  posúdenie zdravotného stavu ďalších podobne exponovaných zamestnancov</w:t>
            </w:r>
            <w:r>
              <w:rPr>
                <w:rStyle w:val="DefaultParagraphFont"/>
                <w:rFonts w:cs="Times New Roman"/>
              </w:rPr>
              <w:t>.</w:t>
            </w:r>
            <w:r>
              <w:rPr>
                <w:rStyle w:val="DefaultParagraphFont"/>
                <w:rFonts w:cs="Times New Roman"/>
                <w:b/>
                <w:bCs/>
              </w:rPr>
              <w:t xml:space="preserve"> </w:t>
            </w:r>
          </w:p>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9</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both"/>
              <w:rPr>
                <w:rStyle w:val="FootnoteReference"/>
                <w:rFonts w:cs="Times New Roman"/>
                <w:vertAlign w:val="baseline"/>
              </w:rPr>
            </w:pPr>
            <w:r>
              <w:rPr>
                <w:rStyle w:val="FootnoteReference"/>
                <w:rFonts w:cs="Times New Roman"/>
                <w:vertAlign w:val="baseline"/>
              </w:rPr>
              <w:t>Členské štáty ustanovia vhodné sankcie za porušenie vnútroštátnych právnych predpisov prijatých podľa tejto smernice. Tieto sankcie musia byť účinné, primerané a odrádzajúce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color w:val="FF0000"/>
              </w:rPr>
            </w:pPr>
            <w:r>
              <w:rPr>
                <w:rStyle w:val="DefaultParagraphFont"/>
                <w:rFonts w:cs="Times New Roman"/>
                <w:color w:val="FF0000"/>
              </w:rPr>
              <w:t>Návrh zákona</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57</w:t>
            </w:r>
          </w:p>
          <w:p w:rsidR="00783A13">
            <w:pPr>
              <w:jc w:val="center"/>
              <w:rPr>
                <w:rStyle w:val="DefaultParagraphFont"/>
                <w:rFonts w:cs="Times New Roman"/>
              </w:rPr>
            </w:pPr>
            <w:r>
              <w:rPr>
                <w:rStyle w:val="DefaultParagraphFont"/>
                <w:rFonts w:cs="Times New Roman"/>
              </w:rPr>
              <w:t>O: 23</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a)</w:t>
            </w:r>
          </w:p>
          <w:p w:rsidR="00783A13">
            <w:pPr>
              <w:jc w:val="center"/>
              <w:rPr>
                <w:rStyle w:val="DefaultParagraphFont"/>
                <w:rFonts w:cs="Times New Roman"/>
              </w:rPr>
            </w:pPr>
            <w:r>
              <w:rPr>
                <w:rStyle w:val="DefaultParagraphFont"/>
                <w:rFonts w:cs="Times New Roman"/>
              </w:rPr>
              <w:t>P: b)</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c)</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d)</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e)</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f)</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g)</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O: 27</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 xml:space="preserve"> </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O: 39</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a)</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b)</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c)</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d)</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e)</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f)</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g)</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h)</w:t>
            </w:r>
          </w:p>
          <w:p w:rsidR="00783A13">
            <w:pPr>
              <w:jc w:val="center"/>
              <w:rPr>
                <w:rStyle w:val="DefaultParagraphFont"/>
                <w:rFonts w:cs="Times New Roman"/>
              </w:rPr>
            </w:pPr>
            <w:r>
              <w:rPr>
                <w:rStyle w:val="DefaultParagraphFont"/>
                <w:rFonts w:cs="Times New Roman"/>
              </w:rPr>
              <w:t>P: i)</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j)</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k)</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l)</w:t>
            </w: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m)</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 n)</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Heading2"/>
              <w:spacing w:before="60"/>
              <w:jc w:val="both"/>
              <w:rPr>
                <w:rStyle w:val="DefaultParagraphFont"/>
                <w:rFonts w:cs="Times New Roman"/>
                <w:b w:val="0"/>
                <w:bCs w:val="0"/>
              </w:rPr>
            </w:pPr>
            <w:r>
              <w:rPr>
                <w:rStyle w:val="DefaultParagraphFont"/>
                <w:rFonts w:cs="Times New Roman"/>
                <w:b w:val="0"/>
                <w:bCs w:val="0"/>
              </w:rPr>
              <w:t>Správneho deliktu sa úseku verejného zdravotníctva v oblasti ochrany zdravia pri práci sa dopustí fyzická osoba-podnikateľ alebo právnická osoba, ak</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nezabezpečí opatrenia podľa § 30 ods. 1 písm. a),</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nezabezpečí pre svojich zamestnancov posudzovanie zdravotnej spôsobilosti na prácu (§ 30 ods. 1 písm. b) a odsek 3),</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nepredloží lekárovi pracovnej zdravotnej služby zoznam zamestnancov podľa § 30 ods. 1 písm. c),</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neuchová záznamy o výsledkoch lekárskej preventívnej prehliadke vo vzťahu k práci zamestnancov podľa § 30 ods. 1 písm. d),</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nesplní oznamovaciu povinnosť podľa § 30 ods. 1 písm. e),</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nezabezpečí zamestnancom mimoriadnu lekársku preventívnu prehliadku vo vzťahu k práci nariadenú úradom verejného zdravotníctva alebo regionálnym úradom verejného zdravotníctva podľa § 30 ods. 7,</w:t>
            </w:r>
          </w:p>
          <w:p w:rsidR="00783A13">
            <w:pPr>
              <w:numPr>
                <w:ilvl w:val="0"/>
                <w:numId w:val="34"/>
              </w:numPr>
              <w:tabs>
                <w:tab w:val="left" w:pos="54"/>
                <w:tab w:val="left" w:pos="337"/>
                <w:tab w:val="left" w:pos="1068"/>
              </w:tabs>
              <w:ind w:left="54"/>
              <w:jc w:val="both"/>
              <w:rPr>
                <w:rStyle w:val="DefaultParagraphFont"/>
                <w:rFonts w:cs="Times New Roman"/>
              </w:rPr>
            </w:pPr>
            <w:r>
              <w:rPr>
                <w:rStyle w:val="DefaultParagraphFont"/>
                <w:rFonts w:cs="Times New Roman"/>
              </w:rPr>
              <w:t>nesplní niektorú z povinností ustanovených v § 31 ods. 7.</w:t>
            </w:r>
          </w:p>
          <w:p w:rsidR="00783A13">
            <w:pPr>
              <w:pStyle w:val="BodyText3"/>
              <w:tabs>
                <w:tab w:val="left" w:pos="355"/>
              </w:tabs>
              <w:ind w:left="214" w:hanging="142"/>
              <w:rPr>
                <w:rStyle w:val="DefaultParagraphFont"/>
                <w:rFonts w:cs="Times New Roman"/>
              </w:rPr>
            </w:pPr>
          </w:p>
          <w:p w:rsidR="00783A13">
            <w:pPr>
              <w:pStyle w:val="BodyText3"/>
              <w:tabs>
                <w:tab w:val="left" w:pos="355"/>
              </w:tabs>
              <w:ind w:left="214" w:hanging="142"/>
              <w:rPr>
                <w:rStyle w:val="DefaultParagraphFont"/>
                <w:rFonts w:cs="Times New Roman"/>
              </w:rPr>
            </w:pPr>
          </w:p>
          <w:p w:rsidR="00783A13">
            <w:pPr>
              <w:pStyle w:val="BodyText3"/>
              <w:tabs>
                <w:tab w:val="left" w:pos="72"/>
              </w:tabs>
              <w:ind w:left="72"/>
              <w:jc w:val="both"/>
              <w:rPr>
                <w:rStyle w:val="DefaultParagraphFont"/>
                <w:rFonts w:cs="Times New Roman"/>
                <w:b w:val="0"/>
                <w:bCs w:val="0"/>
                <w:sz w:val="20"/>
                <w:szCs w:val="20"/>
              </w:rPr>
            </w:pPr>
          </w:p>
          <w:p w:rsidR="00783A13">
            <w:pPr>
              <w:pStyle w:val="BodyText3"/>
              <w:tabs>
                <w:tab w:val="left" w:pos="72"/>
              </w:tabs>
              <w:ind w:left="72"/>
              <w:jc w:val="both"/>
              <w:rPr>
                <w:rStyle w:val="DefaultParagraphFont"/>
                <w:rFonts w:cs="Times New Roman"/>
                <w:b w:val="0"/>
                <w:bCs w:val="0"/>
                <w:sz w:val="20"/>
                <w:szCs w:val="20"/>
              </w:rPr>
            </w:pPr>
            <w:r>
              <w:rPr>
                <w:rStyle w:val="DefaultParagraphFont"/>
                <w:rFonts w:cs="Times New Roman"/>
                <w:b w:val="0"/>
                <w:bCs w:val="0"/>
                <w:sz w:val="20"/>
                <w:szCs w:val="20"/>
              </w:rPr>
              <w:t>Správneho deliktu sa úseku verejného zdravotníctva v oblasti ochrany zdravia pri práci sa dopustí fyzická osoba-podnikateľ alebo právnická osoba, ktorá používa alebo prevádzkuje zdroje optického žiarenia, ak nezabezpečí technické, organizačné alebo iné opatrenia podľa § 35.</w:t>
            </w:r>
          </w:p>
          <w:p w:rsidR="00783A13">
            <w:pPr>
              <w:pStyle w:val="BodyText3"/>
              <w:tabs>
                <w:tab w:val="left" w:pos="355"/>
              </w:tabs>
              <w:ind w:left="214" w:hanging="142"/>
              <w:jc w:val="both"/>
              <w:rPr>
                <w:rStyle w:val="DefaultParagraphFont"/>
                <w:rFonts w:cs="Times New Roman"/>
                <w:b w:val="0"/>
                <w:bCs w:val="0"/>
                <w:sz w:val="20"/>
                <w:szCs w:val="20"/>
              </w:rPr>
            </w:pPr>
          </w:p>
          <w:p w:rsidR="00783A13">
            <w:pPr>
              <w:pStyle w:val="Heading2"/>
              <w:spacing w:before="60"/>
              <w:jc w:val="both"/>
              <w:rPr>
                <w:rStyle w:val="DefaultParagraphFont"/>
                <w:rFonts w:cs="Times New Roman"/>
                <w:b w:val="0"/>
                <w:bCs w:val="0"/>
              </w:rPr>
            </w:pPr>
            <w:r>
              <w:rPr>
                <w:rStyle w:val="DefaultParagraphFont"/>
                <w:rFonts w:cs="Times New Roman"/>
                <w:b w:val="0"/>
                <w:bCs w:val="0"/>
              </w:rPr>
              <w:t xml:space="preserve">Správneho deliktu na úseku verejného zdravotníctva sa dopustí fyzická osoba-podnikateľ alebo právnická osoba, ak </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nesplní nariadené opatrenie na predchádzanie ochoreniam (§ 13) alebo opatrenie pri mimoriadnej udalosti (§ 48 ods. 2) alebo vykonáva činnosť v rozpore s nariadeným opatrením,</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nepredloží na posúdenie príslušnému orgánu verejného zdravotníctva opatrenia alebo návrhy uvedené v § 13 alebo do času kladného posúdenia sa nezdrží vykonávania posudzovaných opatrení alebo činností,</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nesplní povinnosť kvalitatívne a kvantitatívne zisťovať zdraviu škodlivé faktory podľa § 52 ods. 1 písm. c),</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opomenie povinnosť hodnotiť zdravotné riziká podľa § 52 ods. 1 písm. d),</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nezabezpečí technické, organizačné a iné opatrenia podľa § 52 ods. 1 písm. e),</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poruší povinnosť vypracovať prevádzkový poriadok alebo povinnosť predložiť ho na schválenie alebo návrh na jeho zmenu príslušnému orgánu verejného zdravotníctva,</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nedodržiava schválené pracovné alebo technologické postupy alebo schválený prevádzkový poriadok alebo správnu výrobnú prax,</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nezabezpečí primeraný zdravotný dozor pre zamestnancov podľa § 52 ods. 1 písm. h),</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neumožní účasť svojich zamestnancov a  žiakov škôl na povinných lekárskych preventívnych prehliadkach vo vzťahu k ich práci, vyšetreniach a očkovaniach, a to v nevyhnutne potrebnom rozsahu,</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nezabezpečí na pracovisku podmienky v súlade s ergonomickými, fyziologickými a psychologickými požiadavkami práce,</w:t>
            </w:r>
          </w:p>
          <w:p w:rsidR="00783A13">
            <w:pPr>
              <w:pStyle w:val="Title"/>
              <w:numPr>
                <w:ilvl w:val="0"/>
                <w:numId w:val="37"/>
              </w:numPr>
              <w:tabs>
                <w:tab w:val="left" w:pos="54"/>
                <w:tab w:val="left" w:pos="337"/>
                <w:tab w:val="left" w:pos="1068"/>
              </w:tabs>
              <w:spacing w:before="60"/>
              <w:ind w:left="54"/>
              <w:jc w:val="both"/>
              <w:rPr>
                <w:rStyle w:val="DefaultParagraphFont"/>
                <w:rFonts w:cs="Times New Roman"/>
                <w:b w:val="0"/>
                <w:bCs w:val="0"/>
              </w:rPr>
            </w:pPr>
            <w:r>
              <w:rPr>
                <w:rStyle w:val="DefaultParagraphFont"/>
                <w:rFonts w:cs="Times New Roman"/>
                <w:b w:val="0"/>
                <w:bCs w:val="0"/>
              </w:rPr>
              <w:t>nezabezpečí na zamedzenie vzniku, šíreniu a na obmedzenie výskytu prenosných ochorení dezinfekciu alebo reguláciu živočíšnych škodcov alebo vykonáva dezinfekciu alebo reguláciu živočíšnych škodcov v rozpore s § 52 ods. 1 písm. l),</w:t>
            </w:r>
          </w:p>
          <w:p w:rsidR="00783A13">
            <w:pPr>
              <w:pStyle w:val="BlockText"/>
              <w:numPr>
                <w:ilvl w:val="0"/>
                <w:numId w:val="37"/>
              </w:numPr>
              <w:tabs>
                <w:tab w:val="left" w:pos="54"/>
                <w:tab w:val="left" w:pos="337"/>
                <w:tab w:val="left" w:pos="1068"/>
              </w:tabs>
              <w:spacing w:before="60"/>
              <w:ind w:left="54"/>
              <w:jc w:val="both"/>
              <w:rPr>
                <w:rStyle w:val="DefaultParagraphFont"/>
                <w:rFonts w:cs="Times New Roman"/>
              </w:rPr>
            </w:pPr>
            <w:r>
              <w:rPr>
                <w:rStyle w:val="DefaultParagraphFont"/>
                <w:rFonts w:cs="Times New Roman"/>
              </w:rPr>
              <w:t>nezabezpečí vybavenie pracovísk podľa § 52 ods. 1 písm. m),</w:t>
            </w:r>
          </w:p>
          <w:p w:rsidR="00783A13">
            <w:pPr>
              <w:pStyle w:val="BlockText"/>
              <w:numPr>
                <w:ilvl w:val="0"/>
                <w:numId w:val="37"/>
              </w:numPr>
              <w:tabs>
                <w:tab w:val="left" w:pos="54"/>
                <w:tab w:val="left" w:pos="337"/>
                <w:tab w:val="left" w:pos="1068"/>
              </w:tabs>
              <w:spacing w:before="60"/>
              <w:ind w:left="54"/>
              <w:jc w:val="both"/>
              <w:rPr>
                <w:rStyle w:val="DefaultParagraphFont"/>
                <w:rFonts w:cs="Times New Roman"/>
              </w:rPr>
            </w:pPr>
            <w:r>
              <w:rPr>
                <w:rStyle w:val="DefaultParagraphFont"/>
                <w:rFonts w:cs="Times New Roman"/>
              </w:rPr>
              <w:t>nesplní oznamovaciu povinnosť podľa § 52 ods. 1 písm. n) alebo písm. o) alebo poruší povinnosť hlásenia podľa § 52 ods. 1 písm. p),</w:t>
            </w:r>
          </w:p>
          <w:p w:rsidR="00783A13">
            <w:pPr>
              <w:pStyle w:val="BodyTextIndent"/>
              <w:numPr>
                <w:ilvl w:val="0"/>
                <w:numId w:val="37"/>
              </w:numPr>
              <w:tabs>
                <w:tab w:val="left" w:pos="54"/>
                <w:tab w:val="left" w:pos="337"/>
                <w:tab w:val="left" w:pos="1068"/>
              </w:tabs>
              <w:ind w:left="54" w:firstLine="0"/>
              <w:rPr>
                <w:rStyle w:val="DefaultParagraphFont"/>
                <w:rFonts w:cs="Times New Roman"/>
              </w:rPr>
            </w:pPr>
            <w:r>
              <w:rPr>
                <w:rStyle w:val="DefaultParagraphFont"/>
                <w:rFonts w:cs="Times New Roman"/>
              </w:rPr>
              <w:t>neposkytuje osobám vykonávajúcim štátny zdravotný dozor súčinnosť pri výkone ich oprávnení podľa § 55 ods. 1 alebo marí výkon štátneho zdravotného dozoru alebo nesplní alebo nestrpí  uložené opatrenia na odstránenie zistených nedostatkov (§ 55 ods. 2).</w:t>
            </w:r>
          </w:p>
          <w:p w:rsidR="00783A13">
            <w:pPr>
              <w:pStyle w:val="BodyTextIndent"/>
              <w:tabs>
                <w:tab w:val="left" w:pos="355"/>
              </w:tabs>
              <w:ind w:hanging="142"/>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10</w:t>
            </w:r>
          </w:p>
          <w:p w:rsidR="00783A13">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spacing w:val="2"/>
              </w:rPr>
              <w:t>Akúkoľvek úpravu limitných hodnôt expozície stanovených v prílohách prijme Rada a Európsky parlament v súlade s postupom stanoveným v článku 137 ods.</w:t>
            </w:r>
            <w:r>
              <w:rPr>
                <w:rStyle w:val="DefaultParagraphFont"/>
                <w:rFonts w:cs="Times New Roman"/>
                <w:spacing w:val="2"/>
              </w:rPr>
              <w:t xml:space="preserve"> </w:t>
            </w:r>
            <w:r>
              <w:rPr>
                <w:rStyle w:val="DefaultParagraphFont"/>
                <w:rFonts w:cs="Times New Roman"/>
                <w:noProof/>
                <w:spacing w:val="2"/>
              </w:rPr>
              <w:t>2 zmluvy</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xml:space="preserve"> </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10</w:t>
            </w:r>
          </w:p>
          <w:p w:rsidR="00783A13">
            <w:pPr>
              <w:rPr>
                <w:rStyle w:val="DefaultParagraphFont"/>
                <w:rFonts w:cs="Times New Roman"/>
              </w:rPr>
            </w:pPr>
            <w:r>
              <w:rPr>
                <w:rStyle w:val="DefaultParagraphFont"/>
                <w:rFonts w:cs="Times New Roman"/>
              </w:rPr>
              <w:t>O: 2</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V: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noProof/>
                <w:spacing w:val="2"/>
              </w:rPr>
            </w:pPr>
            <w:r>
              <w:rPr>
                <w:rStyle w:val="DefaultParagraphFont"/>
                <w:rFonts w:cs="Times New Roman"/>
                <w:noProof/>
                <w:spacing w:val="2"/>
              </w:rPr>
              <w:t>Zmeny a doplnenia príloh výlučne technického charakteru v súlade s:</w:t>
            </w:r>
          </w:p>
          <w:p w:rsidR="00783A13">
            <w:pPr>
              <w:pStyle w:val="FootnoteText"/>
              <w:numPr>
                <w:numId w:val="24"/>
              </w:numPr>
              <w:tabs>
                <w:tab w:val="left" w:pos="720"/>
              </w:tabs>
              <w:jc w:val="both"/>
              <w:rPr>
                <w:rStyle w:val="DefaultParagraphFont"/>
                <w:rFonts w:cs="Times New Roman"/>
                <w:noProof/>
              </w:rPr>
            </w:pPr>
            <w:r>
              <w:rPr>
                <w:rStyle w:val="DefaultParagraphFont"/>
                <w:rFonts w:cs="Times New Roman"/>
                <w:noProof/>
              </w:rPr>
              <w:t>prijatím smerníc v oblasti technickej harmonizácie a štandardizácie s ohľadom na navrhovanie, stavbu, výrobu alebo konštrukciu pracovných prostriedkov a/alebo pracovísk</w:t>
            </w:r>
          </w:p>
          <w:p w:rsidR="00783A13">
            <w:pPr>
              <w:pStyle w:val="FootnoteText"/>
              <w:numPr>
                <w:numId w:val="24"/>
              </w:numPr>
              <w:tabs>
                <w:tab w:val="left" w:pos="720"/>
              </w:tabs>
              <w:jc w:val="both"/>
              <w:rPr>
                <w:rStyle w:val="DefaultParagraphFont"/>
                <w:rFonts w:cs="Times New Roman"/>
              </w:rPr>
            </w:pPr>
            <w:r>
              <w:rPr>
                <w:rStyle w:val="DefaultParagraphFont"/>
                <w:rFonts w:cs="Times New Roman"/>
                <w:noProof/>
              </w:rPr>
              <w:t>technickým pokrokom, zmenami v najpodstatnejších harmonizovaných európskych normách alebo medzinárodných špecifikáciách a novými vedeckými poznatkami o vystavení optickému žiareniu na pracoviskách,</w:t>
            </w:r>
          </w:p>
          <w:p w:rsidR="00783A13">
            <w:pPr>
              <w:rPr>
                <w:rStyle w:val="DefaultParagraphFont"/>
                <w:rFonts w:cs="Times New Roman"/>
              </w:rPr>
            </w:pPr>
            <w:r>
              <w:rPr>
                <w:rStyle w:val="DefaultParagraphFont"/>
                <w:rFonts w:cs="Times New Roman"/>
                <w:noProof/>
              </w:rPr>
              <w:t>sa prijmú v súlade s postupom stanoveným v článku 11 ods.</w:t>
            </w:r>
            <w:r>
              <w:rPr>
                <w:rStyle w:val="DefaultParagraphFont"/>
                <w:rFonts w:cs="Times New Roman"/>
              </w:rPr>
              <w:t xml:space="preserve"> 2.</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Heading1"/>
              <w:rPr>
                <w:rStyle w:val="DefaultParagraphFont"/>
                <w:rFonts w:cs="Times New Roman"/>
                <w:b w:val="0"/>
                <w:bCs w:val="0"/>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xml:space="preserve"> </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11</w:t>
            </w:r>
          </w:p>
          <w:p w:rsidR="00783A13">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rPr>
              <w:t>Komisii pomáha výbor uvedený v článku 17 smernice 89/391/EHS.</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dstrike/>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dstrike/>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xml:space="preserve"> </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11</w:t>
            </w:r>
          </w:p>
          <w:p w:rsidR="00783A13">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noProof/>
              </w:rPr>
            </w:pPr>
            <w:r>
              <w:rPr>
                <w:rStyle w:val="DefaultParagraphFont"/>
                <w:rFonts w:cs="Times New Roman"/>
                <w:noProof/>
              </w:rPr>
              <w:t>Ak sa odkazuje na tento odsek, uplatňujú sa články 5 a 7 rozhodnutia 1999/468/ES so zreteľom na ustanovenia jeho článku 8.</w:t>
            </w:r>
          </w:p>
          <w:p w:rsidR="00783A13">
            <w:pPr>
              <w:pStyle w:val="FootnoteText"/>
              <w:jc w:val="both"/>
              <w:rPr>
                <w:rStyle w:val="DefaultParagraphFont"/>
                <w:rFonts w:cs="Times New Roman"/>
              </w:rPr>
            </w:pPr>
            <w:r>
              <w:rPr>
                <w:rStyle w:val="DefaultParagraphFont"/>
                <w:rFonts w:cs="Times New Roman"/>
                <w:noProof/>
              </w:rPr>
              <w:t>Lehota ustanovená v článku 5 ods.</w:t>
            </w:r>
            <w:r>
              <w:rPr>
                <w:rStyle w:val="DefaultParagraphFont"/>
                <w:rFonts w:cs="Times New Roman"/>
              </w:rPr>
              <w:t xml:space="preserve"> </w:t>
            </w:r>
            <w:r>
              <w:rPr>
                <w:rStyle w:val="DefaultParagraphFont"/>
                <w:rFonts w:cs="Times New Roman"/>
                <w:noProof/>
              </w:rPr>
              <w:t>6 rozhodnutia 1999/468/ES je tri mesiace.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rPr>
                <w:rStyle w:val="DefaultParagraphFont"/>
                <w:rFonts w:cs="Times New Roman"/>
                <w:dstrike/>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rPr>
                <w:rStyle w:val="DefaultParagraphFont"/>
                <w:rFonts w:cs="Times New Roman"/>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xml:space="preserve"> </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11</w:t>
            </w:r>
          </w:p>
          <w:p w:rsidR="00783A13">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tabs>
                <w:tab w:val="left" w:pos="567"/>
              </w:tabs>
              <w:spacing w:line="360" w:lineRule="auto"/>
              <w:rPr>
                <w:rStyle w:val="DefaultParagraphFont"/>
                <w:rFonts w:cs="Times New Roman"/>
              </w:rPr>
            </w:pPr>
            <w:r>
              <w:rPr>
                <w:rStyle w:val="DefaultParagraphFont"/>
                <w:rFonts w:cs="Times New Roman"/>
                <w:noProof/>
              </w:rPr>
              <w:t>Výbor prijme svoj rokovací poriadok.</w:t>
            </w:r>
          </w:p>
          <w:p w:rsidR="00783A13">
            <w:pPr>
              <w:pStyle w:val="FootnoteText"/>
              <w:jc w:val="both"/>
              <w:rPr>
                <w:rStyle w:val="DefaultParagraphFont"/>
                <w:rFonts w:cs="Times New Roman"/>
                <w:highlight w:val="yellow"/>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highlight w:val="yellow"/>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both"/>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xml:space="preserve"> </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12</w:t>
            </w:r>
          </w:p>
          <w:p w:rsidR="00783A13">
            <w:pPr>
              <w:rPr>
                <w:rStyle w:val="DefaultParagraphFont"/>
                <w:rFonts w:cs="Times New Roman"/>
              </w:rPr>
            </w:pPr>
            <w:r>
              <w:rPr>
                <w:rStyle w:val="DefaultParagraphFont"/>
                <w:rFonts w:cs="Times New Roman"/>
              </w:rPr>
              <w:t>O: 1</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O: 2</w:t>
            </w:r>
          </w:p>
          <w:p w:rsidR="00783A13">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noProof/>
              </w:rPr>
              <w:t>Každých päť rokov členské štáty poskytnú Komisii správu o praktickom vykonávaní tejto smernice s uvedením stanovísk sociálnych partnerov.</w:t>
            </w: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r>
              <w:rPr>
                <w:rStyle w:val="DefaultParagraphFont"/>
                <w:rFonts w:cs="Times New Roman"/>
                <w:noProof/>
              </w:rPr>
              <w:t>Každých päť rokov Komisia informuje Európsky parlament, Radu, Európsky hospodársky a sociálny výbor a Poradný výbor pre bezpečnosť a ochranu zdravia pri práci o obsahu týchto správ, o hodnotení týchto správ, o vývoji v danej oblasti a akejkoľvek činnosti, ktorá môže byť opodstatnená v zmysle nových vedeckých poznatkov.</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n.a.</w:t>
            </w:r>
          </w:p>
          <w:p w:rsidR="00783A13">
            <w:pPr>
              <w:jc w:val="center"/>
              <w:rPr>
                <w:rStyle w:val="DefaultParagraphFont"/>
                <w:rFonts w:cs="Times New Roman"/>
              </w:rPr>
            </w:pP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Návrh zákona</w:t>
            </w: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5</w:t>
            </w:r>
          </w:p>
          <w:p w:rsidR="00783A13">
            <w:pPr>
              <w:jc w:val="center"/>
              <w:rPr>
                <w:rStyle w:val="DefaultParagraphFont"/>
                <w:rFonts w:cs="Times New Roman"/>
              </w:rPr>
            </w:pPr>
            <w:r>
              <w:rPr>
                <w:rStyle w:val="DefaultParagraphFont"/>
                <w:rFonts w:cs="Times New Roman"/>
              </w:rPr>
              <w:t>O: 4</w:t>
            </w:r>
          </w:p>
          <w:p w:rsidR="00783A13">
            <w:pPr>
              <w:jc w:val="center"/>
              <w:rPr>
                <w:rStyle w:val="DefaultParagraphFont"/>
                <w:rFonts w:cs="Times New Roman"/>
              </w:rPr>
            </w:pPr>
            <w:r>
              <w:rPr>
                <w:rStyle w:val="DefaultParagraphFont"/>
                <w:rFonts w:cs="Times New Roman"/>
              </w:rPr>
              <w:t>P: w)</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B: 6</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rPr>
              <w:t>Úrad verejného zdravotníctva</w:t>
            </w:r>
          </w:p>
          <w:p w:rsidR="00783A13">
            <w:pPr>
              <w:pStyle w:val="FootnoteText"/>
              <w:jc w:val="both"/>
              <w:rPr>
                <w:rStyle w:val="DefaultParagraphFont"/>
                <w:rFonts w:cs="Times New Roman"/>
              </w:rPr>
            </w:pPr>
          </w:p>
          <w:p w:rsidR="00783A13">
            <w:pPr>
              <w:pStyle w:val="FootnoteText"/>
              <w:jc w:val="both"/>
              <w:rPr>
                <w:rStyle w:val="DefaultParagraphFont"/>
                <w:rFonts w:cs="Times New Roman"/>
              </w:rPr>
            </w:pPr>
            <w:r>
              <w:rPr>
                <w:rStyle w:val="DefaultParagraphFont"/>
                <w:rFonts w:cs="Times New Roman"/>
              </w:rPr>
              <w:t>w) v rámci spolupráce s Európskou komisiou a s členskými štátmi Európskej únie (ďalej len “členský štát”)</w:t>
            </w:r>
          </w:p>
          <w:p w:rsidR="00783A13">
            <w:pPr>
              <w:jc w:val="both"/>
              <w:rPr>
                <w:rStyle w:val="DefaultParagraphFont"/>
                <w:rFonts w:cs="Times New Roman"/>
              </w:rPr>
            </w:pPr>
            <w:r>
              <w:rPr>
                <w:rStyle w:val="DefaultParagraphFont"/>
                <w:rFonts w:cs="Times New Roman"/>
              </w:rPr>
              <w:t>6. zasiela Európskej komisii v intervaloch požadovaných osobitnými predpismi</w:t>
            </w:r>
            <w:r>
              <w:rPr>
                <w:rStyle w:val="FootnoteReference"/>
                <w:rFonts w:cs="Times New Roman"/>
                <w:rtl w:val="0"/>
              </w:rPr>
              <w:footnoteReference w:id="13"/>
            </w:r>
            <w:r>
              <w:rPr>
                <w:rStyle w:val="DefaultParagraphFont"/>
                <w:rFonts w:cs="Times New Roman"/>
              </w:rPr>
              <w:t>)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ostatných foriem organizácie práce spolu s opatreniami, ktoré štát prijal, aby oboznámil ostatné členské štáty s poznatkami o tejto najlepšej praxi.</w:t>
            </w:r>
          </w:p>
          <w:p w:rsidR="00783A13">
            <w:pPr>
              <w:pStyle w:val="BodyText3"/>
              <w:jc w:val="left"/>
              <w:rPr>
                <w:rStyle w:val="DefaultParagraphFont"/>
                <w:rFonts w:cs="Times New Roman"/>
                <w:b w:val="0"/>
                <w:bCs w:val="0"/>
                <w:sz w:val="20"/>
                <w:szCs w:val="20"/>
              </w:rPr>
            </w:pPr>
          </w:p>
          <w:p w:rsidR="00783A13">
            <w:pPr>
              <w:pStyle w:val="BodyText3"/>
              <w:jc w:val="left"/>
              <w:rPr>
                <w:rStyle w:val="DefaultParagraphFont"/>
                <w:rFonts w:cs="Times New Roman"/>
                <w:b w:val="0"/>
                <w:bCs w:val="0"/>
                <w:sz w:val="20"/>
                <w:szCs w:val="20"/>
              </w:rPr>
            </w:pPr>
          </w:p>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 xml:space="preserve"> </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13</w:t>
            </w:r>
          </w:p>
          <w:p w:rsidR="00783A13">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rPr>
              <w:t>Komisia vypracuje praktickú príručku k ustanoveniam článku 4 a 5 a prílohám I a II, aby uľahčila vykonávanie tejto smernice.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 xml:space="preserve">Č: 14 </w:t>
            </w:r>
          </w:p>
          <w:p w:rsidR="00783A13">
            <w:pPr>
              <w:rPr>
                <w:rStyle w:val="DefaultParagraphFont"/>
                <w:rFonts w:cs="Times New Roman"/>
              </w:rPr>
            </w:pPr>
            <w:r>
              <w:rPr>
                <w:rStyle w:val="DefaultParagraphFont"/>
                <w:rFonts w:cs="Times New Roman"/>
              </w:rPr>
              <w:t>V: 1</w:t>
            </w: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p>
          <w:p w:rsidR="00783A13">
            <w:pPr>
              <w:rPr>
                <w:rStyle w:val="DefaultParagraphFont"/>
                <w:rFonts w:cs="Times New Roman"/>
              </w:rPr>
            </w:pPr>
            <w:r>
              <w:rPr>
                <w:rStyle w:val="DefaultParagraphFont"/>
                <w:rFonts w:cs="Times New Roman"/>
              </w:rPr>
              <w:t>V: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noProof/>
              </w:rPr>
            </w:pPr>
            <w:r>
              <w:rPr>
                <w:rStyle w:val="DefaultParagraphFont"/>
                <w:rFonts w:cs="Times New Roman"/>
                <w:noProof/>
              </w:rPr>
              <w:t>Členské štáty uvedú do účinnosti zákony, iné právne predpisy a správne opatrenia potrebné na dosiahnutie súladu s touto smernicou do 27.4.2010. Bezodkladne o tom informujú Komisiu.</w:t>
            </w:r>
          </w:p>
          <w:p w:rsidR="00783A13">
            <w:pPr>
              <w:pStyle w:val="FootnoteText"/>
              <w:jc w:val="both"/>
              <w:rPr>
                <w:rStyle w:val="DefaultParagraphFont"/>
                <w:rFonts w:cs="Times New Roman"/>
              </w:rPr>
            </w:pPr>
            <w:r>
              <w:rPr>
                <w:rStyle w:val="DefaultParagraphFont"/>
                <w:rFonts w:cs="Times New Roman"/>
              </w:rPr>
              <w:t xml:space="preserve">Členské štáty uvedú priamo v prijatých </w:t>
            </w:r>
            <w:r>
              <w:rPr>
                <w:rStyle w:val="DefaultParagraphFont"/>
                <w:rFonts w:cs="Times New Roman"/>
                <w:shd w:val="clear" w:color="auto" w:fill="FFFFFF"/>
              </w:rPr>
              <w:t>opatreniach</w:t>
            </w:r>
            <w:r>
              <w:rPr>
                <w:rStyle w:val="DefaultParagraphFont"/>
                <w:rFonts w:cs="Times New Roman"/>
              </w:rPr>
              <w:t xml:space="preserve"> alebo pri ich úradnom uverejnení odkaz na túto smernicu. </w:t>
            </w:r>
            <w:r>
              <w:rPr>
                <w:rStyle w:val="DefaultParagraphFont"/>
                <w:rFonts w:cs="Times New Roman"/>
                <w:shd w:val="clear" w:color="auto" w:fill="FFFFFF"/>
              </w:rPr>
              <w:t>Podrobnosti o odkaze upravia členské štáty</w:t>
            </w:r>
            <w:r>
              <w:rPr>
                <w:rStyle w:val="DefaultParagraphFont"/>
                <w:rFonts w:cs="Times New Roman"/>
                <w:i/>
                <w:iCs/>
                <w:shd w:val="clear" w:color="auto" w:fill="FFFFFF"/>
              </w:rPr>
              <w:t>.</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 10</w:t>
            </w: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p>
          <w:p w:rsidR="00783A13">
            <w:pPr>
              <w:jc w:val="center"/>
              <w:rPr>
                <w:rStyle w:val="DefaultParagraphFont"/>
                <w:rFonts w:cs="Times New Roman"/>
              </w:rPr>
            </w:pPr>
            <w:r>
              <w:rPr>
                <w:rStyle w:val="DefaultParagraphFont"/>
                <w:rFonts w:cs="Times New Roman"/>
              </w:rPr>
              <w:t>Príl k NV SR</w:t>
            </w:r>
          </w:p>
          <w:p w:rsidR="00783A13">
            <w:pPr>
              <w:jc w:val="center"/>
              <w:rPr>
                <w:rStyle w:val="DefaultParagraphFont"/>
                <w:rFonts w:cs="Times New Roman"/>
              </w:rPr>
            </w:pPr>
            <w:r>
              <w:rPr>
                <w:rStyle w:val="DefaultParagraphFont"/>
                <w:rFonts w:cs="Times New Roman"/>
              </w:rPr>
              <w:t>Č. 3</w:t>
            </w:r>
          </w:p>
          <w:p w:rsidR="00783A13">
            <w:pPr>
              <w:jc w:val="center"/>
              <w:rPr>
                <w:rStyle w:val="DefaultParagraphFont"/>
                <w:rFonts w:cs="Times New Roman"/>
              </w:rPr>
            </w:pPr>
          </w:p>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Toto nariadenie vlády nadobúda účinnosť .............2007</w:t>
            </w:r>
          </w:p>
          <w:p w:rsidR="00783A13">
            <w:pPr>
              <w:pStyle w:val="BodyText3"/>
              <w:jc w:val="left"/>
              <w:rPr>
                <w:rStyle w:val="DefaultParagraphFont"/>
                <w:rFonts w:cs="Times New Roman"/>
                <w:b w:val="0"/>
                <w:bCs w:val="0"/>
                <w:sz w:val="20"/>
                <w:szCs w:val="20"/>
              </w:rPr>
            </w:pPr>
          </w:p>
          <w:p w:rsidR="00783A13">
            <w:pPr>
              <w:pStyle w:val="BodyText3"/>
              <w:jc w:val="left"/>
              <w:rPr>
                <w:rStyle w:val="DefaultParagraphFont"/>
                <w:rFonts w:cs="Times New Roman"/>
                <w:b w:val="0"/>
                <w:bCs w:val="0"/>
                <w:sz w:val="20"/>
                <w:szCs w:val="20"/>
              </w:rPr>
            </w:pPr>
          </w:p>
          <w:p w:rsidR="00783A13">
            <w:pPr>
              <w:pStyle w:val="BodyText3"/>
              <w:jc w:val="left"/>
              <w:rPr>
                <w:rStyle w:val="DefaultParagraphFont"/>
                <w:rFonts w:cs="Times New Roman"/>
                <w:b w:val="0"/>
                <w:bCs w:val="0"/>
                <w:sz w:val="20"/>
                <w:szCs w:val="20"/>
              </w:rPr>
            </w:pPr>
          </w:p>
          <w:p w:rsidR="00783A13">
            <w:pPr>
              <w:pStyle w:val="BodyText3"/>
              <w:jc w:val="left"/>
              <w:rPr>
                <w:rStyle w:val="DefaultParagraphFont"/>
                <w:rFonts w:cs="Times New Roman"/>
                <w:b w:val="0"/>
                <w:bCs w:val="0"/>
                <w:sz w:val="20"/>
                <w:szCs w:val="20"/>
              </w:rPr>
            </w:pPr>
          </w:p>
          <w:p w:rsidR="00783A13">
            <w:pPr>
              <w:pStyle w:val="BodyText3"/>
              <w:jc w:val="left"/>
              <w:rPr>
                <w:rStyle w:val="DefaultParagraphFont"/>
                <w:rFonts w:cs="Times New Roman"/>
                <w:b w:val="0"/>
                <w:bCs w:val="0"/>
                <w:sz w:val="20"/>
                <w:szCs w:val="20"/>
              </w:rPr>
            </w:pPr>
            <w:r>
              <w:rPr>
                <w:rStyle w:val="DefaultParagraphFont"/>
                <w:rFonts w:cs="Times New Roman"/>
                <w:b w:val="0"/>
                <w:bCs w:val="0"/>
                <w:sz w:val="20"/>
                <w:szCs w:val="20"/>
              </w:rPr>
              <w:t>Smernica Európskeho parlamentu a Rady 2006/25/ES z 5. apríla 2006 o minimálnych zdravotných a bezpečnostných požiadavkách týkajúcich sa vystavenia pracovníkov rizikám vyplývajúcim z fyzikálnych faktorov (umelé optické žiarenie) (19. samostatná smernica v zmysle článku 16 ods. 1 smernice 89/391/EHS)</w:t>
            </w: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Ú</w:t>
            </w: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MZ SR</w:t>
            </w: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14</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rPr>
              <w:t>Členské štáty oznámia Komisii znenie vnútroštátnych právnych predpisov, ktoré prijmú alebo prijali v oblasti pôsobnosti tejto smernice.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r>
              <w:rPr>
                <w:rStyle w:val="DefaultParagraphFont"/>
                <w:rFonts w:cs="Times New Roman"/>
              </w:rPr>
              <w:t>Č: 15</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FootnoteText"/>
              <w:jc w:val="both"/>
              <w:rPr>
                <w:rStyle w:val="DefaultParagraphFont"/>
                <w:rFonts w:cs="Times New Roman"/>
              </w:rPr>
            </w:pPr>
            <w:r>
              <w:rPr>
                <w:rStyle w:val="DefaultParagraphFont"/>
                <w:rFonts w:cs="Times New Roman"/>
                <w:noProof/>
                <w:spacing w:val="2"/>
              </w:rPr>
              <w:t>Táto smernica nadobúda účinnosť dňom jej uverejnenia v Úradnom vestníku Európskej únie.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r>
              <w:rPr>
                <w:rStyle w:val="DefaultParagraphFont"/>
                <w:rFonts w:cs="Times New Roman"/>
              </w:rPr>
              <w:t>n.a.</w:t>
            </w:r>
          </w:p>
        </w:tc>
        <w:tc>
          <w:tcPr>
            <w:tcW w:w="9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7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pStyle w:val="BodyText3"/>
              <w:jc w:val="left"/>
              <w:rPr>
                <w:rStyle w:val="DefaultParagraphFont"/>
                <w:rFonts w:cs="Times New Roman"/>
                <w:b w:val="0"/>
                <w:bCs w:val="0"/>
                <w:sz w:val="20"/>
                <w:szCs w:val="20"/>
              </w:rPr>
            </w:pPr>
          </w:p>
        </w:tc>
        <w:tc>
          <w:tcPr>
            <w:tcW w:w="54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58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83A13">
            <w:pPr>
              <w:jc w:val="center"/>
              <w:rPr>
                <w:rStyle w:val="DefaultParagraphFont"/>
                <w:rFonts w:cs="Times New Roman"/>
              </w:rPr>
            </w:pPr>
          </w:p>
        </w:tc>
      </w:tr>
    </w:tbl>
    <w:p w:rsidR="00783A13">
      <w:pPr>
        <w:jc w:val="both"/>
        <w:rPr>
          <w:rStyle w:val="DefaultParagraphFont"/>
          <w:rFonts w:cs="Times New Roman"/>
        </w:rPr>
      </w:pPr>
    </w:p>
    <w:sectPr>
      <w:footerReference w:type="default" r:id="rId5"/>
      <w:pgSz w:w="16840" w:h="11907" w:orient="landscape" w:code="9"/>
      <w:pgMar w:top="1418" w:right="1418" w:bottom="1418" w:left="1134" w:header="708" w:footer="708"/>
      <w:lnNumType w:distance="0"/>
      <w:cols w:space="708"/>
      <w:noEndnote w:val="0"/>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A13">
    <w:pPr>
      <w:pStyle w:val="Footer"/>
      <w:framePr w:vAnchor="text" w:hAnchor="margin" w:xAlign="center"/>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noProof/>
      </w:rPr>
      <w:t>17</w:t>
    </w:r>
    <w:r>
      <w:rPr>
        <w:rStyle w:val="PageNumber"/>
        <w:rFonts w:cs="Times New Roman"/>
      </w:rPr>
      <w:fldChar w:fldCharType="end"/>
    </w:r>
  </w:p>
  <w:p w:rsidR="00783A13">
    <w:pPr>
      <w:pStyle w:val="Footer"/>
      <w:ind w:right="360"/>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rsidR="00783A13">
      <w:pPr>
        <w:pStyle w:val="FootnoteText"/>
        <w:jc w:val="both"/>
        <w:rPr>
          <w:rStyle w:val="DefaultParagraphFont"/>
          <w:rFonts w:cs="Times New Roman"/>
        </w:rPr>
      </w:pPr>
      <w:r>
        <w:rPr>
          <w:rStyle w:val="FootnoteReference"/>
          <w:rFonts w:cs="Times New Roman"/>
        </w:rPr>
        <w:footnoteRef/>
      </w:r>
      <w:r>
        <w:rPr>
          <w:rStyle w:val="DefaultParagraphFont"/>
          <w:rFonts w:cs="Times New Roman"/>
        </w:rPr>
        <w:t>) Zákon Národnej rady Slovenskej republiky č. 124/2006 Zb. o bezpečnosti a ochrane zdravia a o zmene a doplnení niektorých zákonov.</w:t>
      </w:r>
    </w:p>
    <w:p>
      <w:pPr>
        <w:pStyle w:val="FootnoteText"/>
        <w:jc w:val="both"/>
        <w:rPr>
          <w:rFonts w:cs="Times New Roman"/>
        </w:rPr>
      </w:pPr>
      <w:r w:rsidR="00783A13">
        <w:rPr>
          <w:rStyle w:val="DefaultParagraphFont"/>
          <w:rFonts w:cs="Times New Roman"/>
        </w:rPr>
        <w:t>Zákon č. 126/2006 Z. z. o verejnom zdravotníctve a o zmene a doplnení niektorých zákonov.</w:t>
      </w:r>
    </w:p>
  </w:footnote>
  <w:footnote w:id="3">
    <w:p>
      <w:pPr>
        <w:pStyle w:val="FootnoteText"/>
        <w:rPr>
          <w:rFonts w:cs="Times New Roman"/>
        </w:rPr>
      </w:pPr>
      <w:r w:rsidR="00783A13">
        <w:rPr>
          <w:rStyle w:val="FootnoteReference"/>
          <w:rFonts w:cs="Times New Roman"/>
        </w:rPr>
        <w:footnoteRef/>
      </w:r>
      <w:r w:rsidR="00783A13">
        <w:rPr>
          <w:rStyle w:val="DefaultParagraphFont"/>
          <w:rFonts w:cs="Times New Roman"/>
        </w:rPr>
        <w:t>) Napríklad nariadenie vlády Slovenskej republiky č. 310/2004 Z.z., ktorým sa ustanovujú podrobnosti o technických požiadavkách a postupoch posudzovania zhody na strojové zariadenia.</w:t>
      </w:r>
      <w:r w:rsidR="00783A13">
        <w:rPr>
          <w:rStyle w:val="DefaultParagraphFont"/>
          <w:rFonts w:cs="Times New Roman"/>
          <w:color w:val="FF0000"/>
        </w:rPr>
        <w:t xml:space="preserve"> </w:t>
      </w:r>
    </w:p>
  </w:footnote>
  <w:footnote w:id="4">
    <w:p>
      <w:pPr>
        <w:pStyle w:val="FootnoteText"/>
        <w:rPr>
          <w:rFonts w:cs="Times New Roman"/>
        </w:rPr>
      </w:pPr>
      <w:r w:rsidR="00783A13">
        <w:rPr>
          <w:rStyle w:val="FootnoteReference"/>
          <w:rFonts w:cs="Times New Roman"/>
        </w:rPr>
        <w:footnoteRef/>
      </w:r>
      <w:r w:rsidR="00783A13">
        <w:rPr>
          <w:rStyle w:val="DefaultParagraphFont"/>
          <w:rFonts w:cs="Times New Roman"/>
          <w:vertAlign w:val="superscript"/>
        </w:rPr>
        <w:t>)</w:t>
      </w:r>
      <w:r w:rsidR="00783A13">
        <w:rPr>
          <w:rStyle w:val="DefaultParagraphFont"/>
          <w:rFonts w:cs="Times New Roman"/>
        </w:rPr>
        <w:t xml:space="preserve"> § 26 zákona č.124/2006 Z.z..</w:t>
      </w:r>
    </w:p>
  </w:footnote>
  <w:footnote w:id="5">
    <w:p>
      <w:pPr>
        <w:pStyle w:val="FootnoteText"/>
        <w:jc w:val="both"/>
        <w:rPr>
          <w:rFonts w:cs="Times New Roman"/>
        </w:rPr>
      </w:pPr>
      <w:r w:rsidR="00783A13">
        <w:rPr>
          <w:rStyle w:val="FootnoteReference"/>
          <w:rFonts w:cs="Times New Roman"/>
        </w:rPr>
        <w:footnoteRef/>
      </w:r>
      <w:r w:rsidR="00783A13">
        <w:rPr>
          <w:rStyle w:val="DefaultParagraphFont"/>
          <w:rFonts w:cs="Times New Roman"/>
          <w:vertAlign w:val="superscript"/>
        </w:rPr>
        <w:t>)</w:t>
      </w:r>
      <w:r w:rsidR="00783A13">
        <w:rPr>
          <w:rStyle w:val="DefaultParagraphFont"/>
          <w:rFonts w:cs="Times New Roman"/>
        </w:rPr>
        <w:t xml:space="preserve"> § 3 písm. a) zákona č. 124/2006 Z.z. </w:t>
      </w:r>
    </w:p>
  </w:footnote>
  <w:footnote w:id="6">
    <w:p>
      <w:pPr>
        <w:pStyle w:val="FootnoteText"/>
        <w:rPr>
          <w:rFonts w:cs="Times New Roman"/>
        </w:rPr>
      </w:pPr>
      <w:r w:rsidR="00783A13">
        <w:rPr>
          <w:rStyle w:val="FootnoteReference"/>
          <w:rFonts w:cs="Times New Roman"/>
        </w:rPr>
        <w:footnoteRef/>
      </w:r>
      <w:r w:rsidR="00783A13">
        <w:rPr>
          <w:rStyle w:val="DefaultParagraphFont"/>
          <w:rFonts w:cs="Times New Roman"/>
        </w:rPr>
        <w:tab/>
        <w:t>Ú. v. ES L 245, 26.8.1992, s. 23.</w:t>
      </w:r>
    </w:p>
  </w:footnote>
  <w:footnote w:id="7">
    <w:p>
      <w:pPr>
        <w:pStyle w:val="FootnoteText"/>
        <w:rPr>
          <w:rFonts w:cs="Times New Roman"/>
        </w:rPr>
      </w:pPr>
      <w:r w:rsidR="00783A13">
        <w:rPr>
          <w:rStyle w:val="FootnoteReference"/>
          <w:rFonts w:cs="Times New Roman"/>
        </w:rPr>
        <w:footnoteRef/>
      </w:r>
      <w:r w:rsidR="00783A13">
        <w:rPr>
          <w:rStyle w:val="DefaultParagraphFont"/>
          <w:rFonts w:cs="Times New Roman"/>
          <w:vertAlign w:val="superscript"/>
        </w:rPr>
        <w:t>)</w:t>
      </w:r>
      <w:r w:rsidR="00783A13">
        <w:rPr>
          <w:rStyle w:val="DefaultParagraphFont"/>
          <w:rFonts w:cs="Times New Roman"/>
        </w:rPr>
        <w:t xml:space="preserve"> Nariadenie vlády Slovenskej republiky č. 444/2001 Z.z. o požiadavkách na používanie označenia, symbolov a signálov na zaistenie bezpečnosti a ochrany zdravia pri práci. </w:t>
      </w:r>
    </w:p>
  </w:footnote>
  <w:footnote w:id="8">
    <w:p>
      <w:pPr>
        <w:pStyle w:val="FootnoteText"/>
        <w:rPr>
          <w:rFonts w:cs="Times New Roman"/>
        </w:rPr>
      </w:pPr>
      <w:r w:rsidR="00783A13">
        <w:rPr>
          <w:rStyle w:val="FootnoteReference"/>
          <w:rFonts w:cs="Times New Roman"/>
        </w:rPr>
        <w:footnoteRef/>
      </w:r>
      <w:r w:rsidR="00783A13">
        <w:rPr>
          <w:rStyle w:val="DefaultParagraphFont"/>
          <w:rFonts w:cs="Times New Roman"/>
          <w:vertAlign w:val="superscript"/>
        </w:rPr>
        <w:t>)</w:t>
      </w:r>
      <w:r w:rsidR="00783A13">
        <w:rPr>
          <w:rStyle w:val="DefaultParagraphFont"/>
          <w:rFonts w:cs="Times New Roman"/>
        </w:rPr>
        <w:t xml:space="preserve"> § 19 zákona č. 124/2006 Z.z. </w:t>
      </w:r>
    </w:p>
  </w:footnote>
  <w:footnote w:id="9">
    <w:p>
      <w:pPr>
        <w:pStyle w:val="FootnoteText"/>
        <w:jc w:val="both"/>
        <w:rPr>
          <w:rFonts w:cs="Times New Roman"/>
        </w:rPr>
      </w:pPr>
      <w:r w:rsidR="00783A13">
        <w:rPr>
          <w:rStyle w:val="FootnoteReference"/>
          <w:rFonts w:cs="Times New Roman"/>
        </w:rPr>
        <w:footnoteRef/>
      </w:r>
      <w:r w:rsidR="00783A13">
        <w:rPr>
          <w:rStyle w:val="FootnoteReference"/>
          <w:rFonts w:cs="Times New Roman"/>
        </w:rPr>
        <w:t>)</w:t>
      </w:r>
      <w:r w:rsidR="00783A13">
        <w:rPr>
          <w:rStyle w:val="DefaultParagraphFont"/>
          <w:rFonts w:cs="Times New Roman"/>
        </w:rPr>
        <w:t xml:space="preserve"> § 6 ods. 1 písm. q) zákona č. 124/2006 Z.z.  </w:t>
      </w:r>
    </w:p>
  </w:footnote>
  <w:footnote w:id="10">
    <w:p>
      <w:pPr>
        <w:pStyle w:val="FootnoteText"/>
        <w:jc w:val="both"/>
        <w:rPr>
          <w:rFonts w:cs="Times New Roman"/>
        </w:rPr>
      </w:pPr>
      <w:r w:rsidR="00783A13">
        <w:rPr>
          <w:rStyle w:val="FootnoteReference"/>
          <w:rFonts w:cs="Times New Roman"/>
        </w:rPr>
        <w:footnoteRef/>
      </w:r>
      <w:r w:rsidR="00783A13">
        <w:rPr>
          <w:rStyle w:val="FootnoteReference"/>
          <w:rFonts w:cs="Times New Roman"/>
        </w:rPr>
        <w:t>)</w:t>
      </w:r>
      <w:r w:rsidR="00783A13">
        <w:rPr>
          <w:rStyle w:val="DefaultParagraphFont"/>
          <w:rFonts w:cs="Times New Roman"/>
        </w:rPr>
        <w:t xml:space="preserve"> § 6 ods. 1 písm. q) zákona č. 124/2006 Z.z.  </w:t>
      </w:r>
    </w:p>
  </w:footnote>
  <w:footnote w:id="11">
    <w:p>
      <w:pPr>
        <w:pStyle w:val="FootnoteText"/>
        <w:jc w:val="both"/>
        <w:rPr>
          <w:rFonts w:cs="Times New Roman"/>
        </w:rPr>
      </w:pPr>
      <w:r w:rsidR="00783A13">
        <w:rPr>
          <w:rStyle w:val="FootnoteReference"/>
          <w:rFonts w:cs="Times New Roman"/>
        </w:rPr>
        <w:footnoteRef/>
      </w:r>
      <w:r w:rsidR="00783A13">
        <w:rPr>
          <w:rStyle w:val="FootnoteReference"/>
          <w:rFonts w:cs="Times New Roman"/>
        </w:rPr>
        <w:t>)</w:t>
      </w:r>
      <w:r w:rsidR="00783A13">
        <w:rPr>
          <w:rStyle w:val="DefaultParagraphFont"/>
          <w:rFonts w:cs="Times New Roman"/>
        </w:rPr>
        <w:t xml:space="preserve"> § 20 zákona č. 576/2004 Z.z. o zdravotnej starostlivosti, službách súvisiacich s poskytovaním zdravotnej starostlivosti a o zmene a doplnení niektorých zákonov.</w:t>
      </w:r>
    </w:p>
  </w:footnote>
  <w:footnote w:id="12">
    <w:p>
      <w:pPr>
        <w:pStyle w:val="FootnoteText"/>
        <w:rPr>
          <w:rFonts w:cs="Times New Roman"/>
        </w:rPr>
      </w:pPr>
      <w:r w:rsidR="00783A13">
        <w:rPr>
          <w:rStyle w:val="FootnoteReference"/>
          <w:rFonts w:cs="Times New Roman"/>
        </w:rPr>
        <w:footnoteRef/>
      </w:r>
      <w:r w:rsidR="00783A13">
        <w:rPr>
          <w:rStyle w:val="DefaultParagraphFont"/>
          <w:rFonts w:cs="Times New Roman"/>
        </w:rPr>
        <w:t>) § 3 zákona  126/2006 Z.z.</w:t>
      </w:r>
    </w:p>
  </w:footnote>
  <w:footnote w:id="13">
    <w:p>
      <w:pPr>
        <w:pStyle w:val="FootnoteText"/>
        <w:ind w:left="360" w:hanging="360"/>
        <w:jc w:val="both"/>
        <w:rPr>
          <w:rFonts w:cs="Times New Roman"/>
        </w:rPr>
      </w:pPr>
      <w:r w:rsidR="00783A13">
        <w:rPr>
          <w:rStyle w:val="FootnoteReference"/>
          <w:rFonts w:cs="Times New Roman"/>
        </w:rPr>
        <w:footnoteRef/>
      </w:r>
      <w:r w:rsidR="00783A13">
        <w:rPr>
          <w:rStyle w:val="DefaultParagraphFont"/>
          <w:rFonts w:cs="Times New Roman"/>
        </w:rPr>
        <w:t xml:space="preserve">) </w:t>
        <w:tab/>
        <w:t>Napríklad § 7 nariadenia vlády Slovenskej republiky č. 281/2006 Z. z. o minimálnych bezpečnostných a zdravotných požiadavkách pri práci s bremenami, § 10 nariadenia vlády Slovenskej republiky č. 329/2006 Z. z. o minimálnych zdravotných a bezpečnostných požiadavkách na ochranu zamestnancov pred rizikami súvisiacimi s expozíciou elektromagnetickému poľu.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4762"/>
    <w:multiLevelType w:val="singleLevel"/>
    <w:tmpl w:val="0405000F"/>
    <w:lvl w:ilvl="0">
      <w:start w:val="1"/>
      <w:numFmt w:val="decimal"/>
      <w:lvlText w:val="%1."/>
      <w:lvlJc w:val="left"/>
      <w:pPr>
        <w:tabs>
          <w:tab w:val="num" w:pos="360"/>
        </w:tabs>
        <w:ind w:left="360" w:hanging="360"/>
      </w:pPr>
      <w:rPr>
        <w:rFonts w:ascii="Times New Roman" w:hAnsi="Times New Roman"/>
        <w:rtl w:val="0"/>
      </w:rPr>
    </w:lvl>
  </w:abstractNum>
  <w:abstractNum w:abstractNumId="1">
    <w:nsid w:val="09BE6C01"/>
    <w:multiLevelType w:val="singleLevel"/>
    <w:tmpl w:val="F7A296FE"/>
    <w:lvl w:ilvl="0">
      <w:start w:val="1"/>
      <w:numFmt w:val="decimal"/>
      <w:lvlText w:val="%1. "/>
      <w:legacy w:legacy="1" w:legacySpace="0" w:legacyIndent="283"/>
      <w:lvlJc w:val="left"/>
      <w:pPr>
        <w:ind w:left="973" w:hanging="283"/>
      </w:pPr>
      <w:rPr>
        <w:rFonts w:ascii="Times New Roman" w:hAnsi="Times New Roman"/>
        <w:b w:val="0"/>
        <w:bCs w:val="0"/>
        <w:i w:val="0"/>
        <w:iCs w:val="0"/>
        <w:sz w:val="24"/>
        <w:szCs w:val="24"/>
        <w:rtl w:val="0"/>
      </w:rPr>
    </w:lvl>
  </w:abstractNum>
  <w:abstractNum w:abstractNumId="2">
    <w:nsid w:val="0B6436F1"/>
    <w:multiLevelType w:val="multilevel"/>
    <w:tmpl w:val="16BA4AAE"/>
    <w:lvl w:ilvl="0">
      <w:start w:val="1"/>
      <w:numFmt w:val="lowerLetter"/>
      <w:lvlText w:val="%1)"/>
      <w:lvlJc w:val="left"/>
      <w:pPr>
        <w:tabs>
          <w:tab w:val="num" w:pos="360"/>
        </w:tabs>
        <w:ind w:left="340" w:hanging="340"/>
      </w:pPr>
      <w:rPr>
        <w:rFonts w:ascii="Times New Roman" w:hAnsi="Times New Roman"/>
        <w:rtl w:val="0"/>
      </w:rPr>
    </w:lvl>
    <w:lvl w:ilvl="1">
      <w:start w:val="1"/>
      <w:numFmt w:val="lowerLetter"/>
      <w:lvlText w:val="%2."/>
      <w:lvlJc w:val="left"/>
      <w:pPr>
        <w:tabs>
          <w:tab w:val="num" w:pos="1156"/>
        </w:tabs>
        <w:ind w:left="1156" w:hanging="360"/>
      </w:pPr>
      <w:rPr>
        <w:rFonts w:ascii="Times New Roman" w:hAnsi="Times New Roman"/>
        <w:rtl w:val="0"/>
      </w:rPr>
    </w:lvl>
    <w:lvl w:ilvl="2">
      <w:start w:val="1"/>
      <w:numFmt w:val="lowerRoman"/>
      <w:lvlText w:val="%3."/>
      <w:lvlJc w:val="right"/>
      <w:pPr>
        <w:tabs>
          <w:tab w:val="num" w:pos="1876"/>
        </w:tabs>
        <w:ind w:left="1876" w:hanging="180"/>
      </w:pPr>
      <w:rPr>
        <w:rFonts w:ascii="Times New Roman" w:hAnsi="Times New Roman"/>
        <w:rtl w:val="0"/>
      </w:rPr>
    </w:lvl>
    <w:lvl w:ilvl="3">
      <w:start w:val="1"/>
      <w:numFmt w:val="decimal"/>
      <w:lvlText w:val="%4."/>
      <w:lvlJc w:val="left"/>
      <w:pPr>
        <w:tabs>
          <w:tab w:val="num" w:pos="2596"/>
        </w:tabs>
        <w:ind w:left="2596" w:hanging="360"/>
      </w:pPr>
      <w:rPr>
        <w:rFonts w:ascii="Times New Roman" w:hAnsi="Times New Roman"/>
        <w:rtl w:val="0"/>
      </w:rPr>
    </w:lvl>
    <w:lvl w:ilvl="4">
      <w:start w:val="1"/>
      <w:numFmt w:val="lowerLetter"/>
      <w:lvlText w:val="%5."/>
      <w:lvlJc w:val="left"/>
      <w:pPr>
        <w:tabs>
          <w:tab w:val="num" w:pos="3316"/>
        </w:tabs>
        <w:ind w:left="3316" w:hanging="360"/>
      </w:pPr>
      <w:rPr>
        <w:rFonts w:ascii="Times New Roman" w:hAnsi="Times New Roman"/>
        <w:rtl w:val="0"/>
      </w:rPr>
    </w:lvl>
    <w:lvl w:ilvl="5">
      <w:start w:val="1"/>
      <w:numFmt w:val="lowerRoman"/>
      <w:lvlText w:val="%6."/>
      <w:lvlJc w:val="right"/>
      <w:pPr>
        <w:tabs>
          <w:tab w:val="num" w:pos="4036"/>
        </w:tabs>
        <w:ind w:left="4036" w:hanging="180"/>
      </w:pPr>
      <w:rPr>
        <w:rFonts w:ascii="Times New Roman" w:hAnsi="Times New Roman"/>
        <w:rtl w:val="0"/>
      </w:rPr>
    </w:lvl>
    <w:lvl w:ilvl="6">
      <w:start w:val="1"/>
      <w:numFmt w:val="decimal"/>
      <w:lvlText w:val="%7."/>
      <w:lvlJc w:val="left"/>
      <w:pPr>
        <w:tabs>
          <w:tab w:val="num" w:pos="4756"/>
        </w:tabs>
        <w:ind w:left="4756" w:hanging="360"/>
      </w:pPr>
      <w:rPr>
        <w:rFonts w:ascii="Times New Roman" w:hAnsi="Times New Roman"/>
        <w:rtl w:val="0"/>
      </w:rPr>
    </w:lvl>
    <w:lvl w:ilvl="7">
      <w:start w:val="1"/>
      <w:numFmt w:val="lowerLetter"/>
      <w:lvlText w:val="%8."/>
      <w:lvlJc w:val="left"/>
      <w:pPr>
        <w:tabs>
          <w:tab w:val="num" w:pos="5476"/>
        </w:tabs>
        <w:ind w:left="5476" w:hanging="360"/>
      </w:pPr>
      <w:rPr>
        <w:rFonts w:ascii="Times New Roman" w:hAnsi="Times New Roman"/>
        <w:rtl w:val="0"/>
      </w:rPr>
    </w:lvl>
    <w:lvl w:ilvl="8">
      <w:start w:val="1"/>
      <w:numFmt w:val="lowerRoman"/>
      <w:lvlText w:val="%9."/>
      <w:lvlJc w:val="right"/>
      <w:pPr>
        <w:tabs>
          <w:tab w:val="num" w:pos="6196"/>
        </w:tabs>
        <w:ind w:left="6196" w:hanging="180"/>
      </w:pPr>
      <w:rPr>
        <w:rFonts w:ascii="Times New Roman" w:hAnsi="Times New Roman"/>
        <w:rtl w:val="0"/>
      </w:rPr>
    </w:lvl>
  </w:abstractNum>
  <w:abstractNum w:abstractNumId="3">
    <w:nsid w:val="0CB6618B"/>
    <w:multiLevelType w:val="multilevel"/>
    <w:tmpl w:val="B36A61C8"/>
    <w:lvl w:ilvl="0">
      <w:start w:val="1"/>
      <w:numFmt w:val="lowerLetter"/>
      <w:lvlText w:val="%1)"/>
      <w:lvlJc w:val="left"/>
      <w:pPr>
        <w:tabs>
          <w:tab w:val="num" w:pos="360"/>
        </w:tabs>
        <w:ind w:left="360" w:hanging="360"/>
      </w:pPr>
      <w:rPr>
        <w:rFonts w:ascii="Times New Roman" w:hAnsi="Times New Roman"/>
        <w:sz w:val="24"/>
        <w:szCs w:val="24"/>
        <w:rtl w:val="0"/>
      </w:rPr>
    </w:lvl>
    <w:lvl w:ilvl="1">
      <w:start w:val="1"/>
      <w:numFmt w:val="lowerLetter"/>
      <w:lvlText w:val="%2."/>
      <w:lvlJc w:val="left"/>
      <w:pPr>
        <w:tabs>
          <w:tab w:val="num" w:pos="1014"/>
        </w:tabs>
        <w:ind w:left="1014" w:hanging="360"/>
      </w:pPr>
      <w:rPr>
        <w:rFonts w:ascii="Times New Roman" w:hAnsi="Times New Roman"/>
        <w:rtl w:val="0"/>
      </w:rPr>
    </w:lvl>
    <w:lvl w:ilvl="2">
      <w:start w:val="1"/>
      <w:numFmt w:val="lowerRoman"/>
      <w:lvlText w:val="%3."/>
      <w:lvlJc w:val="right"/>
      <w:pPr>
        <w:tabs>
          <w:tab w:val="num" w:pos="1734"/>
        </w:tabs>
        <w:ind w:left="1734" w:hanging="180"/>
      </w:pPr>
      <w:rPr>
        <w:rFonts w:ascii="Times New Roman" w:hAnsi="Times New Roman"/>
        <w:rtl w:val="0"/>
      </w:rPr>
    </w:lvl>
    <w:lvl w:ilvl="3">
      <w:start w:val="1"/>
      <w:numFmt w:val="decimal"/>
      <w:lvlText w:val="%4."/>
      <w:lvlJc w:val="left"/>
      <w:pPr>
        <w:tabs>
          <w:tab w:val="num" w:pos="2454"/>
        </w:tabs>
        <w:ind w:left="2454" w:hanging="360"/>
      </w:pPr>
      <w:rPr>
        <w:rFonts w:ascii="Times New Roman" w:hAnsi="Times New Roman"/>
        <w:rtl w:val="0"/>
      </w:rPr>
    </w:lvl>
    <w:lvl w:ilvl="4">
      <w:start w:val="1"/>
      <w:numFmt w:val="lowerLetter"/>
      <w:lvlText w:val="%5."/>
      <w:lvlJc w:val="left"/>
      <w:pPr>
        <w:tabs>
          <w:tab w:val="num" w:pos="3174"/>
        </w:tabs>
        <w:ind w:left="3174" w:hanging="360"/>
      </w:pPr>
      <w:rPr>
        <w:rFonts w:ascii="Times New Roman" w:hAnsi="Times New Roman"/>
        <w:rtl w:val="0"/>
      </w:rPr>
    </w:lvl>
    <w:lvl w:ilvl="5">
      <w:start w:val="1"/>
      <w:numFmt w:val="lowerRoman"/>
      <w:lvlText w:val="%6."/>
      <w:lvlJc w:val="right"/>
      <w:pPr>
        <w:tabs>
          <w:tab w:val="num" w:pos="3894"/>
        </w:tabs>
        <w:ind w:left="3894" w:hanging="180"/>
      </w:pPr>
      <w:rPr>
        <w:rFonts w:ascii="Times New Roman" w:hAnsi="Times New Roman"/>
        <w:rtl w:val="0"/>
      </w:rPr>
    </w:lvl>
    <w:lvl w:ilvl="6">
      <w:start w:val="1"/>
      <w:numFmt w:val="decimal"/>
      <w:lvlText w:val="%7."/>
      <w:lvlJc w:val="left"/>
      <w:pPr>
        <w:tabs>
          <w:tab w:val="num" w:pos="4614"/>
        </w:tabs>
        <w:ind w:left="4614" w:hanging="360"/>
      </w:pPr>
      <w:rPr>
        <w:rFonts w:ascii="Times New Roman" w:hAnsi="Times New Roman"/>
        <w:rtl w:val="0"/>
      </w:rPr>
    </w:lvl>
    <w:lvl w:ilvl="7">
      <w:start w:val="1"/>
      <w:numFmt w:val="lowerLetter"/>
      <w:lvlText w:val="%8."/>
      <w:lvlJc w:val="left"/>
      <w:pPr>
        <w:tabs>
          <w:tab w:val="num" w:pos="5334"/>
        </w:tabs>
        <w:ind w:left="5334" w:hanging="360"/>
      </w:pPr>
      <w:rPr>
        <w:rFonts w:ascii="Times New Roman" w:hAnsi="Times New Roman"/>
        <w:rtl w:val="0"/>
      </w:rPr>
    </w:lvl>
    <w:lvl w:ilvl="8">
      <w:start w:val="1"/>
      <w:numFmt w:val="lowerRoman"/>
      <w:lvlText w:val="%9."/>
      <w:lvlJc w:val="right"/>
      <w:pPr>
        <w:tabs>
          <w:tab w:val="num" w:pos="6054"/>
        </w:tabs>
        <w:ind w:left="6054" w:hanging="180"/>
      </w:pPr>
      <w:rPr>
        <w:rFonts w:ascii="Times New Roman" w:hAnsi="Times New Roman"/>
        <w:rtl w:val="0"/>
      </w:rPr>
    </w:lvl>
  </w:abstractNum>
  <w:abstractNum w:abstractNumId="4">
    <w:nsid w:val="0E464579"/>
    <w:multiLevelType w:val="multilevel"/>
    <w:tmpl w:val="A29CBFB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
    <w:nsid w:val="0F4E584A"/>
    <w:multiLevelType w:val="multilevel"/>
    <w:tmpl w:val="833C2FFC"/>
    <w:lvl w:ilvl="0">
      <w:start w:val="1"/>
      <w:numFmt w:val="lowerLetter"/>
      <w:lvlText w:val="%1)"/>
      <w:lvlJc w:val="left"/>
      <w:pPr>
        <w:tabs>
          <w:tab w:val="num" w:pos="780"/>
        </w:tabs>
        <w:ind w:left="780" w:hanging="420"/>
      </w:pPr>
      <w:rPr>
        <w:rFonts w:ascii="Times New Roman" w:hAnsi="Times New Roman"/>
        <w:b w:val="0"/>
        <w:bCs w:val="0"/>
        <w:sz w:val="20"/>
        <w:szCs w:val="20"/>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6">
    <w:nsid w:val="10F37C6C"/>
    <w:multiLevelType w:val="multilevel"/>
    <w:tmpl w:val="02F82FEA"/>
    <w:lvl w:ilvl="0">
      <w:start w:val="1"/>
      <w:numFmt w:val="lowerLetter"/>
      <w:lvlText w:val="%1) "/>
      <w:legacy w:legacy="1" w:legacySpace="0" w:legacyIndent="283"/>
      <w:lvlJc w:val="left"/>
      <w:pPr>
        <w:ind w:left="283" w:hanging="283"/>
      </w:pPr>
      <w:rPr>
        <w:rFonts w:ascii="Times New Roman" w:hAnsi="Times New Roman"/>
        <w:rtl w:val="0"/>
      </w:rPr>
    </w:lvl>
    <w:lvl w:ilvl="1">
      <w:start w:val="1"/>
      <w:numFmt w:val="decimal"/>
      <w:lvlText w:val="%2."/>
      <w:legacy w:legacy="1" w:legacySpace="120" w:legacyIndent="360"/>
      <w:lvlJc w:val="left"/>
      <w:pPr>
        <w:ind w:left="643" w:hanging="360"/>
      </w:pPr>
      <w:rPr>
        <w:rFonts w:ascii="Times New Roman" w:hAnsi="Times New Roman"/>
        <w:rtl w:val="0"/>
      </w:rPr>
    </w:lvl>
    <w:lvl w:ilvl="2">
      <w:start w:val="1"/>
      <w:numFmt w:val="lowerRoman"/>
      <w:lvlText w:val="%3."/>
      <w:legacy w:legacy="1" w:legacySpace="120" w:legacyIndent="180"/>
      <w:lvlJc w:val="left"/>
      <w:pPr>
        <w:ind w:left="823" w:hanging="180"/>
      </w:pPr>
      <w:rPr>
        <w:rFonts w:ascii="Times New Roman" w:hAnsi="Times New Roman"/>
        <w:rtl w:val="0"/>
      </w:rPr>
    </w:lvl>
    <w:lvl w:ilvl="3">
      <w:start w:val="1"/>
      <w:numFmt w:val="decimal"/>
      <w:lvlText w:val="%4."/>
      <w:legacy w:legacy="1" w:legacySpace="120" w:legacyIndent="360"/>
      <w:lvlJc w:val="left"/>
      <w:pPr>
        <w:ind w:left="1183" w:hanging="360"/>
      </w:pPr>
      <w:rPr>
        <w:rFonts w:ascii="Times New Roman" w:hAnsi="Times New Roman"/>
        <w:rtl w:val="0"/>
      </w:rPr>
    </w:lvl>
    <w:lvl w:ilvl="4">
      <w:start w:val="1"/>
      <w:numFmt w:val="lowerLetter"/>
      <w:lvlText w:val="%5."/>
      <w:legacy w:legacy="1" w:legacySpace="120" w:legacyIndent="360"/>
      <w:lvlJc w:val="left"/>
      <w:pPr>
        <w:ind w:left="1543" w:hanging="360"/>
      </w:pPr>
      <w:rPr>
        <w:rFonts w:ascii="Times New Roman" w:hAnsi="Times New Roman"/>
        <w:rtl w:val="0"/>
      </w:rPr>
    </w:lvl>
    <w:lvl w:ilvl="5">
      <w:start w:val="1"/>
      <w:numFmt w:val="lowerRoman"/>
      <w:lvlText w:val="%6."/>
      <w:legacy w:legacy="1" w:legacySpace="120" w:legacyIndent="180"/>
      <w:lvlJc w:val="left"/>
      <w:pPr>
        <w:ind w:left="1723" w:hanging="180"/>
      </w:pPr>
      <w:rPr>
        <w:rFonts w:ascii="Times New Roman" w:hAnsi="Times New Roman"/>
        <w:rtl w:val="0"/>
      </w:rPr>
    </w:lvl>
    <w:lvl w:ilvl="6">
      <w:start w:val="1"/>
      <w:numFmt w:val="decimal"/>
      <w:lvlText w:val="%7."/>
      <w:legacy w:legacy="1" w:legacySpace="120" w:legacyIndent="360"/>
      <w:lvlJc w:val="left"/>
      <w:pPr>
        <w:ind w:left="2083" w:hanging="360"/>
      </w:pPr>
      <w:rPr>
        <w:rFonts w:ascii="Times New Roman" w:hAnsi="Times New Roman"/>
        <w:rtl w:val="0"/>
      </w:rPr>
    </w:lvl>
    <w:lvl w:ilvl="7">
      <w:start w:val="1"/>
      <w:numFmt w:val="lowerLetter"/>
      <w:lvlText w:val="%8."/>
      <w:legacy w:legacy="1" w:legacySpace="120" w:legacyIndent="360"/>
      <w:lvlJc w:val="left"/>
      <w:pPr>
        <w:ind w:left="2443" w:hanging="360"/>
      </w:pPr>
      <w:rPr>
        <w:rFonts w:ascii="Times New Roman" w:hAnsi="Times New Roman"/>
        <w:rtl w:val="0"/>
      </w:rPr>
    </w:lvl>
    <w:lvl w:ilvl="8">
      <w:start w:val="1"/>
      <w:numFmt w:val="lowerRoman"/>
      <w:lvlText w:val="%9."/>
      <w:legacy w:legacy="1" w:legacySpace="120" w:legacyIndent="180"/>
      <w:lvlJc w:val="left"/>
      <w:pPr>
        <w:ind w:left="2623" w:hanging="180"/>
      </w:pPr>
      <w:rPr>
        <w:rFonts w:ascii="Times New Roman" w:hAnsi="Times New Roman"/>
        <w:rtl w:val="0"/>
      </w:rPr>
    </w:lvl>
  </w:abstractNum>
  <w:abstractNum w:abstractNumId="7">
    <w:nsid w:val="1FCB607D"/>
    <w:multiLevelType w:val="singleLevel"/>
    <w:tmpl w:val="F7A296FE"/>
    <w:lvl w:ilvl="0">
      <w:start w:val="1"/>
      <w:numFmt w:val="decimal"/>
      <w:lvlText w:val="%1. "/>
      <w:legacy w:legacy="1" w:legacySpace="0" w:legacyIndent="283"/>
      <w:lvlJc w:val="left"/>
      <w:pPr>
        <w:ind w:left="853" w:hanging="283"/>
      </w:pPr>
      <w:rPr>
        <w:rFonts w:ascii="Times New Roman" w:hAnsi="Times New Roman"/>
        <w:b w:val="0"/>
        <w:bCs w:val="0"/>
        <w:i w:val="0"/>
        <w:iCs w:val="0"/>
        <w:sz w:val="24"/>
        <w:szCs w:val="24"/>
        <w:rtl w:val="0"/>
      </w:rPr>
    </w:lvl>
  </w:abstractNum>
  <w:abstractNum w:abstractNumId="8">
    <w:nsid w:val="23B520F8"/>
    <w:multiLevelType w:val="multilevel"/>
    <w:tmpl w:val="87182C5E"/>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9">
    <w:nsid w:val="254D2DF1"/>
    <w:multiLevelType w:val="multilevel"/>
    <w:tmpl w:val="7B782282"/>
    <w:lvl w:ilvl="0">
      <w:start w:val="1"/>
      <w:numFmt w:val="lowerLetter"/>
      <w:lvlText w:val="%1)"/>
      <w:lvlJc w:val="left"/>
      <w:pPr>
        <w:tabs>
          <w:tab w:val="num" w:pos="720"/>
        </w:tabs>
        <w:ind w:left="720" w:hanging="363"/>
      </w:pPr>
      <w:rPr>
        <w:rFonts w:ascii="Times New Roman" w:hAnsi="Times New Roman"/>
        <w:rtl w:val="0"/>
      </w:rPr>
    </w:lvl>
    <w:lvl w:ilvl="1">
      <w:start w:val="1"/>
      <w:numFmt w:val="decimal"/>
      <w:lvlText w:val="%2."/>
      <w:lvlJc w:val="left"/>
      <w:pPr>
        <w:tabs>
          <w:tab w:val="num" w:pos="1440"/>
        </w:tabs>
        <w:ind w:left="1420" w:hanging="340"/>
      </w:pPr>
      <w:rPr>
        <w:rFonts w:ascii="Times New Roman" w:hAnsi="Times New Roman"/>
        <w:u w:val="none"/>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0">
    <w:nsid w:val="29B950EA"/>
    <w:multiLevelType w:val="multilevel"/>
    <w:tmpl w:val="D5EC4BD0"/>
    <w:lvl w:ilvl="0">
      <w:start w:val="1"/>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1">
    <w:nsid w:val="2D8E68C4"/>
    <w:multiLevelType w:val="singleLevel"/>
    <w:tmpl w:val="FE08150E"/>
    <w:lvl w:ilvl="0">
      <w:start w:val="6"/>
      <w:numFmt w:val="lowerLetter"/>
      <w:lvlText w:val="%1) "/>
      <w:legacy w:legacy="1" w:legacySpace="0" w:legacyIndent="283"/>
      <w:lvlJc w:val="left"/>
      <w:pPr>
        <w:ind w:left="643" w:hanging="283"/>
      </w:pPr>
      <w:rPr>
        <w:rFonts w:ascii="Times New Roman" w:hAnsi="Times New Roman"/>
        <w:b w:val="0"/>
        <w:bCs w:val="0"/>
        <w:i w:val="0"/>
        <w:iCs w:val="0"/>
        <w:sz w:val="24"/>
        <w:szCs w:val="24"/>
        <w:rtl w:val="0"/>
      </w:rPr>
    </w:lvl>
  </w:abstractNum>
  <w:abstractNum w:abstractNumId="12">
    <w:nsid w:val="2ECB6788"/>
    <w:multiLevelType w:val="multilevel"/>
    <w:tmpl w:val="9EA24B70"/>
    <w:lvl w:ilvl="0">
      <w:start w:val="3"/>
      <w:numFmt w:val="lowerRoman"/>
      <w:lvlText w:val="(%1)"/>
      <w:lvlJc w:val="left"/>
      <w:pPr>
        <w:tabs>
          <w:tab w:val="num" w:pos="1080"/>
        </w:tabs>
        <w:ind w:left="1080" w:hanging="72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3">
    <w:nsid w:val="2FB02B83"/>
    <w:multiLevelType w:val="multilevel"/>
    <w:tmpl w:val="5C1E76C4"/>
    <w:lvl w:ilvl="0">
      <w:start w:val="3"/>
      <w:numFmt w:val="lowerRoman"/>
      <w:lvlText w:val="(%1)"/>
      <w:lvlJc w:val="left"/>
      <w:pPr>
        <w:tabs>
          <w:tab w:val="num" w:pos="1080"/>
        </w:tabs>
        <w:ind w:left="1080" w:hanging="72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4">
    <w:nsid w:val="303F221C"/>
    <w:multiLevelType w:val="multilevel"/>
    <w:tmpl w:val="A560DD02"/>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5">
    <w:nsid w:val="36063BE2"/>
    <w:multiLevelType w:val="multilevel"/>
    <w:tmpl w:val="8294E684"/>
    <w:lvl w:ilvl="0">
      <w:start w:val="1"/>
      <w:numFmt w:val="decimal"/>
      <w:lvlText w:val="(%1)"/>
      <w:lvlJc w:val="left"/>
      <w:pPr>
        <w:tabs>
          <w:tab w:val="num" w:pos="360"/>
        </w:tabs>
        <w:ind w:left="0"/>
      </w:pPr>
      <w:rPr>
        <w:rFonts w:ascii="Times New Roman" w:hAnsi="Times New Roman"/>
        <w:rtl w:val="0"/>
      </w:rPr>
    </w:lvl>
    <w:lvl w:ilvl="1">
      <w:start w:val="1"/>
      <w:numFmt w:val="lowerLetter"/>
      <w:lvlText w:val="%2)"/>
      <w:lvlJc w:val="left"/>
      <w:pPr>
        <w:tabs>
          <w:tab w:val="num" w:pos="1363"/>
        </w:tabs>
        <w:ind w:left="1363" w:hanging="360"/>
      </w:pPr>
      <w:rPr>
        <w:rFonts w:ascii="Times New Roman" w:hAnsi="Times New Roman"/>
        <w:rtl w:val="0"/>
      </w:rPr>
    </w:lvl>
    <w:lvl w:ilvl="2">
      <w:start w:val="1"/>
      <w:numFmt w:val="lowerRoman"/>
      <w:lvlText w:val="%3."/>
      <w:lvlJc w:val="right"/>
      <w:pPr>
        <w:tabs>
          <w:tab w:val="num" w:pos="2083"/>
        </w:tabs>
        <w:ind w:left="2083" w:hanging="180"/>
      </w:pPr>
      <w:rPr>
        <w:rFonts w:ascii="Times New Roman" w:hAnsi="Times New Roman"/>
        <w:rtl w:val="0"/>
      </w:rPr>
    </w:lvl>
    <w:lvl w:ilvl="3">
      <w:start w:val="1"/>
      <w:numFmt w:val="decimal"/>
      <w:lvlText w:val="%4."/>
      <w:lvlJc w:val="left"/>
      <w:pPr>
        <w:tabs>
          <w:tab w:val="num" w:pos="2803"/>
        </w:tabs>
        <w:ind w:left="2803" w:hanging="360"/>
      </w:pPr>
      <w:rPr>
        <w:rFonts w:ascii="Times New Roman" w:hAnsi="Times New Roman"/>
        <w:rtl w:val="0"/>
      </w:rPr>
    </w:lvl>
    <w:lvl w:ilvl="4">
      <w:start w:val="1"/>
      <w:numFmt w:val="lowerLetter"/>
      <w:lvlText w:val="%5."/>
      <w:lvlJc w:val="left"/>
      <w:pPr>
        <w:tabs>
          <w:tab w:val="num" w:pos="3523"/>
        </w:tabs>
        <w:ind w:left="3523" w:hanging="360"/>
      </w:pPr>
      <w:rPr>
        <w:rFonts w:ascii="Times New Roman" w:hAnsi="Times New Roman"/>
        <w:rtl w:val="0"/>
      </w:rPr>
    </w:lvl>
    <w:lvl w:ilvl="5">
      <w:start w:val="1"/>
      <w:numFmt w:val="lowerRoman"/>
      <w:lvlText w:val="%6."/>
      <w:lvlJc w:val="right"/>
      <w:pPr>
        <w:tabs>
          <w:tab w:val="num" w:pos="4243"/>
        </w:tabs>
        <w:ind w:left="4243" w:hanging="180"/>
      </w:pPr>
      <w:rPr>
        <w:rFonts w:ascii="Times New Roman" w:hAnsi="Times New Roman"/>
        <w:rtl w:val="0"/>
      </w:rPr>
    </w:lvl>
    <w:lvl w:ilvl="6">
      <w:start w:val="1"/>
      <w:numFmt w:val="decimal"/>
      <w:lvlText w:val="%7."/>
      <w:lvlJc w:val="left"/>
      <w:pPr>
        <w:tabs>
          <w:tab w:val="num" w:pos="4963"/>
        </w:tabs>
        <w:ind w:left="4963" w:hanging="360"/>
      </w:pPr>
      <w:rPr>
        <w:rFonts w:ascii="Times New Roman" w:hAnsi="Times New Roman"/>
        <w:rtl w:val="0"/>
      </w:rPr>
    </w:lvl>
    <w:lvl w:ilvl="7">
      <w:start w:val="1"/>
      <w:numFmt w:val="lowerLetter"/>
      <w:lvlText w:val="%8."/>
      <w:lvlJc w:val="left"/>
      <w:pPr>
        <w:tabs>
          <w:tab w:val="num" w:pos="5683"/>
        </w:tabs>
        <w:ind w:left="5683" w:hanging="360"/>
      </w:pPr>
      <w:rPr>
        <w:rFonts w:ascii="Times New Roman" w:hAnsi="Times New Roman"/>
        <w:rtl w:val="0"/>
      </w:rPr>
    </w:lvl>
    <w:lvl w:ilvl="8">
      <w:start w:val="1"/>
      <w:numFmt w:val="lowerRoman"/>
      <w:lvlText w:val="%9."/>
      <w:lvlJc w:val="right"/>
      <w:pPr>
        <w:tabs>
          <w:tab w:val="num" w:pos="6403"/>
        </w:tabs>
        <w:ind w:left="6403" w:hanging="180"/>
      </w:pPr>
      <w:rPr>
        <w:rFonts w:ascii="Times New Roman" w:hAnsi="Times New Roman"/>
        <w:rtl w:val="0"/>
      </w:rPr>
    </w:lvl>
  </w:abstractNum>
  <w:abstractNum w:abstractNumId="16">
    <w:nsid w:val="3B1375AB"/>
    <w:multiLevelType w:val="multilevel"/>
    <w:tmpl w:val="5C1E76C4"/>
    <w:lvl w:ilvl="0">
      <w:start w:val="3"/>
      <w:numFmt w:val="lowerRoman"/>
      <w:lvlText w:val="(%1)"/>
      <w:lvlJc w:val="left"/>
      <w:pPr>
        <w:tabs>
          <w:tab w:val="num" w:pos="1080"/>
        </w:tabs>
        <w:ind w:left="1080" w:hanging="72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7">
    <w:nsid w:val="3E091AE5"/>
    <w:multiLevelType w:val="multilevel"/>
    <w:tmpl w:val="72E63E7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8">
    <w:nsid w:val="3FB073F4"/>
    <w:multiLevelType w:val="singleLevel"/>
    <w:tmpl w:val="83607FC4"/>
    <w:lvl w:ilvl="0">
      <w:start w:val="1"/>
      <w:numFmt w:val="lowerLetter"/>
      <w:lvlText w:val="%1)"/>
      <w:lvlJc w:val="left"/>
      <w:pPr>
        <w:tabs>
          <w:tab w:val="num" w:pos="1068"/>
        </w:tabs>
        <w:ind w:left="1068" w:hanging="360"/>
      </w:pPr>
      <w:rPr>
        <w:rFonts w:ascii="Times New Roman" w:hAnsi="Times New Roman"/>
        <w:b w:val="0"/>
        <w:bCs w:val="0"/>
        <w:i w:val="0"/>
        <w:iCs w:val="0"/>
        <w:rtl w:val="0"/>
      </w:rPr>
    </w:lvl>
  </w:abstractNum>
  <w:abstractNum w:abstractNumId="19">
    <w:nsid w:val="3FC80B1B"/>
    <w:multiLevelType w:val="singleLevel"/>
    <w:tmpl w:val="C11CD6E2"/>
    <w:lvl w:ilvl="0">
      <w:start w:val="1"/>
      <w:numFmt w:val="decimal"/>
      <w:pStyle w:val="Par-number1"/>
      <w:lvlText w:val="%1)"/>
      <w:lvlJc w:val="left"/>
      <w:pPr>
        <w:tabs>
          <w:tab w:val="num" w:pos="567"/>
        </w:tabs>
        <w:ind w:left="567" w:hanging="567"/>
      </w:pPr>
      <w:rPr>
        <w:rFonts w:ascii="Times New Roman" w:hAnsi="Times New Roman"/>
        <w:rtl w:val="0"/>
      </w:rPr>
    </w:lvl>
  </w:abstractNum>
  <w:abstractNum w:abstractNumId="20">
    <w:nsid w:val="41312370"/>
    <w:multiLevelType w:val="multilevel"/>
    <w:tmpl w:val="6BC85A86"/>
    <w:lvl w:ilvl="0">
      <w:start w:val="1"/>
      <w:numFmt w:val="lowerLetter"/>
      <w:lvlText w:val="(%1)"/>
      <w:lvlJc w:val="left"/>
      <w:pPr>
        <w:tabs>
          <w:tab w:val="num" w:pos="643"/>
        </w:tabs>
        <w:ind w:left="283"/>
      </w:pPr>
      <w:rPr>
        <w:rFonts w:ascii="Times New Roman" w:hAnsi="Times New Roman"/>
        <w:rtl w:val="0"/>
      </w:rPr>
    </w:lvl>
    <w:lvl w:ilvl="1">
      <w:start w:val="2"/>
      <w:numFmt w:val="decimal"/>
      <w:lvlText w:val="1.%2."/>
      <w:lvlJc w:val="left"/>
      <w:pPr>
        <w:tabs>
          <w:tab w:val="num" w:pos="360"/>
        </w:tabs>
        <w:ind w:left="0"/>
      </w:pPr>
      <w:rPr>
        <w:rFonts w:ascii="Times New Roman" w:hAnsi="Times New Roman"/>
        <w:u w:val="none"/>
        <w:rtl w:val="0"/>
      </w:rPr>
    </w:lvl>
    <w:lvl w:ilvl="2">
      <w:start w:val="1"/>
      <w:numFmt w:val="lowerRoman"/>
      <w:lvlText w:val="%3."/>
      <w:lvlJc w:val="right"/>
      <w:pPr>
        <w:tabs>
          <w:tab w:val="num" w:pos="2443"/>
        </w:tabs>
        <w:ind w:left="2443" w:hanging="180"/>
      </w:pPr>
      <w:rPr>
        <w:rFonts w:ascii="Times New Roman" w:hAnsi="Times New Roman"/>
        <w:rtl w:val="0"/>
      </w:rPr>
    </w:lvl>
    <w:lvl w:ilvl="3">
      <w:start w:val="1"/>
      <w:numFmt w:val="decimal"/>
      <w:lvlText w:val="%4."/>
      <w:lvlJc w:val="left"/>
      <w:pPr>
        <w:tabs>
          <w:tab w:val="num" w:pos="3163"/>
        </w:tabs>
        <w:ind w:left="3163" w:hanging="360"/>
      </w:pPr>
      <w:rPr>
        <w:rFonts w:ascii="Times New Roman" w:hAnsi="Times New Roman"/>
        <w:rtl w:val="0"/>
      </w:rPr>
    </w:lvl>
    <w:lvl w:ilvl="4">
      <w:start w:val="1"/>
      <w:numFmt w:val="lowerLetter"/>
      <w:lvlText w:val="%5."/>
      <w:lvlJc w:val="left"/>
      <w:pPr>
        <w:tabs>
          <w:tab w:val="num" w:pos="3883"/>
        </w:tabs>
        <w:ind w:left="3883" w:hanging="360"/>
      </w:pPr>
      <w:rPr>
        <w:rFonts w:ascii="Times New Roman" w:hAnsi="Times New Roman"/>
        <w:rtl w:val="0"/>
      </w:rPr>
    </w:lvl>
    <w:lvl w:ilvl="5">
      <w:start w:val="1"/>
      <w:numFmt w:val="lowerRoman"/>
      <w:lvlText w:val="%6."/>
      <w:lvlJc w:val="right"/>
      <w:pPr>
        <w:tabs>
          <w:tab w:val="num" w:pos="4603"/>
        </w:tabs>
        <w:ind w:left="4603" w:hanging="180"/>
      </w:pPr>
      <w:rPr>
        <w:rFonts w:ascii="Times New Roman" w:hAnsi="Times New Roman"/>
        <w:rtl w:val="0"/>
      </w:rPr>
    </w:lvl>
    <w:lvl w:ilvl="6">
      <w:start w:val="1"/>
      <w:numFmt w:val="decimal"/>
      <w:lvlText w:val="%7."/>
      <w:lvlJc w:val="left"/>
      <w:pPr>
        <w:tabs>
          <w:tab w:val="num" w:pos="5323"/>
        </w:tabs>
        <w:ind w:left="5323" w:hanging="360"/>
      </w:pPr>
      <w:rPr>
        <w:rFonts w:ascii="Times New Roman" w:hAnsi="Times New Roman"/>
        <w:rtl w:val="0"/>
      </w:rPr>
    </w:lvl>
    <w:lvl w:ilvl="7">
      <w:start w:val="1"/>
      <w:numFmt w:val="lowerLetter"/>
      <w:lvlText w:val="%8."/>
      <w:lvlJc w:val="left"/>
      <w:pPr>
        <w:tabs>
          <w:tab w:val="num" w:pos="6043"/>
        </w:tabs>
        <w:ind w:left="6043" w:hanging="360"/>
      </w:pPr>
      <w:rPr>
        <w:rFonts w:ascii="Times New Roman" w:hAnsi="Times New Roman"/>
        <w:rtl w:val="0"/>
      </w:rPr>
    </w:lvl>
    <w:lvl w:ilvl="8">
      <w:start w:val="1"/>
      <w:numFmt w:val="lowerRoman"/>
      <w:lvlText w:val="%9."/>
      <w:lvlJc w:val="right"/>
      <w:pPr>
        <w:tabs>
          <w:tab w:val="num" w:pos="6763"/>
        </w:tabs>
        <w:ind w:left="6763" w:hanging="180"/>
      </w:pPr>
      <w:rPr>
        <w:rFonts w:ascii="Times New Roman" w:hAnsi="Times New Roman"/>
        <w:rtl w:val="0"/>
      </w:rPr>
    </w:lvl>
  </w:abstractNum>
  <w:abstractNum w:abstractNumId="21">
    <w:nsid w:val="4C5E08E2"/>
    <w:multiLevelType w:val="multilevel"/>
    <w:tmpl w:val="73700942"/>
    <w:lvl w:ilvl="0">
      <w:start w:val="3"/>
      <w:numFmt w:val="decimal"/>
      <w:lvlText w:val="%1."/>
      <w:lvlJc w:val="left"/>
      <w:pPr>
        <w:tabs>
          <w:tab w:val="num" w:pos="930"/>
        </w:tabs>
        <w:ind w:left="930" w:hanging="57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2">
    <w:nsid w:val="50A520DD"/>
    <w:multiLevelType w:val="singleLevel"/>
    <w:tmpl w:val="83607FC4"/>
    <w:lvl w:ilvl="0">
      <w:start w:val="1"/>
      <w:numFmt w:val="lowerLetter"/>
      <w:lvlText w:val="%1)"/>
      <w:lvlJc w:val="left"/>
      <w:pPr>
        <w:tabs>
          <w:tab w:val="num" w:pos="1068"/>
        </w:tabs>
        <w:ind w:left="1068" w:hanging="360"/>
      </w:pPr>
      <w:rPr>
        <w:rFonts w:ascii="Times New Roman" w:hAnsi="Times New Roman"/>
        <w:b w:val="0"/>
        <w:bCs w:val="0"/>
        <w:i w:val="0"/>
        <w:iCs w:val="0"/>
        <w:rtl w:val="0"/>
      </w:rPr>
    </w:lvl>
  </w:abstractNum>
  <w:abstractNum w:abstractNumId="23">
    <w:nsid w:val="54465872"/>
    <w:multiLevelType w:val="multilevel"/>
    <w:tmpl w:val="AE56A638"/>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4">
    <w:nsid w:val="5DBF2910"/>
    <w:multiLevelType w:val="singleLevel"/>
    <w:tmpl w:val="2594E2A6"/>
    <w:lvl w:ilvl="0">
      <w:start w:val="1"/>
      <w:numFmt w:val="lowerLetter"/>
      <w:lvlText w:val="%1)"/>
      <w:legacy w:legacy="1" w:legacySpace="120" w:legacyIndent="363"/>
      <w:lvlJc w:val="left"/>
      <w:pPr>
        <w:ind w:left="1066" w:hanging="363"/>
      </w:pPr>
      <w:rPr>
        <w:rFonts w:ascii="Times New Roman" w:hAnsi="Times New Roman"/>
        <w:rtl w:val="0"/>
      </w:rPr>
    </w:lvl>
  </w:abstractNum>
  <w:abstractNum w:abstractNumId="25">
    <w:nsid w:val="5DD16230"/>
    <w:multiLevelType w:val="singleLevel"/>
    <w:tmpl w:val="1F2AE6CC"/>
    <w:lvl w:ilvl="0">
      <w:start w:val="1"/>
      <w:numFmt w:val="lowerLetter"/>
      <w:lvlText w:val="%1) "/>
      <w:legacy w:legacy="1" w:legacySpace="0" w:legacyIndent="283"/>
      <w:lvlJc w:val="left"/>
      <w:pPr>
        <w:ind w:left="568" w:hanging="283"/>
      </w:pPr>
      <w:rPr>
        <w:rFonts w:ascii="Times New Roman" w:hAnsi="Times New Roman"/>
        <w:b w:val="0"/>
        <w:bCs w:val="0"/>
        <w:i w:val="0"/>
        <w:iCs w:val="0"/>
        <w:sz w:val="24"/>
        <w:szCs w:val="24"/>
        <w:rtl w:val="0"/>
      </w:rPr>
    </w:lvl>
  </w:abstractNum>
  <w:abstractNum w:abstractNumId="26">
    <w:nsid w:val="615413B1"/>
    <w:multiLevelType w:val="multilevel"/>
    <w:tmpl w:val="75F6033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7">
    <w:nsid w:val="626B011E"/>
    <w:multiLevelType w:val="multilevel"/>
    <w:tmpl w:val="DB6C49A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8">
    <w:nsid w:val="68F967BD"/>
    <w:multiLevelType w:val="multilevel"/>
    <w:tmpl w:val="262E1EBC"/>
    <w:lvl w:ilvl="0">
      <w:start w:val="1"/>
      <w:numFmt w:val="lowerLetter"/>
      <w:lvlText w:val="%1)"/>
      <w:lvlJc w:val="left"/>
      <w:pPr>
        <w:tabs>
          <w:tab w:val="num" w:pos="360"/>
        </w:tabs>
        <w:ind w:left="340" w:hanging="340"/>
      </w:pPr>
      <w:rPr>
        <w:rFonts w:ascii="Times New Roman" w:hAnsi="Times New Roman"/>
        <w:rtl w:val="0"/>
      </w:rPr>
    </w:lvl>
    <w:lvl w:ilvl="1">
      <w:start w:val="1"/>
      <w:numFmt w:val="lowerLetter"/>
      <w:lvlText w:val="%2."/>
      <w:lvlJc w:val="left"/>
      <w:pPr>
        <w:tabs>
          <w:tab w:val="num" w:pos="1156"/>
        </w:tabs>
        <w:ind w:left="1156" w:hanging="360"/>
      </w:pPr>
      <w:rPr>
        <w:rFonts w:ascii="Times New Roman" w:hAnsi="Times New Roman"/>
        <w:rtl w:val="0"/>
      </w:rPr>
    </w:lvl>
    <w:lvl w:ilvl="2">
      <w:start w:val="1"/>
      <w:numFmt w:val="lowerRoman"/>
      <w:lvlText w:val="%3."/>
      <w:lvlJc w:val="right"/>
      <w:pPr>
        <w:tabs>
          <w:tab w:val="num" w:pos="1876"/>
        </w:tabs>
        <w:ind w:left="1876" w:hanging="180"/>
      </w:pPr>
      <w:rPr>
        <w:rFonts w:ascii="Times New Roman" w:hAnsi="Times New Roman"/>
        <w:rtl w:val="0"/>
      </w:rPr>
    </w:lvl>
    <w:lvl w:ilvl="3">
      <w:start w:val="1"/>
      <w:numFmt w:val="decimal"/>
      <w:lvlText w:val="%4."/>
      <w:lvlJc w:val="left"/>
      <w:pPr>
        <w:tabs>
          <w:tab w:val="num" w:pos="2596"/>
        </w:tabs>
        <w:ind w:left="2596" w:hanging="360"/>
      </w:pPr>
      <w:rPr>
        <w:rFonts w:ascii="Times New Roman" w:hAnsi="Times New Roman"/>
        <w:rtl w:val="0"/>
      </w:rPr>
    </w:lvl>
    <w:lvl w:ilvl="4">
      <w:start w:val="1"/>
      <w:numFmt w:val="lowerLetter"/>
      <w:lvlText w:val="%5."/>
      <w:lvlJc w:val="left"/>
      <w:pPr>
        <w:tabs>
          <w:tab w:val="num" w:pos="3316"/>
        </w:tabs>
        <w:ind w:left="3316" w:hanging="360"/>
      </w:pPr>
      <w:rPr>
        <w:rFonts w:ascii="Times New Roman" w:hAnsi="Times New Roman"/>
        <w:rtl w:val="0"/>
      </w:rPr>
    </w:lvl>
    <w:lvl w:ilvl="5">
      <w:start w:val="1"/>
      <w:numFmt w:val="lowerRoman"/>
      <w:lvlText w:val="%6."/>
      <w:lvlJc w:val="right"/>
      <w:pPr>
        <w:tabs>
          <w:tab w:val="num" w:pos="4036"/>
        </w:tabs>
        <w:ind w:left="4036" w:hanging="180"/>
      </w:pPr>
      <w:rPr>
        <w:rFonts w:ascii="Times New Roman" w:hAnsi="Times New Roman"/>
        <w:rtl w:val="0"/>
      </w:rPr>
    </w:lvl>
    <w:lvl w:ilvl="6">
      <w:start w:val="1"/>
      <w:numFmt w:val="decimal"/>
      <w:lvlText w:val="%7."/>
      <w:lvlJc w:val="left"/>
      <w:pPr>
        <w:tabs>
          <w:tab w:val="num" w:pos="4756"/>
        </w:tabs>
        <w:ind w:left="4756" w:hanging="360"/>
      </w:pPr>
      <w:rPr>
        <w:rFonts w:ascii="Times New Roman" w:hAnsi="Times New Roman"/>
        <w:rtl w:val="0"/>
      </w:rPr>
    </w:lvl>
    <w:lvl w:ilvl="7">
      <w:start w:val="1"/>
      <w:numFmt w:val="lowerLetter"/>
      <w:lvlText w:val="%8."/>
      <w:lvlJc w:val="left"/>
      <w:pPr>
        <w:tabs>
          <w:tab w:val="num" w:pos="5476"/>
        </w:tabs>
        <w:ind w:left="5476" w:hanging="360"/>
      </w:pPr>
      <w:rPr>
        <w:rFonts w:ascii="Times New Roman" w:hAnsi="Times New Roman"/>
        <w:rtl w:val="0"/>
      </w:rPr>
    </w:lvl>
    <w:lvl w:ilvl="8">
      <w:start w:val="1"/>
      <w:numFmt w:val="lowerRoman"/>
      <w:lvlText w:val="%9."/>
      <w:lvlJc w:val="right"/>
      <w:pPr>
        <w:tabs>
          <w:tab w:val="num" w:pos="6196"/>
        </w:tabs>
        <w:ind w:left="6196" w:hanging="180"/>
      </w:pPr>
      <w:rPr>
        <w:rFonts w:ascii="Times New Roman" w:hAnsi="Times New Roman"/>
        <w:rtl w:val="0"/>
      </w:rPr>
    </w:lvl>
  </w:abstractNum>
  <w:abstractNum w:abstractNumId="29">
    <w:nsid w:val="6C887A30"/>
    <w:multiLevelType w:val="multilevel"/>
    <w:tmpl w:val="9DD6C2D0"/>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0">
    <w:nsid w:val="6F600595"/>
    <w:multiLevelType w:val="multilevel"/>
    <w:tmpl w:val="AC302D36"/>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1">
    <w:nsid w:val="72D2316D"/>
    <w:multiLevelType w:val="multilevel"/>
    <w:tmpl w:val="9C72700C"/>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2">
    <w:nsid w:val="73DB620E"/>
    <w:multiLevelType w:val="multilevel"/>
    <w:tmpl w:val="E84A16E6"/>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3">
    <w:nsid w:val="751A25E9"/>
    <w:multiLevelType w:val="multilevel"/>
    <w:tmpl w:val="98522BD0"/>
    <w:lvl w:ilvl="0">
      <w:start w:val="1"/>
      <w:numFmt w:val="lowerLetter"/>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560"/>
        </w:tabs>
        <w:ind w:left="1560" w:hanging="480"/>
      </w:pPr>
      <w:rPr>
        <w:rFonts w:ascii="Times New Roman" w:hAnsi="Times New Roman"/>
        <w:rtl w:val="0"/>
      </w:rPr>
    </w:lvl>
    <w:lvl w:ilvl="2">
      <w:start w:val="1"/>
      <w:numFmt w:val="lowerLetter"/>
      <w:lvlText w:val="%3)"/>
      <w:lvlJc w:val="left"/>
      <w:pPr>
        <w:tabs>
          <w:tab w:val="num" w:pos="2340"/>
        </w:tabs>
        <w:ind w:left="2340" w:hanging="36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4">
    <w:nsid w:val="780071ED"/>
    <w:multiLevelType w:val="multilevel"/>
    <w:tmpl w:val="027EF680"/>
    <w:lvl w:ilvl="0">
      <w:start w:val="3"/>
      <w:numFmt w:val="lowerRoman"/>
      <w:lvlText w:val="(%1)"/>
      <w:lvlJc w:val="left"/>
      <w:pPr>
        <w:tabs>
          <w:tab w:val="num" w:pos="1080"/>
        </w:tabs>
        <w:ind w:left="1080" w:hanging="72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5">
    <w:nsid w:val="7A7E17A7"/>
    <w:multiLevelType w:val="singleLevel"/>
    <w:tmpl w:val="1F2AE6CC"/>
    <w:lvl w:ilvl="0">
      <w:start w:val="1"/>
      <w:numFmt w:val="lowerLetter"/>
      <w:lvlText w:val="%1) "/>
      <w:legacy w:legacy="1" w:legacySpace="0" w:legacyIndent="283"/>
      <w:lvlJc w:val="left"/>
      <w:pPr>
        <w:ind w:left="568" w:hanging="283"/>
      </w:pPr>
      <w:rPr>
        <w:rFonts w:ascii="Times New Roman" w:hAnsi="Times New Roman"/>
        <w:b w:val="0"/>
        <w:bCs w:val="0"/>
        <w:i w:val="0"/>
        <w:iCs w:val="0"/>
        <w:sz w:val="24"/>
        <w:szCs w:val="24"/>
        <w:rtl w:val="0"/>
      </w:rPr>
    </w:lvl>
  </w:abstractNum>
  <w:abstractNum w:abstractNumId="36">
    <w:nsid w:val="7A7E17A8"/>
    <w:multiLevelType w:val="multilevel"/>
    <w:tmpl w:val="7A7E17A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7">
    <w:nsid w:val="7A7E17A9"/>
    <w:multiLevelType w:val="multilevel"/>
    <w:tmpl w:val="7A7E17A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8">
    <w:nsid w:val="7A7E17AA"/>
    <w:multiLevelType w:val="multilevel"/>
    <w:tmpl w:val="7A7E17A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9">
    <w:nsid w:val="7A7E17AB"/>
    <w:multiLevelType w:val="multilevel"/>
    <w:tmpl w:val="7A7E17A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0">
    <w:nsid w:val="7A7E17AC"/>
    <w:multiLevelType w:val="multilevel"/>
    <w:tmpl w:val="7A7E17A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A7E17AD"/>
    <w:multiLevelType w:val="multilevel"/>
    <w:tmpl w:val="7A7E17A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A7E17AE"/>
    <w:multiLevelType w:val="multilevel"/>
    <w:tmpl w:val="7A7E17AE"/>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A7E17AF"/>
    <w:multiLevelType w:val="multilevel"/>
    <w:tmpl w:val="7A7E17A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A7E17B0"/>
    <w:multiLevelType w:val="multilevel"/>
    <w:tmpl w:val="7A7E17B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A7E17B1"/>
    <w:multiLevelType w:val="multilevel"/>
    <w:tmpl w:val="7A7E17B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A7E17B2"/>
    <w:multiLevelType w:val="multilevel"/>
    <w:tmpl w:val="7A7E17B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A7E17B3"/>
    <w:multiLevelType w:val="multilevel"/>
    <w:tmpl w:val="7A7E17B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A7E17B4"/>
    <w:multiLevelType w:val="multilevel"/>
    <w:tmpl w:val="7A7E17B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A7E17B5"/>
    <w:multiLevelType w:val="multilevel"/>
    <w:tmpl w:val="7A7E17B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A7E17B6"/>
    <w:multiLevelType w:val="multilevel"/>
    <w:tmpl w:val="7A7E17B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A7E17B7"/>
    <w:multiLevelType w:val="multilevel"/>
    <w:tmpl w:val="7A7E17B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A7E17B8"/>
    <w:multiLevelType w:val="multilevel"/>
    <w:tmpl w:val="7A7E17B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A7E17B9"/>
    <w:multiLevelType w:val="multilevel"/>
    <w:tmpl w:val="7A7E17B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A7E17BA"/>
    <w:multiLevelType w:val="multilevel"/>
    <w:tmpl w:val="7A7E17B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A7E17BB"/>
    <w:multiLevelType w:val="multilevel"/>
    <w:tmpl w:val="7A7E17B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A7E17BC"/>
    <w:multiLevelType w:val="multilevel"/>
    <w:tmpl w:val="7A7E17B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20"/>
  </w:num>
  <w:num w:numId="2">
    <w:abstractNumId w:val="6"/>
  </w:num>
  <w:num w:numId="3">
    <w:abstractNumId w:val="25"/>
  </w:num>
  <w:num w:numId="4">
    <w:abstractNumId w:val="35"/>
  </w:num>
  <w:num w:numId="5">
    <w:abstractNumId w:val="7"/>
  </w:num>
  <w:num w:numId="6">
    <w:abstractNumId w:val="11"/>
  </w:num>
  <w:num w:numId="7">
    <w:abstractNumId w:val="11"/>
    <w:lvlOverride w:ilvl="0">
      <w:lvl w:ilvl="0">
        <w:start w:val="7"/>
        <w:numFmt w:val="lowerLetter"/>
        <w:lvlText w:val="%1) "/>
        <w:legacy w:legacy="1" w:legacySpace="0" w:legacyIndent="283"/>
        <w:lvlJc w:val="left"/>
        <w:pPr>
          <w:ind w:left="688" w:hanging="283"/>
        </w:pPr>
        <w:rPr>
          <w:rFonts w:ascii="Times New Roman" w:hAnsi="Times New Roman"/>
          <w:b w:val="0"/>
          <w:bCs w:val="0"/>
          <w:i w:val="0"/>
          <w:iCs w:val="0"/>
          <w:sz w:val="24"/>
          <w:szCs w:val="24"/>
          <w:rtl w:val="0"/>
        </w:rPr>
      </w:lvl>
    </w:lvlOverride>
  </w:num>
  <w:num w:numId="8">
    <w:abstractNumId w:val="1"/>
  </w:num>
  <w:num w:numId="9">
    <w:abstractNumId w:val="24"/>
  </w:num>
  <w:num w:numId="10">
    <w:abstractNumId w:val="4"/>
  </w:num>
  <w:num w:numId="11">
    <w:abstractNumId w:val="27"/>
  </w:num>
  <w:num w:numId="12">
    <w:abstractNumId w:val="9"/>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16"/>
  </w:num>
  <w:num w:numId="16">
    <w:abstractNumId w:val="13"/>
  </w:num>
  <w:num w:numId="17">
    <w:abstractNumId w:val="34"/>
  </w:num>
  <w:num w:numId="18">
    <w:abstractNumId w:val="12"/>
  </w:num>
  <w:num w:numId="19">
    <w:abstractNumId w:val="14"/>
  </w:num>
  <w:num w:numId="20">
    <w:abstractNumId w:val="17"/>
  </w:num>
  <w:num w:numId="21">
    <w:abstractNumId w:val="8"/>
  </w:num>
  <w:num w:numId="22">
    <w:abstractNumId w:val="5"/>
  </w:num>
  <w:num w:numId="23">
    <w:abstractNumId w:val="10"/>
  </w:num>
  <w:num w:numId="24">
    <w:abstractNumId w:val="26"/>
  </w:num>
  <w:num w:numId="25">
    <w:abstractNumId w:val="21"/>
  </w:num>
  <w:num w:numId="26">
    <w:abstractNumId w:val="2"/>
  </w:num>
  <w:num w:numId="27">
    <w:abstractNumId w:val="23"/>
  </w:num>
  <w:num w:numId="28">
    <w:abstractNumId w:val="19"/>
  </w:num>
  <w:num w:numId="29">
    <w:abstractNumId w:val="28"/>
  </w:num>
  <w:num w:numId="30">
    <w:abstractNumId w:val="32"/>
  </w:num>
  <w:num w:numId="31">
    <w:abstractNumId w:val="3"/>
  </w:num>
  <w:num w:numId="32">
    <w:abstractNumId w:val="31"/>
  </w:num>
  <w:num w:numId="33">
    <w:abstractNumId w:val="29"/>
  </w:num>
  <w:num w:numId="34">
    <w:abstractNumId w:val="18"/>
  </w:num>
  <w:num w:numId="35">
    <w:abstractNumId w:val="33"/>
  </w:num>
  <w:num w:numId="36">
    <w:abstractNumId w:val="0"/>
  </w:num>
  <w:num w:numId="37">
    <w:abstractNumId w:val="22"/>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0"/>
  <w:displayVerticalDrawingGridEvery w:val="3"/>
  <w:characterSpacingControl w:val="compressPunctuation"/>
  <w:footnotePr>
    <w:footnote w:id="0"/>
    <w:footnote w:id="1"/>
  </w:footnotePr>
  <w:compat>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783A1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rFonts w:ascii="Times New Roman" w:hAnsi="Times New Roman"/>
      <w:sz w:val="20"/>
      <w:szCs w:val="20"/>
      <w:rtl w:val="0"/>
      <w:lang w:val="sk-SK" w:eastAsia="cs-CZ" w:bidi="ar-SA"/>
    </w:rPr>
  </w:style>
  <w:style w:type="paragraph" w:styleId="Heading1">
    <w:name w:val="heading 1"/>
    <w:basedOn w:val="Normal"/>
    <w:next w:val="Normal"/>
    <w:uiPriority w:val="99"/>
    <w:pPr>
      <w:keepNext/>
      <w:jc w:val="center"/>
      <w:outlineLvl w:val="0"/>
    </w:pPr>
    <w:rPr>
      <w:b/>
      <w:bCs/>
    </w:rPr>
  </w:style>
  <w:style w:type="paragraph" w:styleId="Heading2">
    <w:name w:val="heading 2"/>
    <w:basedOn w:val="Normal"/>
    <w:next w:val="Normal"/>
    <w:uiPriority w:val="99"/>
    <w:pPr>
      <w:keepNext/>
      <w:jc w:val="left"/>
      <w:outlineLvl w:val="1"/>
    </w:pPr>
    <w:rPr>
      <w:b/>
      <w:bCs/>
    </w:rPr>
  </w:style>
  <w:style w:type="paragraph" w:styleId="Heading3">
    <w:name w:val="heading 3"/>
    <w:basedOn w:val="Normal"/>
    <w:next w:val="Normal"/>
    <w:uiPriority w:val="99"/>
    <w:pPr>
      <w:keepNext/>
      <w:ind w:left="113" w:right="113"/>
      <w:jc w:val="center"/>
      <w:outlineLvl w:val="2"/>
    </w:pPr>
    <w:rPr>
      <w:b/>
      <w:bCs/>
    </w:rPr>
  </w:style>
  <w:style w:type="paragraph" w:styleId="Heading4">
    <w:name w:val="heading 4"/>
    <w:basedOn w:val="Normal"/>
    <w:next w:val="Normal"/>
    <w:uiPriority w:val="99"/>
    <w:pPr>
      <w:keepNext/>
      <w:ind w:left="113" w:right="-211"/>
      <w:jc w:val="center"/>
      <w:outlineLvl w:val="3"/>
    </w:pPr>
    <w:rPr>
      <w:b/>
      <w:bCs/>
      <w:lang w:val="cs-CZ"/>
    </w:rPr>
  </w:style>
  <w:style w:type="paragraph" w:styleId="Heading7">
    <w:name w:val="heading 7"/>
    <w:basedOn w:val="Normal"/>
    <w:next w:val="Normal"/>
    <w:uiPriority w:val="99"/>
    <w:pPr>
      <w:keepNext/>
      <w:numPr>
        <w:ilvl w:val="12"/>
      </w:numPr>
      <w:jc w:val="left"/>
      <w:outlineLvl w:val="6"/>
    </w:pPr>
    <w:rPr>
      <w:i/>
      <w:iCs/>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alloonText">
    <w:name w:val="Balloon Text"/>
    <w:basedOn w:val="Normal"/>
    <w:uiPriority w:val="99"/>
    <w:pPr>
      <w:jc w:val="left"/>
    </w:pPr>
    <w:rPr>
      <w:rFonts w:ascii="Tahoma" w:hAnsi="Tahoma" w:cs="Tahoma"/>
      <w:sz w:val="16"/>
      <w:szCs w:val="16"/>
    </w:rPr>
  </w:style>
  <w:style w:type="paragraph" w:styleId="Header">
    <w:name w:val="header"/>
    <w:basedOn w:val="Normal"/>
    <w:uiPriority w:val="99"/>
    <w:pPr>
      <w:tabs>
        <w:tab w:val="center" w:pos="4536"/>
        <w:tab w:val="right" w:pos="9072"/>
      </w:tabs>
      <w:jc w:val="left"/>
    </w:pPr>
  </w:style>
  <w:style w:type="paragraph" w:styleId="Footer">
    <w:name w:val="footer"/>
    <w:basedOn w:val="Normal"/>
    <w:uiPriority w:val="99"/>
    <w:pPr>
      <w:tabs>
        <w:tab w:val="center" w:pos="4536"/>
        <w:tab w:val="right" w:pos="9072"/>
      </w:tabs>
      <w:jc w:val="left"/>
    </w:pPr>
  </w:style>
  <w:style w:type="paragraph" w:styleId="BodyText">
    <w:name w:val="Body Text"/>
    <w:basedOn w:val="Normal"/>
    <w:uiPriority w:val="99"/>
    <w:pPr>
      <w:spacing w:line="360" w:lineRule="auto"/>
      <w:jc w:val="both"/>
    </w:pPr>
    <w:rPr>
      <w:sz w:val="24"/>
      <w:szCs w:val="24"/>
    </w:rPr>
  </w:style>
  <w:style w:type="paragraph" w:styleId="BodyText2">
    <w:name w:val="Body Text 2"/>
    <w:basedOn w:val="Normal"/>
    <w:uiPriority w:val="99"/>
    <w:pPr>
      <w:jc w:val="both"/>
    </w:pPr>
    <w:rPr>
      <w:b/>
      <w:bCs/>
    </w:rPr>
  </w:style>
  <w:style w:type="paragraph" w:styleId="BodyTextIndent2">
    <w:name w:val="Body Text Indent 2"/>
    <w:basedOn w:val="Normal"/>
    <w:uiPriority w:val="99"/>
    <w:pPr>
      <w:ind w:firstLine="16"/>
      <w:jc w:val="both"/>
    </w:pPr>
  </w:style>
  <w:style w:type="paragraph" w:styleId="BodyTextIndent">
    <w:name w:val="Body Text Indent"/>
    <w:basedOn w:val="Normal"/>
    <w:uiPriority w:val="99"/>
    <w:pPr>
      <w:ind w:left="214" w:hanging="214"/>
      <w:jc w:val="both"/>
    </w:pPr>
  </w:style>
  <w:style w:type="paragraph" w:styleId="BodyText3">
    <w:name w:val="Body Text 3"/>
    <w:basedOn w:val="Normal"/>
    <w:uiPriority w:val="99"/>
    <w:pPr>
      <w:jc w:val="center"/>
    </w:pPr>
    <w:rPr>
      <w:b/>
      <w:bCs/>
      <w:sz w:val="22"/>
      <w:szCs w:val="22"/>
    </w:rPr>
  </w:style>
  <w:style w:type="character" w:styleId="PageNumber">
    <w:name w:val="page number"/>
    <w:basedOn w:val="DefaultParagraphFont"/>
    <w:uiPriority w:val="99"/>
    <w:rPr>
      <w:rFonts w:ascii="Times New Roman" w:hAnsi="Times New Roman"/>
      <w:rtl w:val="0"/>
    </w:rPr>
  </w:style>
  <w:style w:type="paragraph" w:styleId="BodyTextIndent3">
    <w:name w:val="Body Text Indent 3"/>
    <w:basedOn w:val="Normal"/>
    <w:uiPriority w:val="99"/>
    <w:pPr>
      <w:numPr>
        <w:ilvl w:val="12"/>
      </w:numPr>
      <w:ind w:hanging="70"/>
      <w:jc w:val="both"/>
    </w:pPr>
  </w:style>
  <w:style w:type="paragraph" w:styleId="FootnoteText">
    <w:name w:val="footnote text"/>
    <w:basedOn w:val="Normal"/>
    <w:uiPriority w:val="99"/>
    <w:pPr>
      <w:jc w:val="left"/>
    </w:pPr>
  </w:style>
  <w:style w:type="character" w:styleId="FootnoteReference">
    <w:name w:val="footnote reference"/>
    <w:basedOn w:val="DefaultParagraphFont"/>
    <w:uiPriority w:val="99"/>
    <w:rPr>
      <w:rFonts w:ascii="Times New Roman" w:hAnsi="Times New Roman"/>
      <w:vertAlign w:val="superscript"/>
      <w:rtl w:val="0"/>
    </w:rPr>
  </w:style>
  <w:style w:type="paragraph" w:styleId="BlockText">
    <w:name w:val="Block Text"/>
    <w:basedOn w:val="Normal"/>
    <w:uiPriority w:val="99"/>
    <w:pPr>
      <w:ind w:left="113" w:right="113"/>
      <w:jc w:val="left"/>
    </w:pPr>
  </w:style>
  <w:style w:type="paragraph" w:styleId="Title">
    <w:name w:val="Title"/>
    <w:basedOn w:val="Normal"/>
    <w:uiPriority w:val="99"/>
    <w:pPr>
      <w:jc w:val="center"/>
    </w:pPr>
    <w:rPr>
      <w:b/>
      <w:bCs/>
    </w:rPr>
  </w:style>
  <w:style w:type="paragraph" w:styleId="EnvelopeReturn">
    <w:name w:val="envelope return"/>
    <w:basedOn w:val="Normal"/>
    <w:uiPriority w:val="99"/>
    <w:pPr>
      <w:jc w:val="left"/>
    </w:pPr>
    <w:rPr>
      <w:sz w:val="24"/>
      <w:szCs w:val="24"/>
    </w:rPr>
  </w:style>
  <w:style w:type="character" w:customStyle="1" w:styleId="tw4winMark">
    <w:name w:val="tw4winMark"/>
    <w:uiPriority w:val="99"/>
    <w:rPr>
      <w:rFonts w:ascii="Courier New" w:hAnsi="Courier New"/>
      <w:vanish/>
      <w:color w:val="800080"/>
      <w:vertAlign w:val="subscript"/>
      <w:rtl w:val="0"/>
    </w:rPr>
  </w:style>
  <w:style w:type="character" w:customStyle="1" w:styleId="tw4winInternal">
    <w:name w:val="tw4winInternal"/>
    <w:uiPriority w:val="99"/>
    <w:rPr>
      <w:rFonts w:ascii="Courier New" w:hAnsi="Courier New"/>
      <w:noProof/>
      <w:color w:val="FF0000"/>
      <w:rtl w:val="0"/>
    </w:rPr>
  </w:style>
  <w:style w:type="paragraph" w:customStyle="1" w:styleId="Par-number1">
    <w:name w:val="Par-number 1)"/>
    <w:basedOn w:val="Normal"/>
    <w:next w:val="Normal"/>
    <w:uiPriority w:val="99"/>
    <w:pPr>
      <w:numPr>
        <w:numId w:val="28"/>
      </w:numPr>
      <w:tabs>
        <w:tab w:val="left" w:pos="567"/>
      </w:tabs>
      <w:spacing w:line="360" w:lineRule="auto"/>
      <w:ind w:left="567" w:hanging="567"/>
      <w:jc w:val="left"/>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17</Pages>
  <Words>4892</Words>
  <Characters>28865</Characters>
  <Application>Microsoft Office Word</Application>
  <DocSecurity>0</DocSecurity>
  <Lines>0</Lines>
  <Paragraphs>0</Paragraphs>
  <ScaleCrop>false</ScaleCrop>
  <Company>Bratislava</Company>
  <LinksUpToDate>false</LinksUpToDate>
  <CharactersWithSpaces>33690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Právny predpis EÚ_</dc:title>
  <dc:creator>UCOV-Lab.</dc:creator>
  <cp:lastModifiedBy>Viera Martincová</cp:lastModifiedBy>
  <cp:revision>2</cp:revision>
  <cp:lastPrinted>2006-06-28T14:17:00Z</cp:lastPrinted>
  <dcterms:created xsi:type="dcterms:W3CDTF">2007-04-12T08:43:00Z</dcterms:created>
  <dcterms:modified xsi:type="dcterms:W3CDTF">2007-04-12T08:43:00Z</dcterms:modified>
</cp:coreProperties>
</file>