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06453">
      <w:pPr>
        <w:pStyle w:val="Title"/>
        <w:rPr>
          <w:rStyle w:val="DefaultParagraphFont"/>
          <w:rFonts w:ascii="Times New Roman" w:hAnsi="Times New Roman" w:cs="Times New Roman"/>
          <w:sz w:val="24"/>
          <w:szCs w:val="24"/>
        </w:rPr>
      </w:pPr>
      <w:r>
        <w:rPr>
          <w:rStyle w:val="DefaultParagraphFont"/>
          <w:rFonts w:ascii="Times New Roman" w:hAnsi="Times New Roman" w:cs="Times New Roman"/>
          <w:sz w:val="24"/>
          <w:szCs w:val="24"/>
        </w:rPr>
        <w:t xml:space="preserve">TABUĽKA ZHODY </w:t>
      </w:r>
    </w:p>
    <w:p w:rsidR="00806453">
      <w:pPr>
        <w:jc w:val="center"/>
        <w:rPr>
          <w:rStyle w:val="DefaultParagraphFont"/>
          <w:rFonts w:ascii="Times New Roman" w:hAnsi="Times New Roman" w:cs="Times New Roman"/>
          <w:b/>
          <w:sz w:val="24"/>
          <w:szCs w:val="24"/>
        </w:rPr>
      </w:pPr>
      <w:r>
        <w:rPr>
          <w:rStyle w:val="DefaultParagraphFont"/>
          <w:rFonts w:ascii="Times New Roman" w:hAnsi="Times New Roman" w:cs="Times New Roman"/>
          <w:b/>
          <w:sz w:val="24"/>
          <w:szCs w:val="24"/>
        </w:rPr>
        <w:t>k návrhu zákona o ochrane, podpore a rozvoji verejného zdravia s právom Európskych spoločenstiev a právom Európskej únie</w:t>
      </w:r>
    </w:p>
    <w:p w:rsidR="00806453">
      <w:pPr>
        <w:jc w:val="center"/>
        <w:rPr>
          <w:rStyle w:val="DefaultParagraphFont"/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4"/>
        <w:gridCol w:w="7554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Heading1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Právny akt ES/EÚ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Heading1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Právne predpisy Slovenskej republiky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6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Smernica Európskeho parlamentu a Rady 2003/18/ES z 27. marca 2003, ktorou sa mení a dopĺňa smernica Rady 83/477/EHS o ochrane pracovníkov pred rizikami z vystavenia účinkom azbestu pri práci</w:t>
            </w:r>
          </w:p>
        </w:tc>
        <w:tc>
          <w:tcPr>
            <w:tcW w:w="7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Nadpis2CharCharCharCharCharCha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Návrh zákona o ochrane, podpore a rozvoji verejného zdravia</w:t>
            </w:r>
          </w:p>
          <w:p w:rsidR="00806453">
            <w:pP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06453">
      <w:pPr>
        <w:jc w:val="center"/>
        <w:rPr>
          <w:rStyle w:val="DefaultParagraphFont"/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194"/>
        <w:gridCol w:w="3554"/>
        <w:gridCol w:w="613"/>
        <w:gridCol w:w="1011"/>
        <w:gridCol w:w="708"/>
        <w:gridCol w:w="4614"/>
        <w:gridCol w:w="567"/>
        <w:gridCol w:w="773"/>
        <w:gridCol w:w="709"/>
        <w:gridCol w:w="891"/>
      </w:tblGrid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cantSplit/>
          <w:trHeight w:val="175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pStyle w:val="Heading3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Článok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pStyle w:val="Heading1"/>
              <w:jc w:val="both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Text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Spôsob transpozície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Číslo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Článok</w:t>
            </w:r>
          </w:p>
        </w:tc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Text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Zhoda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Administr. infraštruktúra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Poznámky</w:t>
            </w: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btLr"/>
            <w:vAlign w:val="center"/>
          </w:tcPr>
          <w:p w:rsidR="00806453">
            <w:pPr>
              <w:pStyle w:val="BlockText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Štádium  legislatívneho</w:t>
            </w:r>
          </w:p>
          <w:p w:rsidR="00806453">
            <w:pPr>
              <w:ind w:left="113" w:right="113"/>
              <w:jc w:val="center"/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/>
                <w:sz w:val="24"/>
                <w:szCs w:val="24"/>
              </w:rPr>
              <w:t>procesu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FootnoteText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Č: 6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Pre všetky či</w:t>
            </w:r>
            <w:r w:rsidR="00FD72D5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nosti uvedené v článku 3 ods. 1 vystavenie pracovníkov prachu pochádzajúcemu z azbestu alebo z materiálov obsahujúcich azbest na mieste výkonu práce sa musí znížiť na minimum  a v každom prípade pod limitnú hodnotu ustanovenú v článku 8.</w:t>
            </w: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Návrh zákona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</w:t>
            </w:r>
          </w:p>
          <w:p w:rsidR="00806453">
            <w:pPr>
              <w:spacing w:before="12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8</w:t>
            </w:r>
          </w:p>
        </w:tc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pStyle w:val="Heading2"/>
              <w:spacing w:before="60"/>
              <w:ind w:firstLine="360"/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  <w:t>(8) Zamestnávateľ, ktorý zamestnáva zamestnancov činnosťami, pri ktorých môžu byť exponovaní azbestu alebo materiálom, ktoré obsahujú azbest, je povinný zabezpečiť v súlade s osobitným predpisom</w:t>
            </w:r>
            <w:r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  <w:rtl w:val="0"/>
              </w:rPr>
              <w:footnoteReference w:customMarkFollows="1" w:id="2"/>
              <w:t xml:space="preserve">4</w:t>
            </w:r>
            <w:r w:rsidR="00C6073C">
              <w:rPr>
                <w:rStyle w:val="FootnoteReference"/>
                <w:rFonts w:ascii="Times New Roman" w:hAnsi="Times New Roman" w:cs="Times New Roman"/>
                <w:noProof/>
                <w:sz w:val="24"/>
                <w:szCs w:val="24"/>
              </w:rPr>
              <w:t>3</w:t>
            </w:r>
            <w:r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  <w:t>) technické, organizačné a iné opatrenia, ktoré vylúčia alebo znížia expozíciu zamestnancov azbestu na najnižšiu možnú a dosiahnuteľnú mieru.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center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Header"/>
              <w:tabs>
                <w:tab w:val="clear" w:pos="4536"/>
                <w:tab w:val="clear" w:pos="9072"/>
              </w:tabs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Č: 7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4</w:t>
            </w: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4. Odoberanie vzoriek vykonáva vhodne kvalifikovaný personál. odobraté vzorky sa ná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sledne, v súlade s odsekom 6, analyzujú v laboratóriách vybavených zariadením na počítanie vlákien.</w:t>
            </w: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Návrh zákona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2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3</w:t>
            </w:r>
          </w:p>
        </w:tc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ind w:left="180" w:firstLine="18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(3) K žiadosti podľa odseku 2 žiadateľ priloží</w:t>
            </w:r>
          </w:p>
          <w:p w:rsidR="00806453">
            <w:pPr>
              <w:ind w:left="360" w:hanging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a)</w:t>
              <w:tab/>
              <w:t>osvedčenie o odbornej spôsobilosti osoby zodpovednej za prevádzkovanie  činnos</w:t>
            </w:r>
            <w:r w:rsidR="00813EDC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ti uvedenej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 xml:space="preserve"> v § 15 ods. 1 písm. </w:t>
            </w:r>
            <w:r w:rsidR="00073B0D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806453">
            <w:pPr>
              <w:pStyle w:val="FootnoteText"/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FootnoteText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Č: 12b</w:t>
            </w:r>
          </w:p>
          <w:p w:rsidR="00806453">
            <w:pPr>
              <w:pStyle w:val="FootnoteText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Pred začiatkom vykonávania búracích prác alebo prác na odstránenie azbestu sa podniky musia preukázať dokladom o svojej spôsobilosti v tejto oblasti. Tento doklad sa zavedie v súlade s vnútroštátnymi prá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vnymi predpismi a/alebo praxou.</w:t>
            </w: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0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Návrh zákona</w:t>
            </w:r>
          </w:p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2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1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2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3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4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5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41,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6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§ 13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O: 4</w:t>
            </w: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pStyle w:val="Heading2"/>
              <w:spacing w:before="60"/>
              <w:ind w:firstLine="360"/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  <w:t>(1) Odstraňovanie azbestu alebo materiálov obsahujúcich azbest zo stavieb možno vykonávať len na základe oprávnenia vydaného úradom verejného zdravotníctva.</w:t>
            </w:r>
          </w:p>
          <w:p w:rsidR="00806453">
            <w:pP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 xml:space="preserve">(2) Úrad verejného zdravotníctva rozhoduje o vydaní oprávnenia podľa odseku 1 na základe žiadosti, ktorá 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obsah</w:t>
            </w:r>
            <w:r w:rsidR="00737FB6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uje</w:t>
            </w:r>
          </w:p>
          <w:p w:rsidR="00806453" w:rsidP="00806453">
            <w:pPr>
              <w:pStyle w:val="Heading3"/>
              <w:numPr>
                <w:ilvl w:val="2"/>
                <w:numId w:val="4"/>
              </w:numPr>
              <w:tabs>
                <w:tab w:val="left" w:pos="433"/>
                <w:tab w:val="left" w:pos="2160"/>
              </w:tabs>
              <w:spacing w:before="60"/>
              <w:ind w:left="360"/>
              <w:rPr>
                <w:rStyle w:val="DefaultParagraphFont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b w:val="0"/>
                <w:sz w:val="24"/>
                <w:szCs w:val="24"/>
              </w:rPr>
              <w:t>obchodné meno,</w:t>
            </w:r>
            <w:r>
              <w:rPr>
                <w:rStyle w:val="DefaultParagraphFont"/>
                <w:rFonts w:ascii="Times New Roman" w:hAnsi="Times New Roman" w:cs="Times New Roman"/>
                <w:b w:val="0"/>
                <w:sz w:val="24"/>
                <w:szCs w:val="24"/>
              </w:rPr>
              <w:t xml:space="preserve"> právnu formu, sídlo a identifikačné číslo, ak bolo pridelené, ak ide o právnickú osobu; meno, priezvisko a bydlisko a identifikačné číslo, ak bolo pridelené, ak ide o fyzickú osobu -podnikateľa,</w:t>
            </w:r>
          </w:p>
          <w:p w:rsidR="00806453">
            <w:pPr>
              <w:ind w:left="360" w:hanging="360"/>
              <w:rPr>
                <w:rStyle w:val="DefaultParagraphFont"/>
                <w:rFonts w:ascii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  <w:lang w:eastAsia="cs-CZ"/>
              </w:rPr>
              <w:t>b)</w:t>
              <w:tab/>
              <w:t>doklad o oprávnení na podnikanie,</w:t>
            </w:r>
          </w:p>
          <w:p w:rsidR="00806453">
            <w:pPr>
              <w:pStyle w:val="BodyText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c) meno, priezvisko a bydlisko osoby zodpovednej za prevádzkovanie.</w:t>
            </w: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ind w:left="180" w:firstLine="18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(3) K žiadosti podľa odseku 2 žiadateľ priloží</w:t>
            </w:r>
          </w:p>
          <w:p w:rsidR="00806453">
            <w:pPr>
              <w:ind w:left="360" w:hanging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 xml:space="preserve">b) </w:t>
              <w:tab/>
              <w:t>dokumentáciu s opisom činnosti alebo technológie odstraňovania azbestu alebo materiálov obsahujúcich azbest zo stavieb a s údajmi o tech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nickom vybavení.</w:t>
            </w:r>
          </w:p>
          <w:p w:rsidR="00806453">
            <w:pPr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(4) Úrad verejného zdravotníctva vydá oprávnenie žiadateľovi, ak žiadosť obsahuje náležitosti podľa odsekov 2 a 3 a žiadateľ preukázal splnenie požiadaviek, ktoré vylúčia alebo znížia expozíciu zamestnancov a obyvateľov azbestu na najnižšiu možnú a dosiahnuteľnú úroveň.</w:t>
            </w: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pStyle w:val="BodyText2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(5) Oprávnenie platí päť rokov od jeho vydania, ak nie je v oprávnení určený kratší čas platnosti.</w:t>
            </w: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(6) Úrad verejného zdravotníctva v</w:t>
            </w:r>
            <w:r w:rsidR="00813EDC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oprávnení</w:t>
            </w:r>
            <w:r w:rsidR="00813EDC"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 xml:space="preserve"> na odstraňovanie azbestu alebo materiálov obsahujúcich azbest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 xml:space="preserve"> uvedie údaje po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dľa odseku 2, druh oprávnenia, dobu platnosti oprávnenia a podmienky na vykonávanie činnosti. Ak fyzická osoba-podnikateľ alebo právnická osoba oprávnená na odstraňovanie azbestu zo stavieb závažným spôsobom alebo opakovane porušuje všeobecne záväzné právne predpisy súvisiace s vykonávanou činnosťou a podmienky na vykonávanie činnosti, úrad verejného zdravotníctva jej oprávnenie odoberie.</w:t>
            </w:r>
          </w:p>
          <w:p w:rsidR="00806453">
            <w:pPr>
              <w:ind w:firstLine="360"/>
              <w:jc w:val="both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  <w:p w:rsidR="00806453">
            <w:pPr>
              <w:pStyle w:val="Heading2"/>
              <w:spacing w:before="60"/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806453">
            <w:pPr>
              <w:pStyle w:val="BodyText"/>
              <w:rPr>
                <w:rStyle w:val="DefaultParagraphFont"/>
                <w:rFonts w:ascii="Times New Roman" w:hAnsi="Times New Roman" w:cs="Times New Roman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(4) Ak v tomto zákone nie je ustanovené inak, </w:t>
            </w:r>
            <w:r w:rsidR="00530587">
              <w:rPr>
                <w:rStyle w:val="DefaultParagraphFont"/>
                <w:rFonts w:ascii="Times New Roman" w:hAnsi="Times New Roman" w:cs="Times New Roman"/>
                <w:szCs w:val="24"/>
              </w:rPr>
              <w:t xml:space="preserve">úrad verejného zdravotníctva alebo </w:t>
            </w:r>
            <w:r>
              <w:rPr>
                <w:rStyle w:val="DefaultParagraphFont"/>
                <w:rFonts w:ascii="Times New Roman" w:hAnsi="Times New Roman" w:cs="Times New Roman"/>
                <w:szCs w:val="24"/>
              </w:rPr>
              <w:t>regionálny úrad verejného zdravotníctva</w:t>
            </w:r>
          </w:p>
          <w:p w:rsidR="00806453">
            <w:pPr>
              <w:ind w:left="180" w:firstLine="180"/>
              <w:jc w:val="both"/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  <w:t xml:space="preserve">k) </w:t>
            </w:r>
            <w:r w:rsidR="0029141C"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  <w:t xml:space="preserve">rozhoduje o 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návrhoch na odstr</w:t>
            </w: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aňovanie azbestu a materiálov obsahujúcich azbest zo stavieb,</w:t>
            </w:r>
          </w:p>
          <w:p w:rsidR="00806453">
            <w:pPr>
              <w:ind w:left="180" w:firstLine="180"/>
              <w:jc w:val="both"/>
              <w:rPr>
                <w:rStyle w:val="DefaultParagraphFont"/>
                <w:rFonts w:ascii="Times New Roman" w:hAnsi="Times New Roman" w:cs="Times New Roman"/>
                <w:noProof/>
                <w:sz w:val="24"/>
                <w:szCs w:val="24"/>
              </w:rPr>
            </w:pPr>
          </w:p>
          <w:p w:rsidR="00806453">
            <w:pPr>
              <w:ind w:left="360" w:hanging="360"/>
              <w:jc w:val="both"/>
              <w:rPr>
                <w:rStyle w:val="DefaultParagraphFont"/>
                <w:rFonts w:ascii="Times New Roman" w:hAnsi="Times New Roman" w:cs="Times New Roman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  <w:t>Ú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jc w:val="center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textDirection w:val="lrTb"/>
            <w:vAlign w:val="top"/>
          </w:tcPr>
          <w:p w:rsidR="00806453">
            <w:pPr>
              <w:spacing w:before="100"/>
              <w:rPr>
                <w:rStyle w:val="DefaultParagraphFont"/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6453">
      <w:pPr>
        <w:jc w:val="both"/>
        <w:rPr>
          <w:rStyle w:val="DefaultParagraphFont"/>
          <w:rFonts w:ascii="Times New Roman" w:hAnsi="Times New Roman" w:cs="Times New Roman"/>
          <w:sz w:val="24"/>
          <w:szCs w:val="24"/>
        </w:rPr>
      </w:pPr>
    </w:p>
    <w:p w:rsidR="00806453">
      <w:pPr>
        <w:jc w:val="both"/>
        <w:rPr>
          <w:rStyle w:val="DefaultParagraphFont"/>
          <w:rFonts w:ascii="Times New Roman" w:hAnsi="Times New Roman" w:cs="Times New Roman"/>
          <w:sz w:val="24"/>
          <w:szCs w:val="24"/>
        </w:rPr>
      </w:pPr>
    </w:p>
    <w:sectPr>
      <w:pgSz w:w="16840" w:h="11907" w:orient="landscape" w:code="9"/>
      <w:pgMar w:top="1418" w:right="1418" w:bottom="1418" w:left="1418" w:header="708" w:footer="708"/>
      <w:lnNumType w:distance="0"/>
      <w:cols w:space="708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 w:rsidR="00C6073C" w:rsidP="00C6073C">
      <w:pPr>
        <w:pStyle w:val="FootnoteText"/>
        <w:ind w:left="360" w:hanging="360"/>
        <w:rPr>
          <w:rStyle w:val="DefaultParagraphFont"/>
          <w:rFonts w:ascii="Times New Roman" w:hAnsi="Times New Roman" w:cs="Times New Roman"/>
          <w:szCs w:val="24"/>
        </w:rPr>
      </w:pPr>
      <w:r>
        <w:rPr>
          <w:rStyle w:val="FootnoteReference"/>
          <w:rFonts w:ascii="Times New Roman" w:hAnsi="Times New Roman" w:cs="Times New Roman"/>
          <w:szCs w:val="24"/>
        </w:rPr>
        <w:t>43</w:t>
      </w:r>
      <w:r>
        <w:rPr>
          <w:rStyle w:val="DefaultParagraphFont"/>
          <w:rFonts w:ascii="Times New Roman" w:hAnsi="Times New Roman" w:cs="Times New Roman"/>
          <w:szCs w:val="24"/>
        </w:rPr>
        <w:t xml:space="preserve"> </w:t>
      </w:r>
      <w:r>
        <w:rPr>
          <w:rStyle w:val="DefaultParagraphFont"/>
          <w:rFonts w:ascii="Times New Roman" w:hAnsi="Times New Roman" w:cs="Times New Roman"/>
          <w:szCs w:val="24"/>
        </w:rPr>
        <w:t>Nariadenie vlády Slovenskej republiky č. 253/2006 Z. z. o ochrane zamestnancov pred rizikami súvisiacimi s expozíciou azbestu pr</w:t>
      </w:r>
      <w:r>
        <w:rPr>
          <w:rStyle w:val="DefaultParagraphFont"/>
          <w:rFonts w:ascii="Times New Roman" w:hAnsi="Times New Roman" w:cs="Times New Roman"/>
          <w:szCs w:val="24"/>
        </w:rPr>
        <w:t>i práci.</w:t>
      </w:r>
    </w:p>
    <w:p w:rsidP="00C6073C">
      <w:pPr>
        <w:pStyle w:val="FootnoteText"/>
        <w:ind w:left="360" w:hanging="360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663543"/>
    <w:multiLevelType w:val="multilevel"/>
    <w:tmpl w:val="0F44E584"/>
    <w:lvl w:ilvl="0">
      <w:start w:val="1"/>
      <w:numFmt w:val="none"/>
      <w:suff w:val="nothing"/>
      <w:lvlText w:val="%1"/>
      <w:lvlJc w:val="left"/>
      <w:pPr>
        <w:ind w:left="0"/>
      </w:pPr>
      <w:rPr>
        <w:b w:val="0"/>
        <w:i w:val="0"/>
        <w:rtl w:val="0"/>
      </w:rPr>
    </w:lvl>
    <w:lvl w:ilvl="1">
      <w:start w:val="1"/>
      <w:numFmt w:val="none"/>
      <w:pStyle w:val="EndnoteText"/>
      <w:suff w:val="nothing"/>
      <w:lvlJc w:val="left"/>
      <w:pPr>
        <w:ind w:left="0"/>
      </w:pPr>
      <w:rPr>
        <w:b w:val="0"/>
        <w:i w:val="0"/>
        <w:rtl w:val="0"/>
      </w:rPr>
    </w:lvl>
    <w:lvl w:ilvl="2">
      <w:start w:val="1"/>
      <w:numFmt w:val="none"/>
      <w:suff w:val="nothing"/>
      <w:lvlJc w:val="left"/>
      <w:pPr>
        <w:ind w:left="0"/>
      </w:pPr>
    </w:lvl>
    <w:lvl w:ilvl="3">
      <w:start w:val="1"/>
      <w:numFmt w:val="none"/>
      <w:suff w:val="nothing"/>
      <w:lvlText w:val="%1"/>
      <w:lvlJc w:val="left"/>
      <w:pPr>
        <w:ind w:left="0"/>
      </w:pPr>
    </w:lvl>
    <w:lvl w:ilvl="4">
      <w:start w:val="1"/>
      <w:numFmt w:val="none"/>
      <w:lvlJc w:val="left"/>
      <w:pPr>
        <w:tabs>
          <w:tab w:val="num" w:pos="0"/>
        </w:tabs>
        <w:ind w:left="0"/>
      </w:pPr>
    </w:lvl>
    <w:lvl w:ilvl="5">
      <w:start w:val="1"/>
      <w:numFmt w:val="decimal"/>
      <w:lvlRestart w:val="0"/>
      <w:suff w:val="nothing"/>
      <w:lvlText w:val="§ %6%1"/>
      <w:lvlJc w:val="left"/>
      <w:pPr>
        <w:ind w:left="0"/>
      </w:pPr>
      <w:rPr>
        <w:b w:val="0"/>
        <w:i w:val="0"/>
        <w:rtl w:val="0"/>
      </w:rPr>
    </w:lvl>
    <w:lvl w:ilvl="6">
      <w:start w:val="1"/>
      <w:numFmt w:val="decimal"/>
      <w:lvlText w:val="    (%7%1)"/>
      <w:lvlJc w:val="left"/>
      <w:pPr>
        <w:tabs>
          <w:tab w:val="num" w:pos="0"/>
        </w:tabs>
        <w:ind w:left="567" w:hanging="567"/>
      </w:pPr>
    </w:lvl>
    <w:lvl w:ilvl="7">
      <w:start w:val="1"/>
      <w:numFmt w:val="lowerLetter"/>
      <w:lvlText w:val="%1%8)"/>
      <w:lvlJc w:val="left"/>
      <w:pPr>
        <w:tabs>
          <w:tab w:val="num" w:pos="0"/>
        </w:tabs>
        <w:ind w:left="567" w:hanging="567"/>
      </w:pPr>
    </w:lvl>
    <w:lvl w:ilvl="8">
      <w:start w:val="1"/>
      <w:numFmt w:val="decimal"/>
      <w:lvlText w:val="%1%9."/>
      <w:lvlJc w:val="left"/>
      <w:pPr>
        <w:tabs>
          <w:tab w:val="num" w:pos="0"/>
        </w:tabs>
        <w:ind w:left="1134" w:hanging="567"/>
      </w:pPr>
    </w:lvl>
  </w:abstractNum>
  <w:abstractNum w:abstractNumId="1">
    <w:nsid w:val="2FCC57AC"/>
    <w:multiLevelType w:val="multilevel"/>
    <w:tmpl w:val="9D48681C"/>
    <w:lvl w:ilvl="0">
      <w:start w:val="1"/>
      <w:numFmt w:val="decimal"/>
      <w:lvlText w:val="(%1)"/>
      <w:lvlJc w:val="left"/>
      <w:pPr>
        <w:tabs>
          <w:tab w:val="num" w:pos="1230"/>
        </w:tabs>
        <w:ind w:left="1230" w:hanging="87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</w:lvl>
  </w:abstractNum>
  <w:abstractNum w:abstractNumId="3">
    <w:nsid w:val="63393F67"/>
    <w:multiLevelType w:val="multilevel"/>
    <w:tmpl w:val="6E809590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(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2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oNotHyphenateCaps/>
  <w:displayHorizontalDrawingGridEvery w:val="0"/>
  <w:characterSpacingControl w:val="doNotCompress"/>
  <w:footnotePr>
    <w:footnote w:id="0"/>
    <w:footnote w:id="1"/>
  </w:footnotePr>
  <w:compat>
    <w:footnoteLayoutLikeWW8/>
    <w:shapeLayoutLikeWW8/>
    <w:alignTablesRowByRow/>
    <w:forgetLastTabAlignment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3B0D"/>
    <w:rsid w:val="0029141C"/>
    <w:rsid w:val="00530587"/>
    <w:rsid w:val="00737FB6"/>
    <w:rsid w:val="00806453"/>
    <w:rsid w:val="00813EDC"/>
    <w:rsid w:val="00C6073C"/>
    <w:rsid w:val="00FD72D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/>
      <w:autoSpaceDN/>
      <w:bidi w:val="0"/>
      <w:adjustRightInd w:val="0"/>
      <w:ind w:left="0" w:right="0"/>
      <w:jc w:val="left"/>
      <w:textAlignment w:val="auto"/>
    </w:pPr>
    <w:rPr>
      <w:sz w:val="20"/>
      <w:szCs w:val="20"/>
      <w:rtl w:val="0"/>
      <w:lang w:val="sk-SK" w:eastAsia="sk-SK"/>
    </w:rPr>
  </w:style>
  <w:style w:type="paragraph" w:styleId="Heading1">
    <w:name w:val="heading 1"/>
    <w:basedOn w:val="Normal"/>
    <w:next w:val="Normal"/>
    <w:uiPriority w:val="99"/>
    <w:pPr>
      <w:keepNext/>
      <w:jc w:val="center"/>
      <w:outlineLvl w:val="0"/>
    </w:pPr>
    <w:rPr>
      <w:b/>
      <w:sz w:val="24"/>
      <w:lang w:eastAsia="cs-CZ"/>
    </w:rPr>
  </w:style>
  <w:style w:type="paragraph" w:styleId="Heading2">
    <w:name w:val="heading 2"/>
    <w:basedOn w:val="Normal"/>
    <w:next w:val="Normal"/>
    <w:uiPriority w:val="99"/>
    <w:pPr>
      <w:keepNext/>
      <w:spacing w:before="240" w:after="60"/>
      <w:jc w:val="both"/>
      <w:outlineLvl w:val="1"/>
    </w:pPr>
  </w:style>
  <w:style w:type="paragraph" w:styleId="Heading3">
    <w:name w:val="heading 3"/>
    <w:basedOn w:val="Normal"/>
    <w:next w:val="Normal"/>
    <w:uiPriority w:val="99"/>
    <w:pPr>
      <w:keepNext/>
      <w:spacing w:before="240" w:after="60"/>
      <w:jc w:val="left"/>
      <w:outlineLvl w:val="2"/>
    </w:pPr>
    <w:rPr>
      <w:rFonts w:ascii="Arial" w:hAnsi="Arial"/>
      <w:b/>
      <w:sz w:val="26"/>
      <w:lang w:eastAsia="cs-CZ"/>
    </w:rPr>
  </w:style>
  <w:style w:type="paragraph" w:styleId="Heading4">
    <w:name w:val="heading 4"/>
    <w:basedOn w:val="Normal"/>
    <w:next w:val="Normal"/>
    <w:uiPriority w:val="99"/>
    <w:pPr>
      <w:keepNext/>
      <w:numPr>
        <w:ilvl w:val="3"/>
        <w:numId w:val="1"/>
      </w:numPr>
      <w:tabs>
        <w:tab w:val="left" w:pos="317"/>
      </w:tabs>
      <w:spacing w:before="60" w:after="60"/>
      <w:ind w:left="317" w:hanging="360"/>
      <w:jc w:val="both"/>
      <w:outlineLvl w:val="3"/>
    </w:pPr>
  </w:style>
  <w:style w:type="paragraph" w:styleId="Heading5">
    <w:name w:val="heading 5"/>
    <w:basedOn w:val="Normal"/>
    <w:next w:val="Normal"/>
    <w:uiPriority w:val="99"/>
    <w:pPr>
      <w:numPr>
        <w:ilvl w:val="4"/>
        <w:numId w:val="1"/>
      </w:numPr>
      <w:tabs>
        <w:tab w:val="left" w:pos="317"/>
      </w:tabs>
      <w:spacing w:before="240" w:after="60"/>
      <w:ind w:left="317" w:hanging="360"/>
      <w:jc w:val="left"/>
      <w:outlineLvl w:val="4"/>
    </w:pPr>
    <w:rPr>
      <w:b/>
      <w:i/>
      <w:sz w:val="26"/>
    </w:rPr>
  </w:style>
  <w:style w:type="paragraph" w:styleId="Heading6">
    <w:name w:val="heading 6"/>
    <w:basedOn w:val="Normal"/>
    <w:next w:val="Normal"/>
    <w:uiPriority w:val="99"/>
    <w:pPr>
      <w:numPr>
        <w:ilvl w:val="5"/>
        <w:numId w:val="1"/>
      </w:numPr>
      <w:tabs>
        <w:tab w:val="left" w:pos="317"/>
      </w:tabs>
      <w:spacing w:before="240" w:after="60"/>
      <w:ind w:left="317" w:hanging="360"/>
      <w:jc w:val="left"/>
      <w:outlineLvl w:val="5"/>
    </w:pPr>
    <w:rPr>
      <w:b/>
      <w:sz w:val="22"/>
    </w:rPr>
  </w:style>
  <w:style w:type="paragraph" w:styleId="Heading7">
    <w:name w:val="heading 7"/>
    <w:basedOn w:val="Normal"/>
    <w:next w:val="Normal"/>
    <w:uiPriority w:val="99"/>
    <w:pPr>
      <w:numPr>
        <w:ilvl w:val="6"/>
        <w:numId w:val="1"/>
      </w:numPr>
      <w:tabs>
        <w:tab w:val="left" w:pos="317"/>
      </w:tabs>
      <w:spacing w:before="240" w:after="60"/>
      <w:ind w:left="317" w:hanging="360"/>
      <w:jc w:val="left"/>
      <w:outlineLvl w:val="6"/>
    </w:pPr>
    <w:rPr>
      <w:sz w:val="24"/>
    </w:rPr>
  </w:style>
  <w:style w:type="paragraph" w:styleId="Heading8">
    <w:name w:val="heading 8"/>
    <w:basedOn w:val="Normal"/>
    <w:next w:val="Normal"/>
    <w:uiPriority w:val="99"/>
    <w:pPr>
      <w:numPr>
        <w:ilvl w:val="7"/>
        <w:numId w:val="1"/>
      </w:numPr>
      <w:tabs>
        <w:tab w:val="left" w:pos="317"/>
      </w:tabs>
      <w:spacing w:before="240" w:after="60"/>
      <w:ind w:left="317" w:hanging="360"/>
      <w:jc w:val="left"/>
      <w:outlineLvl w:val="7"/>
    </w:pPr>
    <w:rPr>
      <w:i/>
      <w:sz w:val="24"/>
    </w:rPr>
  </w:style>
  <w:style w:type="paragraph" w:styleId="Heading9">
    <w:name w:val="heading 9"/>
    <w:basedOn w:val="Normal"/>
    <w:next w:val="Normal"/>
    <w:uiPriority w:val="99"/>
    <w:pPr>
      <w:numPr>
        <w:ilvl w:val="8"/>
        <w:numId w:val="1"/>
      </w:numPr>
      <w:tabs>
        <w:tab w:val="left" w:pos="317"/>
      </w:tabs>
      <w:spacing w:before="240" w:after="60"/>
      <w:ind w:left="317" w:hanging="360"/>
      <w:jc w:val="left"/>
      <w:outlineLvl w:val="8"/>
    </w:pPr>
    <w:rPr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bodu">
    <w:name w:val="Text bodu"/>
    <w:basedOn w:val="Normal"/>
    <w:uiPriority w:val="99"/>
    <w:pPr>
      <w:tabs>
        <w:tab w:val="left" w:pos="0"/>
        <w:tab w:val="left" w:pos="851"/>
      </w:tabs>
      <w:ind w:left="1134" w:hanging="567"/>
      <w:jc w:val="left"/>
    </w:pPr>
    <w:rPr>
      <w:sz w:val="24"/>
      <w:lang w:eastAsia="cs-CZ"/>
    </w:rPr>
  </w:style>
  <w:style w:type="paragraph" w:customStyle="1" w:styleId="Nadpisparagrafu">
    <w:name w:val="Nadpis paragrafu"/>
    <w:basedOn w:val="Normal"/>
    <w:next w:val="Normal"/>
    <w:uiPriority w:val="99"/>
    <w:pPr>
      <w:keepNext/>
      <w:keepLines/>
      <w:tabs>
        <w:tab w:val="left" w:pos="0"/>
      </w:tabs>
      <w:spacing w:before="240" w:after="240"/>
      <w:ind w:left="567" w:hanging="567"/>
      <w:jc w:val="center"/>
      <w:outlineLvl w:val="4"/>
    </w:pPr>
    <w:rPr>
      <w:b/>
      <w:sz w:val="24"/>
      <w:lang w:eastAsia="cs-CZ"/>
    </w:rPr>
  </w:style>
  <w:style w:type="paragraph" w:styleId="EndnoteText">
    <w:name w:val="endnote text"/>
    <w:basedOn w:val="Normal"/>
    <w:uiPriority w:val="99"/>
    <w:semiHidden/>
    <w:pPr>
      <w:numPr>
        <w:ilvl w:val="1"/>
        <w:numId w:val="2"/>
      </w:numPr>
      <w:tabs>
        <w:tab w:val="left" w:pos="0"/>
      </w:tabs>
      <w:ind w:left="1134" w:hanging="567"/>
      <w:jc w:val="left"/>
    </w:pPr>
    <w:rPr>
      <w:lang w:eastAsia="cs-CZ"/>
    </w:rPr>
  </w:style>
  <w:style w:type="paragraph" w:customStyle="1" w:styleId="Nadpis2CharCharCharCharCharChar">
    <w:name w:val="Nadpis 2.Char Char.Char Char Char Char"/>
    <w:basedOn w:val="Normal"/>
    <w:next w:val="Normal"/>
    <w:uiPriority w:val="99"/>
    <w:pPr>
      <w:keepNext/>
      <w:spacing w:before="120"/>
      <w:jc w:val="center"/>
      <w:outlineLvl w:val="1"/>
    </w:pPr>
    <w:rPr>
      <w:b/>
      <w:lang w:eastAsia="cs-CZ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left"/>
    </w:pPr>
    <w:rPr>
      <w:sz w:val="24"/>
      <w:lang w:eastAsia="cs-CZ"/>
    </w:rPr>
  </w:style>
  <w:style w:type="paragraph" w:styleId="BlockText">
    <w:name w:val="Block Text"/>
    <w:basedOn w:val="Normal"/>
    <w:uiPriority w:val="99"/>
    <w:pPr>
      <w:ind w:left="113" w:right="113"/>
      <w:jc w:val="left"/>
    </w:pPr>
    <w:rPr>
      <w:lang w:eastAsia="cs-CZ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spacing w:before="60" w:after="60"/>
      <w:jc w:val="left"/>
    </w:pPr>
  </w:style>
  <w:style w:type="paragraph" w:customStyle="1" w:styleId="Casti">
    <w:name w:val="Casti"/>
    <w:basedOn w:val="Heading1"/>
    <w:uiPriority w:val="99"/>
    <w:pPr>
      <w:spacing w:before="360" w:after="360"/>
      <w:jc w:val="center"/>
    </w:pPr>
    <w:rPr>
      <w:color w:val="000000"/>
      <w:kern w:val="32"/>
    </w:rPr>
  </w:style>
  <w:style w:type="paragraph" w:styleId="Title">
    <w:name w:val="Title"/>
    <w:basedOn w:val="Normal"/>
    <w:uiPriority w:val="99"/>
    <w:pPr>
      <w:jc w:val="center"/>
    </w:pPr>
    <w:rPr>
      <w:b/>
      <w:lang w:eastAsia="cs-CZ"/>
    </w:rPr>
  </w:style>
  <w:style w:type="paragraph" w:styleId="FootnoteText">
    <w:name w:val="footnote text"/>
    <w:basedOn w:val="Normal"/>
    <w:uiPriority w:val="99"/>
    <w:semiHidden/>
    <w:pPr>
      <w:jc w:val="left"/>
    </w:pPr>
    <w:rPr>
      <w:lang w:eastAsia="cs-CZ"/>
    </w:rPr>
  </w:style>
  <w:style w:type="paragraph" w:customStyle="1" w:styleId="Head1">
    <w:name w:val="Head1"/>
    <w:basedOn w:val="Heading1"/>
    <w:uiPriority w:val="99"/>
    <w:pPr>
      <w:numPr>
        <w:numId w:val="3"/>
      </w:numPr>
      <w:tabs>
        <w:tab w:val="left" w:pos="360"/>
      </w:tabs>
      <w:spacing w:before="240" w:after="240"/>
      <w:ind w:left="360" w:hanging="360"/>
      <w:jc w:val="center"/>
    </w:pPr>
    <w:rPr>
      <w:kern w:val="32"/>
    </w:rPr>
  </w:style>
  <w:style w:type="character" w:styleId="FootnoteReference">
    <w:name w:val="footnote reference"/>
    <w:basedOn w:val="DefaultParagraphFont"/>
    <w:uiPriority w:val="99"/>
    <w:semiHidden/>
    <w:rPr>
      <w:vertAlign w:val="superscript"/>
    </w:rPr>
  </w:style>
  <w:style w:type="paragraph" w:styleId="BodyText">
    <w:name w:val="Body Text"/>
    <w:basedOn w:val="Normal"/>
    <w:uiPriority w:val="99"/>
    <w:pPr>
      <w:jc w:val="both"/>
    </w:pPr>
    <w:rPr>
      <w:sz w:val="24"/>
    </w:rPr>
  </w:style>
  <w:style w:type="paragraph" w:styleId="BodyText2">
    <w:name w:val="Body Text 2"/>
    <w:basedOn w:val="Normal"/>
    <w:uiPriority w:val="99"/>
    <w:pPr>
      <w:ind w:firstLine="360"/>
      <w:jc w:val="both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4</Pages>
  <Words>587</Words>
  <Characters>3352</Characters>
  <Application>Microsoft Office Word</Application>
  <DocSecurity>0</DocSecurity>
  <Lines>0</Lines>
  <Paragraphs>0</Paragraphs>
  <ScaleCrop>false</ScaleCrop>
  <Company>SZUSR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TABU¼KA ZHODY</dc:title>
  <dc:creator>Monika Zámeèníková</dc:creator>
  <cp:lastModifiedBy>Miroslava Plávková</cp:lastModifiedBy>
  <cp:revision>6</cp:revision>
  <dcterms:created xsi:type="dcterms:W3CDTF">2007-03-27T10:27:00Z</dcterms:created>
  <dcterms:modified xsi:type="dcterms:W3CDTF">2007-04-11T14:39:00Z</dcterms:modified>
</cp:coreProperties>
</file>