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F1062D">
      <w:pPr>
        <w:pStyle w:val="Heading1"/>
        <w:rPr>
          <w:rStyle w:val="DefaultParagraphFont"/>
          <w:rFonts w:ascii="Times New Roman" w:hAnsi="Times New Roman" w:cs="Times New Roman"/>
          <w:sz w:val="20"/>
          <w:szCs w:val="24"/>
          <w:vertAlign w:val="superscript"/>
        </w:rPr>
      </w:pPr>
      <w:r>
        <w:rPr>
          <w:rStyle w:val="DefaultParagraphFont"/>
          <w:rFonts w:ascii="Times New Roman" w:hAnsi="Times New Roman" w:cs="Times New Roman"/>
          <w:sz w:val="20"/>
          <w:szCs w:val="24"/>
        </w:rPr>
        <w:t>TABUĽKA  ZHODY</w:t>
      </w:r>
    </w:p>
    <w:p w:rsidR="00F1062D">
      <w:pPr>
        <w:pStyle w:val="PARA"/>
        <w:keepNext w:val="0"/>
        <w:keepLines w:val="0"/>
        <w:tabs>
          <w:tab w:val="clear" w:pos="680"/>
        </w:tabs>
        <w:spacing w:before="0" w:after="0"/>
        <w:rPr>
          <w:rStyle w:val="DefaultParagraphFont"/>
          <w:rFonts w:ascii="Times New Roman" w:hAnsi="Times New Roman" w:cs="Times New Roman"/>
          <w:b/>
          <w:sz w:val="20"/>
          <w:szCs w:val="24"/>
          <w:lang w:val="sk-SK"/>
        </w:rPr>
      </w:pPr>
      <w:r>
        <w:rPr>
          <w:rStyle w:val="DefaultParagraphFont"/>
          <w:rFonts w:ascii="Times New Roman" w:hAnsi="Times New Roman" w:cs="Times New Roman"/>
          <w:b/>
          <w:sz w:val="20"/>
          <w:szCs w:val="24"/>
          <w:lang w:val="sk-SK"/>
        </w:rPr>
        <w:t>k návrhu zákona o ochrane, podpore a rozvoji verejného zdravia s právom Európskych spoločenstiev a právom Európskej únie</w:t>
      </w:r>
    </w:p>
    <w:p w:rsidR="00F1062D">
      <w:pPr>
        <w:rPr>
          <w:rStyle w:val="DefaultParagraphFont"/>
          <w:rFonts w:ascii="Times New Roman" w:hAnsi="Times New Roman" w:cs="Times New Roman"/>
          <w:szCs w:val="24"/>
        </w:rPr>
      </w:pPr>
    </w:p>
    <w:tbl>
      <w:tblPr>
        <w:tblW w:w="16160"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43" w:type="dxa"/>
          <w:bottom w:w="0" w:type="dxa"/>
          <w:right w:w="43" w:type="dxa"/>
        </w:tblCellMar>
      </w:tblPr>
      <w:tblGrid>
        <w:gridCol w:w="898"/>
        <w:gridCol w:w="1769"/>
        <w:gridCol w:w="1651"/>
        <w:gridCol w:w="900"/>
        <w:gridCol w:w="1620"/>
        <w:gridCol w:w="1080"/>
        <w:gridCol w:w="3600"/>
        <w:gridCol w:w="720"/>
        <w:gridCol w:w="720"/>
        <w:gridCol w:w="1800"/>
        <w:gridCol w:w="1402"/>
      </w:tblGrid>
      <w:tr>
        <w:tblPrEx>
          <w:tblW w:w="16160"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43" w:type="dxa"/>
            <w:bottom w:w="0" w:type="dxa"/>
            <w:right w:w="43" w:type="dxa"/>
          </w:tblCellMar>
        </w:tblPrEx>
        <w:trPr>
          <w:cantSplit/>
          <w:trHeight w:val="567"/>
        </w:trPr>
        <w:tc>
          <w:tcPr>
            <w:tcW w:w="5218" w:type="dxa"/>
            <w:gridSpan w:val="4"/>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4"/>
              <w:spacing w:before="1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Právny akt ES/EÚ</w:t>
            </w:r>
          </w:p>
        </w:tc>
        <w:tc>
          <w:tcPr>
            <w:tcW w:w="10942" w:type="dxa"/>
            <w:gridSpan w:val="7"/>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4"/>
              <w:spacing w:before="12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Právne predpisy Slovenskej republiky</w:t>
            </w:r>
          </w:p>
          <w:p w:rsidR="00F1062D">
            <w:pPr>
              <w:jc w:val="both"/>
              <w:rPr>
                <w:rStyle w:val="DefaultParagraphFont"/>
                <w:rFonts w:ascii="Times New Roman" w:hAnsi="Times New Roman" w:cs="Times New Roman"/>
                <w:b/>
                <w:sz w:val="20"/>
                <w:szCs w:val="24"/>
              </w:rPr>
            </w:pPr>
          </w:p>
        </w:tc>
      </w:tr>
      <w:tr>
        <w:tblPrEx>
          <w:tblW w:w="16160" w:type="dxa"/>
          <w:tblInd w:w="-497" w:type="dxa"/>
          <w:tblLayout w:type="fixed"/>
          <w:tblCellMar>
            <w:top w:w="0" w:type="dxa"/>
            <w:left w:w="43" w:type="dxa"/>
            <w:bottom w:w="0" w:type="dxa"/>
            <w:right w:w="43" w:type="dxa"/>
          </w:tblCellMar>
        </w:tblPrEx>
        <w:trPr>
          <w:trHeight w:val="567"/>
        </w:trPr>
        <w:tc>
          <w:tcPr>
            <w:tcW w:w="5218" w:type="dxa"/>
            <w:gridSpan w:val="4"/>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abc"/>
              <w:tabs>
                <w:tab w:val="clear" w:pos="360"/>
                <w:tab w:val="clear" w:pos="680"/>
              </w:tabs>
              <w:spacing w:before="120" w:after="120"/>
              <w:rPr>
                <w:rStyle w:val="DefaultParagraphFont"/>
                <w:rFonts w:ascii="Times New Roman" w:hAnsi="Times New Roman" w:cs="Times New Roman"/>
                <w:szCs w:val="24"/>
              </w:rPr>
            </w:pPr>
            <w:r>
              <w:rPr>
                <w:rStyle w:val="DefaultParagraphFont"/>
                <w:rFonts w:ascii="Times New Roman" w:hAnsi="Times New Roman" w:cs="Times New Roman"/>
                <w:b/>
                <w:szCs w:val="24"/>
              </w:rPr>
              <w:t>Smernica Európskeho parlamentu a Rady  2004/37/ES         z 29.apríla 2004 o ochrane pracovníkov pred  rizikami súvisiacimi s expozíciou karcinogénnom a mutagénom pri práci</w:t>
            </w:r>
            <w:r>
              <w:rPr>
                <w:rStyle w:val="DefaultParagraphFont"/>
                <w:rFonts w:ascii="Times New Roman" w:hAnsi="Times New Roman" w:cs="Times New Roman"/>
                <w:szCs w:val="24"/>
              </w:rPr>
              <w:t xml:space="preserve"> (šiesta individuálna smernica v zmysle člá</w:t>
            </w:r>
            <w:r>
              <w:rPr>
                <w:rStyle w:val="DefaultParagraphFont"/>
                <w:rFonts w:ascii="Times New Roman" w:hAnsi="Times New Roman" w:cs="Times New Roman"/>
                <w:szCs w:val="24"/>
              </w:rPr>
              <w:t>nku 16 ods. 1 smernice 89/391/EHS)(Ú. v. EÚ L 158, 30. 4. 2004).</w:t>
            </w:r>
          </w:p>
        </w:tc>
        <w:tc>
          <w:tcPr>
            <w:tcW w:w="10942" w:type="dxa"/>
            <w:gridSpan w:val="7"/>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Nadpis2CharCharCharCharCharChar"/>
              <w:jc w:val="left"/>
              <w:rPr>
                <w:rStyle w:val="DefaultParagraphFont"/>
                <w:rFonts w:ascii="Times New Roman" w:hAnsi="Times New Roman" w:cs="Times New Roman"/>
                <w:szCs w:val="24"/>
              </w:rPr>
            </w:pPr>
            <w:r>
              <w:rPr>
                <w:rStyle w:val="DefaultParagraphFont"/>
                <w:rFonts w:ascii="Times New Roman" w:hAnsi="Times New Roman" w:cs="Times New Roman"/>
                <w:szCs w:val="24"/>
              </w:rPr>
              <w:t>Návrh zákona o ochrane, podpore a rozvoji verejného zdravia</w:t>
            </w:r>
          </w:p>
          <w:p w:rsidR="00F1062D">
            <w:pPr>
              <w:pStyle w:val="Heading4"/>
              <w:spacing w:before="120"/>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Nariadenie vlády Slovenskej republiky č. 356/2006 Z. z. o ochrane zdravia zamestnancov pred rizikami súvisiacimi s expozíciou karci</w:t>
            </w:r>
            <w:r>
              <w:rPr>
                <w:rStyle w:val="DefaultParagraphFont"/>
                <w:rFonts w:ascii="Times New Roman" w:hAnsi="Times New Roman" w:cs="Times New Roman"/>
                <w:sz w:val="20"/>
                <w:szCs w:val="24"/>
              </w:rPr>
              <w:t>nogénnym a mutagénnym  faktorom pri práci</w:t>
            </w:r>
          </w:p>
        </w:tc>
      </w:tr>
      <w:tr>
        <w:tblPrEx>
          <w:tblW w:w="16160" w:type="dxa"/>
          <w:tblInd w:w="-497" w:type="dxa"/>
          <w:tblLayout w:type="fixed"/>
          <w:tblCellMar>
            <w:top w:w="0" w:type="dxa"/>
            <w:left w:w="43" w:type="dxa"/>
            <w:bottom w:w="0" w:type="dxa"/>
            <w:right w:w="43" w:type="dxa"/>
          </w:tblCellMar>
        </w:tblPrEx>
        <w:trPr>
          <w:trHeight w:hRule="auto" w:val="0"/>
        </w:trPr>
        <w:tc>
          <w:tcPr>
            <w:tcW w:w="89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1</w:t>
            </w:r>
          </w:p>
        </w:tc>
        <w:tc>
          <w:tcPr>
            <w:tcW w:w="342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16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4</w:t>
            </w: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BodyText2"/>
              <w:spacing w:line="240" w:lineRule="exact"/>
              <w:rPr>
                <w:rStyle w:val="DefaultParagraphFont"/>
                <w:rFonts w:ascii="Times New Roman" w:hAnsi="Times New Roman" w:cs="Times New Roman"/>
                <w:szCs w:val="24"/>
              </w:rPr>
            </w:pPr>
            <w:r>
              <w:rPr>
                <w:rStyle w:val="DefaultParagraphFont"/>
                <w:rFonts w:ascii="Times New Roman" w:hAnsi="Times New Roman" w:cs="Times New Roman"/>
                <w:szCs w:val="24"/>
              </w:rPr>
              <w:t>5</w:t>
            </w:r>
          </w:p>
        </w:tc>
        <w:tc>
          <w:tcPr>
            <w:tcW w:w="36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BodyText2"/>
              <w:spacing w:line="240" w:lineRule="exact"/>
              <w:rPr>
                <w:rStyle w:val="DefaultParagraphFont"/>
                <w:rFonts w:ascii="Times New Roman" w:hAnsi="Times New Roman" w:cs="Times New Roman"/>
                <w:szCs w:val="24"/>
              </w:rPr>
            </w:pPr>
            <w:r>
              <w:rPr>
                <w:rStyle w:val="DefaultParagraphFont"/>
                <w:rFonts w:ascii="Times New Roman" w:hAnsi="Times New Roman" w:cs="Times New Roman"/>
                <w:szCs w:val="24"/>
              </w:rPr>
              <w:t>6</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7</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8</w:t>
            </w: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9</w:t>
            </w:r>
          </w:p>
        </w:tc>
        <w:tc>
          <w:tcPr>
            <w:tcW w:w="140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10</w:t>
            </w:r>
          </w:p>
        </w:tc>
      </w:tr>
      <w:tr>
        <w:tblPrEx>
          <w:tblW w:w="16160" w:type="dxa"/>
          <w:tblInd w:w="-497" w:type="dxa"/>
          <w:tblLayout w:type="fixed"/>
          <w:tblCellMar>
            <w:top w:w="0" w:type="dxa"/>
            <w:left w:w="43" w:type="dxa"/>
            <w:bottom w:w="0" w:type="dxa"/>
            <w:right w:w="43" w:type="dxa"/>
          </w:tblCellMar>
        </w:tblPrEx>
        <w:trPr>
          <w:trHeight w:hRule="auto" w:val="0"/>
        </w:trPr>
        <w:tc>
          <w:tcPr>
            <w:tcW w:w="89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Článok</w:t>
            </w:r>
          </w:p>
          <w:p w:rsidR="00F1062D">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(Č, O,</w:t>
            </w:r>
          </w:p>
          <w:p w:rsidR="00F1062D">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V, P)</w:t>
            </w:r>
          </w:p>
        </w:tc>
        <w:tc>
          <w:tcPr>
            <w:tcW w:w="342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Text</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Spôsob transp.</w:t>
            </w:r>
          </w:p>
          <w:p w:rsidR="00F1062D">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(N, O, D, n.a.)</w:t>
            </w:r>
          </w:p>
        </w:tc>
        <w:tc>
          <w:tcPr>
            <w:tcW w:w="16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Číslo</w:t>
            </w: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Článok (Č, §, O, V, P)</w:t>
            </w:r>
          </w:p>
        </w:tc>
        <w:tc>
          <w:tcPr>
            <w:tcW w:w="36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Text</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Zhoda</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Admin. infraštr.</w:t>
            </w: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Poznámky</w:t>
            </w:r>
          </w:p>
          <w:p w:rsidR="00F1062D">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(pri návrhu predpisu – predpokladaný dátum účinnosti**)</w:t>
            </w:r>
          </w:p>
        </w:tc>
        <w:tc>
          <w:tcPr>
            <w:tcW w:w="140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Štádium legislatívneho procesu</w:t>
            </w:r>
          </w:p>
        </w:tc>
      </w:tr>
      <w:tr>
        <w:tblPrEx>
          <w:tblW w:w="16160" w:type="dxa"/>
          <w:tblInd w:w="-497" w:type="dxa"/>
          <w:tblLayout w:type="fixed"/>
          <w:tblCellMar>
            <w:top w:w="0" w:type="dxa"/>
            <w:left w:w="43" w:type="dxa"/>
            <w:bottom w:w="0" w:type="dxa"/>
            <w:right w:w="43" w:type="dxa"/>
          </w:tblCellMar>
        </w:tblPrEx>
        <w:trPr>
          <w:trHeight w:hRule="auto" w:val="0"/>
        </w:trPr>
        <w:tc>
          <w:tcPr>
            <w:tcW w:w="89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Č:1</w:t>
            </w:r>
          </w:p>
        </w:tc>
        <w:tc>
          <w:tcPr>
            <w:tcW w:w="342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Normlny"/>
              <w:jc w:val="both"/>
              <w:rPr>
                <w:rStyle w:val="DefaultParagraphFont"/>
                <w:rFonts w:ascii="Times New Roman" w:hAnsi="Times New Roman" w:cs="Times New Roman"/>
                <w:szCs w:val="24"/>
              </w:rPr>
            </w:pPr>
            <w:r>
              <w:rPr>
                <w:rStyle w:val="DefaultParagraphFont"/>
                <w:rFonts w:ascii="Times New Roman" w:hAnsi="Times New Roman" w:cs="Times New Roman"/>
                <w:szCs w:val="24"/>
              </w:rPr>
              <w:t>Cieľ</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16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 1</w:t>
            </w:r>
          </w:p>
        </w:tc>
        <w:tc>
          <w:tcPr>
            <w:tcW w:w="36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Normlny"/>
              <w:jc w:val="both"/>
              <w:rPr>
                <w:rStyle w:val="DefaultParagraphFont"/>
                <w:rFonts w:ascii="Times New Roman" w:hAnsi="Times New Roman" w:cs="Times New Roman"/>
                <w:szCs w:val="24"/>
              </w:rPr>
            </w:pPr>
            <w:r>
              <w:rPr>
                <w:rStyle w:val="DefaultParagraphFont"/>
                <w:rFonts w:ascii="Times New Roman" w:hAnsi="Times New Roman" w:cs="Times New Roman"/>
                <w:szCs w:val="24"/>
              </w:rPr>
              <w:t>Predmet úpravy</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FootnoteText"/>
              <w:jc w:val="center"/>
              <w:rPr>
                <w:rStyle w:val="DefaultParagraphFont"/>
                <w:rFonts w:ascii="Times New Roman" w:hAnsi="Times New Roman" w:cs="Times New Roman"/>
                <w:szCs w:val="24"/>
              </w:rPr>
            </w:pP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rPr>
                <w:rStyle w:val="DefaultParagraphFont"/>
                <w:rFonts w:ascii="Times New Roman" w:hAnsi="Times New Roman" w:cs="Times New Roman"/>
                <w:b w:val="0"/>
                <w:sz w:val="20"/>
                <w:szCs w:val="24"/>
              </w:rPr>
            </w:pPr>
          </w:p>
        </w:tc>
        <w:tc>
          <w:tcPr>
            <w:tcW w:w="140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jc w:val="both"/>
              <w:rPr>
                <w:rStyle w:val="DefaultParagraphFont"/>
                <w:rFonts w:ascii="Times New Roman" w:hAnsi="Times New Roman" w:cs="Times New Roman"/>
                <w:b w:val="0"/>
                <w:sz w:val="20"/>
                <w:szCs w:val="24"/>
              </w:rPr>
            </w:pPr>
          </w:p>
        </w:tc>
      </w:tr>
      <w:tr>
        <w:tblPrEx>
          <w:tblW w:w="16160" w:type="dxa"/>
          <w:tblInd w:w="-497" w:type="dxa"/>
          <w:tblLayout w:type="fixed"/>
          <w:tblCellMar>
            <w:top w:w="0" w:type="dxa"/>
            <w:left w:w="43" w:type="dxa"/>
            <w:bottom w:w="0" w:type="dxa"/>
            <w:right w:w="43" w:type="dxa"/>
          </w:tblCellMar>
        </w:tblPrEx>
        <w:trPr>
          <w:trHeight w:hRule="auto" w:val="0"/>
        </w:trPr>
        <w:tc>
          <w:tcPr>
            <w:tcW w:w="89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Č:1</w:t>
            </w:r>
          </w:p>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O:1</w:t>
            </w:r>
          </w:p>
        </w:tc>
        <w:tc>
          <w:tcPr>
            <w:tcW w:w="342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BodyText2"/>
              <w:jc w:val="both"/>
              <w:rPr>
                <w:rStyle w:val="DefaultParagraphFont"/>
                <w:rFonts w:ascii="Times New Roman" w:hAnsi="Times New Roman" w:cs="Times New Roman"/>
                <w:szCs w:val="24"/>
              </w:rPr>
            </w:pPr>
            <w:r>
              <w:rPr>
                <w:rStyle w:val="DefaultParagraphFont"/>
                <w:rFonts w:ascii="Times New Roman" w:hAnsi="Times New Roman" w:cs="Times New Roman"/>
                <w:szCs w:val="24"/>
              </w:rPr>
              <w:t>Cieľom tejto smernice, ktorá je šiestou individuálnou smernicou v zmysle článku 16 odstavec 1 smernice 89/391/EHS, je ochrana pracovníkov – pred rizikami pre bezpečnosť a zdravie vrá</w:t>
            </w:r>
            <w:r>
              <w:rPr>
                <w:rStyle w:val="DefaultParagraphFont"/>
                <w:rFonts w:ascii="Times New Roman" w:hAnsi="Times New Roman" w:cs="Times New Roman"/>
                <w:szCs w:val="24"/>
              </w:rPr>
              <w:t>tane prevencie takýchto rizík, ktoré vznikajú alebo pravdepodobne vzniknú z expozície karcinogénom alebo mutagénom pri práci.</w:t>
            </w:r>
          </w:p>
          <w:p w:rsidR="00F1062D">
            <w:pPr>
              <w:pStyle w:val="Normlny"/>
              <w:jc w:val="both"/>
              <w:rPr>
                <w:rStyle w:val="DefaultParagraphFont"/>
                <w:rFonts w:ascii="Times New Roman" w:hAnsi="Times New Roman" w:cs="Times New Roman"/>
                <w:szCs w:val="24"/>
              </w:rPr>
            </w:pPr>
          </w:p>
          <w:p w:rsidR="00F1062D">
            <w:pPr>
              <w:pStyle w:val="Normlny"/>
              <w:jc w:val="both"/>
              <w:rPr>
                <w:rStyle w:val="DefaultParagraphFont"/>
                <w:rFonts w:ascii="Times New Roman" w:hAnsi="Times New Roman" w:cs="Times New Roman"/>
                <w:szCs w:val="24"/>
              </w:rPr>
            </w:pPr>
            <w:r>
              <w:rPr>
                <w:rStyle w:val="DefaultParagraphFont"/>
                <w:rFonts w:ascii="Times New Roman" w:hAnsi="Times New Roman" w:cs="Times New Roman"/>
                <w:szCs w:val="24"/>
              </w:rPr>
              <w:t>Ustanovuje konkrétne minimálne požiadavky v tejto oblasti vrátane  limitných hodnôt.</w:t>
            </w:r>
          </w:p>
          <w:p w:rsidR="00F1062D">
            <w:pPr>
              <w:pStyle w:val="Normlny"/>
              <w:jc w:val="both"/>
              <w:rPr>
                <w:rStyle w:val="DefaultParagraphFont"/>
                <w:rFonts w:ascii="Times New Roman" w:hAnsi="Times New Roman" w:cs="Times New Roman"/>
                <w:szCs w:val="24"/>
              </w:rPr>
            </w:pP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16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Nariadenie vlády  </w:t>
            </w:r>
          </w:p>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SR č. 356/2006 Z.z. </w:t>
            </w: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 1</w:t>
            </w:r>
          </w:p>
          <w:p w:rsidR="00F1062D">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 1</w:t>
            </w: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tc>
        <w:tc>
          <w:tcPr>
            <w:tcW w:w="36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Toto nariadenie vlády (ďalej len “nariadenie”) ustanovuje požiadavky na  ochranu zdravia a bezpečnosti zamestnancov pred rizikami súvisiacimi s expozíciou karcinogénnym a mutagénnym faktorom pri práci a na predchádzanie týmto rizikám; vzťahuje sa na všetky činnosti, pri ktorých zamestnanci sú alebo môžu byť pri práci exponovaní karcinogénnym a mutagénnym faktorom.</w:t>
            </w:r>
          </w:p>
          <w:p w:rsidR="00F1062D">
            <w:pPr>
              <w:jc w:val="both"/>
              <w:rPr>
                <w:rStyle w:val="DefaultParagraphFont"/>
                <w:rFonts w:ascii="Times New Roman" w:hAnsi="Times New Roman" w:cs="Times New Roman"/>
                <w:sz w:val="20"/>
                <w:szCs w:val="24"/>
              </w:rPr>
            </w:pPr>
          </w:p>
          <w:p w:rsidR="00F1062D">
            <w:pPr>
              <w:pStyle w:val="Normlny"/>
              <w:jc w:val="both"/>
              <w:rPr>
                <w:rStyle w:val="DefaultParagraphFont"/>
                <w:rFonts w:ascii="Times New Roman" w:hAnsi="Times New Roman" w:cs="Times New Roman"/>
                <w:szCs w:val="24"/>
              </w:rPr>
            </w:pP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U</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MZ SR</w:t>
            </w: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rPr>
                <w:rStyle w:val="DefaultParagraphFont"/>
                <w:rFonts w:ascii="Times New Roman" w:hAnsi="Times New Roman" w:cs="Times New Roman"/>
                <w:b w:val="0"/>
                <w:sz w:val="20"/>
                <w:szCs w:val="24"/>
              </w:rPr>
            </w:pPr>
          </w:p>
        </w:tc>
        <w:tc>
          <w:tcPr>
            <w:tcW w:w="140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jc w:val="both"/>
              <w:rPr>
                <w:rStyle w:val="DefaultParagraphFont"/>
                <w:rFonts w:ascii="Times New Roman" w:hAnsi="Times New Roman" w:cs="Times New Roman"/>
                <w:b w:val="0"/>
                <w:sz w:val="20"/>
                <w:szCs w:val="24"/>
              </w:rPr>
            </w:pPr>
          </w:p>
        </w:tc>
      </w:tr>
      <w:tr>
        <w:tblPrEx>
          <w:tblW w:w="16160" w:type="dxa"/>
          <w:tblInd w:w="-497" w:type="dxa"/>
          <w:tblLayout w:type="fixed"/>
          <w:tblCellMar>
            <w:top w:w="0" w:type="dxa"/>
            <w:left w:w="43" w:type="dxa"/>
            <w:bottom w:w="0" w:type="dxa"/>
            <w:right w:w="43" w:type="dxa"/>
          </w:tblCellMar>
        </w:tblPrEx>
        <w:trPr>
          <w:trHeight w:hRule="auto" w:val="0"/>
        </w:trPr>
        <w:tc>
          <w:tcPr>
            <w:tcW w:w="89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Č:1</w:t>
            </w:r>
          </w:p>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O:2</w:t>
            </w:r>
          </w:p>
        </w:tc>
        <w:tc>
          <w:tcPr>
            <w:tcW w:w="342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Táto smernica neplatí pre pracovníkov, ktorí sú exponovaní  iba radiácii obsiahnutej v Zmluve o založení Eur</w:t>
            </w:r>
            <w:r>
              <w:rPr>
                <w:rStyle w:val="DefaultParagraphFont"/>
                <w:rFonts w:ascii="Times New Roman" w:hAnsi="Times New Roman" w:cs="Times New Roman"/>
                <w:szCs w:val="24"/>
              </w:rPr>
              <w:t>ópskeho spoločenstva pre atómovú energiu.</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16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Nariadenie vlády</w:t>
            </w:r>
          </w:p>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SR č. 356/2006 Z.z.</w:t>
            </w: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 1</w:t>
            </w:r>
          </w:p>
          <w:p w:rsidR="00F1062D">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 2</w:t>
            </w:r>
          </w:p>
        </w:tc>
        <w:tc>
          <w:tcPr>
            <w:tcW w:w="36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Toto nariadenie vlády sa nevzťahuje na zamestnancov, ktorí sú pri práci exponovaní len ionizujúcemu žiareniu</w:t>
            </w:r>
            <w:r>
              <w:rPr>
                <w:rStyle w:val="FootnoteReference"/>
                <w:rFonts w:ascii="Times New Roman" w:hAnsi="Times New Roman" w:cs="Times New Roman"/>
                <w:sz w:val="20"/>
                <w:szCs w:val="24"/>
                <w:rtl w:val="0"/>
              </w:rPr>
              <w:footnoteReference w:customMarkFollows="1" w:id="2"/>
              <w:t xml:space="preserve">1</w:t>
            </w:r>
            <w:r>
              <w:rPr>
                <w:rStyle w:val="DefaultParagraphFont"/>
                <w:rFonts w:ascii="Times New Roman" w:hAnsi="Times New Roman" w:cs="Times New Roman"/>
                <w:sz w:val="20"/>
                <w:szCs w:val="24"/>
                <w:vertAlign w:val="superscript"/>
              </w:rPr>
              <w:t>)</w:t>
            </w:r>
            <w:r>
              <w:rPr>
                <w:rStyle w:val="DefaultParagraphFont"/>
                <w:rFonts w:ascii="Times New Roman" w:hAnsi="Times New Roman" w:cs="Times New Roman"/>
                <w:sz w:val="20"/>
                <w:szCs w:val="24"/>
              </w:rPr>
              <w:t>.</w:t>
            </w:r>
          </w:p>
          <w:p w:rsidR="00F1062D">
            <w:pPr>
              <w:pStyle w:val="Normlny"/>
              <w:jc w:val="both"/>
              <w:rPr>
                <w:rStyle w:val="DefaultParagraphFont"/>
                <w:rFonts w:ascii="Times New Roman" w:hAnsi="Times New Roman" w:cs="Times New Roman"/>
                <w:szCs w:val="24"/>
              </w:rPr>
            </w:pP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U</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MZ SR</w:t>
            </w: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rPr>
                <w:rStyle w:val="DefaultParagraphFont"/>
                <w:rFonts w:ascii="Times New Roman" w:hAnsi="Times New Roman" w:cs="Times New Roman"/>
                <w:b w:val="0"/>
                <w:sz w:val="20"/>
                <w:szCs w:val="24"/>
              </w:rPr>
            </w:pPr>
          </w:p>
        </w:tc>
        <w:tc>
          <w:tcPr>
            <w:tcW w:w="140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jc w:val="both"/>
              <w:rPr>
                <w:rStyle w:val="DefaultParagraphFont"/>
                <w:rFonts w:ascii="Times New Roman" w:hAnsi="Times New Roman" w:cs="Times New Roman"/>
                <w:b w:val="0"/>
                <w:sz w:val="20"/>
                <w:szCs w:val="24"/>
              </w:rPr>
            </w:pPr>
          </w:p>
        </w:tc>
      </w:tr>
      <w:tr>
        <w:tblPrEx>
          <w:tblW w:w="16160" w:type="dxa"/>
          <w:tblInd w:w="-497" w:type="dxa"/>
          <w:tblLayout w:type="fixed"/>
          <w:tblCellMar>
            <w:top w:w="0" w:type="dxa"/>
            <w:left w:w="43" w:type="dxa"/>
            <w:bottom w:w="0" w:type="dxa"/>
            <w:right w:w="43" w:type="dxa"/>
          </w:tblCellMar>
        </w:tblPrEx>
        <w:trPr>
          <w:trHeight w:hRule="auto" w:val="0"/>
        </w:trPr>
        <w:tc>
          <w:tcPr>
            <w:tcW w:w="89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Č:1</w:t>
            </w:r>
          </w:p>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O:3</w:t>
            </w:r>
          </w:p>
        </w:tc>
        <w:tc>
          <w:tcPr>
            <w:tcW w:w="342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rPr>
                <w:rStyle w:val="WW8Num7z0"/>
                <w:rFonts w:ascii="Times New Roman" w:hAnsi="Times New Roman" w:cs="Times New Roman"/>
                <w:sz w:val="20"/>
                <w:szCs w:val="24"/>
              </w:rPr>
            </w:pPr>
            <w:r>
              <w:rPr>
                <w:rStyle w:val="WW8Num7z0"/>
                <w:rFonts w:ascii="Times New Roman" w:hAnsi="Times New Roman" w:cs="Times New Roman"/>
                <w:sz w:val="20"/>
                <w:szCs w:val="24"/>
              </w:rPr>
              <w:t>Smernica 89/391/EHS platí v plnom rozsahu pre celú oblasť uvedenú v odseku 1 s rešpektovaním prísnejší</w:t>
            </w:r>
            <w:r>
              <w:rPr>
                <w:rStyle w:val="WW8Num7z0"/>
                <w:rFonts w:ascii="Times New Roman" w:hAnsi="Times New Roman" w:cs="Times New Roman"/>
                <w:sz w:val="20"/>
                <w:szCs w:val="24"/>
              </w:rPr>
              <w:t>ch a/alebo osobitných ustanovení tejto smernice.</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16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Nariadenie vlády</w:t>
            </w:r>
          </w:p>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SR č. 356/2006 Z.z.</w:t>
            </w: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 1</w:t>
            </w:r>
          </w:p>
          <w:p w:rsidR="00F1062D">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 3</w:t>
            </w:r>
          </w:p>
        </w:tc>
        <w:tc>
          <w:tcPr>
            <w:tcW w:w="36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both"/>
              <w:rPr>
                <w:rStyle w:val="DefaultParagraphFont"/>
                <w:rFonts w:ascii="Times New Roman" w:hAnsi="Times New Roman" w:cs="Times New Roman"/>
                <w:szCs w:val="24"/>
              </w:rPr>
            </w:pPr>
            <w:r>
              <w:rPr>
                <w:rStyle w:val="DefaultParagraphFont"/>
                <w:rFonts w:ascii="Times New Roman" w:hAnsi="Times New Roman" w:cs="Times New Roman"/>
                <w:sz w:val="20"/>
                <w:szCs w:val="24"/>
              </w:rPr>
              <w:t>Ustanovenia osobitných predpisov upravujúcich bezpečnosť a ochranu zdravia pri práci</w:t>
            </w:r>
            <w:r>
              <w:rPr>
                <w:rStyle w:val="FootnoteReference"/>
                <w:rFonts w:ascii="Times New Roman" w:hAnsi="Times New Roman" w:cs="Times New Roman"/>
                <w:sz w:val="20"/>
                <w:szCs w:val="24"/>
                <w:rtl w:val="0"/>
              </w:rPr>
              <w:footnoteReference w:customMarkFollows="1" w:id="3"/>
              <w:t xml:space="preserve">2</w:t>
            </w:r>
            <w:r>
              <w:rPr>
                <w:rStyle w:val="FootnoteReference"/>
                <w:rFonts w:ascii="Times New Roman" w:hAnsi="Times New Roman" w:cs="Times New Roman"/>
                <w:sz w:val="20"/>
                <w:szCs w:val="24"/>
              </w:rPr>
              <w:t>)</w:t>
            </w:r>
            <w:r>
              <w:rPr>
                <w:rStyle w:val="DefaultParagraphFont"/>
                <w:rFonts w:ascii="Times New Roman" w:hAnsi="Times New Roman" w:cs="Times New Roman"/>
                <w:sz w:val="20"/>
                <w:szCs w:val="24"/>
              </w:rPr>
              <w:t xml:space="preserve"> nie sú týmto nariadením dotknuté.</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U</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MZ SR</w:t>
            </w: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rPr>
                <w:rStyle w:val="DefaultParagraphFont"/>
                <w:rFonts w:ascii="Times New Roman" w:hAnsi="Times New Roman" w:cs="Times New Roman"/>
                <w:b w:val="0"/>
                <w:sz w:val="20"/>
                <w:szCs w:val="24"/>
              </w:rPr>
            </w:pPr>
          </w:p>
        </w:tc>
        <w:tc>
          <w:tcPr>
            <w:tcW w:w="140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jc w:val="both"/>
              <w:rPr>
                <w:rStyle w:val="DefaultParagraphFont"/>
                <w:rFonts w:ascii="Times New Roman" w:hAnsi="Times New Roman" w:cs="Times New Roman"/>
                <w:b w:val="0"/>
                <w:sz w:val="20"/>
                <w:szCs w:val="24"/>
              </w:rPr>
            </w:pPr>
          </w:p>
        </w:tc>
      </w:tr>
      <w:tr>
        <w:tblPrEx>
          <w:tblW w:w="16160" w:type="dxa"/>
          <w:tblInd w:w="-497" w:type="dxa"/>
          <w:tblLayout w:type="fixed"/>
          <w:tblCellMar>
            <w:top w:w="0" w:type="dxa"/>
            <w:left w:w="43" w:type="dxa"/>
            <w:bottom w:w="0" w:type="dxa"/>
            <w:right w:w="43" w:type="dxa"/>
          </w:tblCellMar>
        </w:tblPrEx>
        <w:trPr>
          <w:trHeight w:hRule="auto" w:val="0"/>
        </w:trPr>
        <w:tc>
          <w:tcPr>
            <w:tcW w:w="89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Č:1</w:t>
            </w:r>
          </w:p>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O:4</w:t>
            </w:r>
          </w:p>
        </w:tc>
        <w:tc>
          <w:tcPr>
            <w:tcW w:w="342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abc"/>
              <w:tabs>
                <w:tab w:val="clear" w:pos="360"/>
                <w:tab w:val="clear" w:pos="680"/>
              </w:tabs>
              <w:rPr>
                <w:rStyle w:val="DefaultParagraphFont"/>
                <w:rFonts w:ascii="Times New Roman" w:hAnsi="Times New Roman" w:cs="Times New Roman"/>
                <w:b/>
                <w:szCs w:val="24"/>
              </w:rPr>
            </w:pPr>
            <w:r>
              <w:rPr>
                <w:rStyle w:val="DefaultParagraphFont"/>
                <w:rFonts w:ascii="Times New Roman" w:hAnsi="Times New Roman" w:cs="Times New Roman"/>
                <w:szCs w:val="24"/>
              </w:rPr>
              <w:t>Pokiaľ ide o azbest, ktorým sa zaoberá smernica 83/477/EHS (8), ustanovenia tejto smernice platia v prípade, keď sú výhodnejšie pre bezpečnosť a </w:t>
            </w:r>
            <w:r>
              <w:rPr>
                <w:rStyle w:val="DefaultParagraphFont"/>
                <w:rFonts w:ascii="Times New Roman" w:hAnsi="Times New Roman" w:cs="Times New Roman"/>
                <w:szCs w:val="24"/>
              </w:rPr>
              <w:t>ochranu zdravia pri práci.</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16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Nariadenie vlády</w:t>
            </w:r>
          </w:p>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SR č. 356/2006 Z.z.</w:t>
            </w: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 1</w:t>
            </w:r>
          </w:p>
          <w:p w:rsidR="00F1062D">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 4</w:t>
            </w:r>
          </w:p>
        </w:tc>
        <w:tc>
          <w:tcPr>
            <w:tcW w:w="36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Na expozíciu azbestu, ktorý upravuje osobitný predpis</w:t>
            </w:r>
            <w:r>
              <w:rPr>
                <w:rStyle w:val="FootnoteReference"/>
                <w:rFonts w:ascii="Times New Roman" w:hAnsi="Times New Roman" w:cs="Times New Roman"/>
                <w:sz w:val="20"/>
                <w:szCs w:val="24"/>
                <w:rtl w:val="0"/>
              </w:rPr>
              <w:footnoteReference w:customMarkFollows="1" w:id="4"/>
              <w:t xml:space="preserve">3</w:t>
            </w:r>
            <w:r>
              <w:rPr>
                <w:rStyle w:val="FootnoteReference"/>
                <w:rFonts w:ascii="Times New Roman" w:hAnsi="Times New Roman" w:cs="Times New Roman"/>
                <w:sz w:val="20"/>
                <w:szCs w:val="24"/>
              </w:rPr>
              <w:t>)</w:t>
            </w:r>
            <w:r>
              <w:rPr>
                <w:rStyle w:val="DefaultParagraphFont"/>
                <w:rFonts w:ascii="Times New Roman" w:hAnsi="Times New Roman" w:cs="Times New Roman"/>
                <w:sz w:val="20"/>
                <w:szCs w:val="24"/>
              </w:rPr>
              <w:t>, sa ustanovenia tohoto nariadenia vzťahujú, ak poskytujú väčší rozsah ochrany zdravia a bezpečnosti pri práci.</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U</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MZ SR</w:t>
            </w: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rPr>
                <w:rStyle w:val="DefaultParagraphFont"/>
                <w:rFonts w:ascii="Times New Roman" w:hAnsi="Times New Roman" w:cs="Times New Roman"/>
                <w:b w:val="0"/>
                <w:sz w:val="20"/>
                <w:szCs w:val="24"/>
              </w:rPr>
            </w:pPr>
          </w:p>
        </w:tc>
        <w:tc>
          <w:tcPr>
            <w:tcW w:w="140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jc w:val="both"/>
              <w:rPr>
                <w:rStyle w:val="DefaultParagraphFont"/>
                <w:rFonts w:ascii="Times New Roman" w:hAnsi="Times New Roman" w:cs="Times New Roman"/>
                <w:b w:val="0"/>
                <w:sz w:val="20"/>
                <w:szCs w:val="24"/>
              </w:rPr>
            </w:pPr>
          </w:p>
        </w:tc>
      </w:tr>
      <w:tr>
        <w:tblPrEx>
          <w:tblW w:w="16160" w:type="dxa"/>
          <w:tblInd w:w="-497" w:type="dxa"/>
          <w:tblLayout w:type="fixed"/>
          <w:tblCellMar>
            <w:top w:w="0" w:type="dxa"/>
            <w:left w:w="43" w:type="dxa"/>
            <w:bottom w:w="0" w:type="dxa"/>
            <w:right w:w="43" w:type="dxa"/>
          </w:tblCellMar>
        </w:tblPrEx>
        <w:trPr>
          <w:trHeight w:hRule="auto" w:val="0"/>
        </w:trPr>
        <w:tc>
          <w:tcPr>
            <w:tcW w:w="89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Č:2</w:t>
            </w:r>
          </w:p>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P:a až b)</w:t>
            </w:r>
          </w:p>
          <w:p w:rsidR="00F1062D">
            <w:pPr>
              <w:pStyle w:val="Normlny"/>
              <w:rPr>
                <w:rStyle w:val="DefaultParagraphFont"/>
                <w:rFonts w:ascii="Times New Roman" w:hAnsi="Times New Roman" w:cs="Times New Roman"/>
                <w:szCs w:val="24"/>
              </w:rPr>
            </w:pPr>
          </w:p>
          <w:p w:rsidR="00F1062D">
            <w:pPr>
              <w:jc w:val="center"/>
              <w:rPr>
                <w:rStyle w:val="DefaultParagraphFont"/>
                <w:rFonts w:ascii="Times New Roman" w:hAnsi="Times New Roman" w:cs="Times New Roman"/>
                <w:sz w:val="20"/>
                <w:szCs w:val="24"/>
              </w:rPr>
            </w:pPr>
          </w:p>
          <w:p w:rsidR="00F1062D">
            <w:pPr>
              <w:jc w:val="center"/>
              <w:rPr>
                <w:rStyle w:val="DefaultParagraphFont"/>
                <w:rFonts w:ascii="Times New Roman" w:hAnsi="Times New Roman" w:cs="Times New Roman"/>
                <w:sz w:val="20"/>
                <w:szCs w:val="24"/>
              </w:rPr>
            </w:pPr>
          </w:p>
          <w:p w:rsidR="00F1062D">
            <w:pPr>
              <w:jc w:val="center"/>
              <w:rPr>
                <w:rStyle w:val="DefaultParagraphFont"/>
                <w:rFonts w:ascii="Times New Roman" w:hAnsi="Times New Roman" w:cs="Times New Roman"/>
                <w:sz w:val="20"/>
                <w:szCs w:val="24"/>
              </w:rPr>
            </w:pPr>
          </w:p>
          <w:p w:rsidR="00F1062D">
            <w:pPr>
              <w:jc w:val="center"/>
              <w:rPr>
                <w:rStyle w:val="DefaultParagraphFont"/>
                <w:rFonts w:ascii="Times New Roman" w:hAnsi="Times New Roman" w:cs="Times New Roman"/>
                <w:sz w:val="20"/>
                <w:szCs w:val="24"/>
              </w:rPr>
            </w:pPr>
          </w:p>
          <w:p w:rsidR="00F1062D">
            <w:pPr>
              <w:jc w:val="center"/>
              <w:rPr>
                <w:rStyle w:val="DefaultParagraphFont"/>
                <w:rFonts w:ascii="Times New Roman" w:hAnsi="Times New Roman" w:cs="Times New Roman"/>
                <w:sz w:val="20"/>
                <w:szCs w:val="24"/>
              </w:rPr>
            </w:pPr>
          </w:p>
          <w:p w:rsidR="00F1062D">
            <w:pPr>
              <w:jc w:val="center"/>
              <w:rPr>
                <w:rStyle w:val="DefaultParagraphFont"/>
                <w:rFonts w:ascii="Times New Roman" w:hAnsi="Times New Roman" w:cs="Times New Roman"/>
                <w:sz w:val="20"/>
                <w:szCs w:val="24"/>
              </w:rPr>
            </w:pPr>
          </w:p>
          <w:p w:rsidR="00F1062D">
            <w:pPr>
              <w:jc w:val="center"/>
              <w:rPr>
                <w:rStyle w:val="DefaultParagraphFont"/>
                <w:rFonts w:ascii="Times New Roman" w:hAnsi="Times New Roman" w:cs="Times New Roman"/>
                <w:sz w:val="20"/>
                <w:szCs w:val="24"/>
              </w:rPr>
            </w:pPr>
          </w:p>
          <w:p w:rsidR="00F1062D">
            <w:pPr>
              <w:jc w:val="center"/>
              <w:rPr>
                <w:rStyle w:val="DefaultParagraphFont"/>
                <w:rFonts w:ascii="Times New Roman" w:hAnsi="Times New Roman" w:cs="Times New Roman"/>
                <w:sz w:val="20"/>
                <w:szCs w:val="24"/>
              </w:rPr>
            </w:pPr>
          </w:p>
          <w:p w:rsidR="00F1062D">
            <w:pPr>
              <w:jc w:val="center"/>
              <w:rPr>
                <w:rStyle w:val="DefaultParagraphFont"/>
                <w:rFonts w:ascii="Times New Roman" w:hAnsi="Times New Roman" w:cs="Times New Roman"/>
                <w:sz w:val="20"/>
                <w:szCs w:val="24"/>
              </w:rPr>
            </w:pPr>
          </w:p>
          <w:p w:rsidR="00F1062D">
            <w:pPr>
              <w:jc w:val="center"/>
              <w:rPr>
                <w:rStyle w:val="DefaultParagraphFont"/>
                <w:rFonts w:ascii="Times New Roman" w:hAnsi="Times New Roman" w:cs="Times New Roman"/>
                <w:sz w:val="20"/>
                <w:szCs w:val="24"/>
              </w:rPr>
            </w:pPr>
          </w:p>
          <w:p w:rsidR="00F1062D">
            <w:pPr>
              <w:jc w:val="center"/>
              <w:rPr>
                <w:rStyle w:val="DefaultParagraphFont"/>
                <w:rFonts w:ascii="Times New Roman" w:hAnsi="Times New Roman" w:cs="Times New Roman"/>
                <w:sz w:val="20"/>
                <w:szCs w:val="24"/>
              </w:rPr>
            </w:pPr>
          </w:p>
          <w:p w:rsidR="00F1062D">
            <w:pPr>
              <w:jc w:val="center"/>
              <w:rPr>
                <w:rStyle w:val="DefaultParagraphFont"/>
                <w:rFonts w:ascii="Times New Roman" w:hAnsi="Times New Roman" w:cs="Times New Roman"/>
                <w:sz w:val="20"/>
                <w:szCs w:val="24"/>
              </w:rPr>
            </w:pPr>
          </w:p>
          <w:p w:rsidR="00F1062D">
            <w:pPr>
              <w:jc w:val="center"/>
              <w:rPr>
                <w:rStyle w:val="DefaultParagraphFont"/>
                <w:rFonts w:ascii="Times New Roman" w:hAnsi="Times New Roman" w:cs="Times New Roman"/>
                <w:sz w:val="20"/>
                <w:szCs w:val="24"/>
              </w:rPr>
            </w:pPr>
          </w:p>
          <w:p w:rsidR="00F1062D">
            <w:pPr>
              <w:jc w:val="center"/>
              <w:rPr>
                <w:rStyle w:val="DefaultParagraphFont"/>
                <w:rFonts w:ascii="Times New Roman" w:hAnsi="Times New Roman" w:cs="Times New Roman"/>
                <w:sz w:val="20"/>
                <w:szCs w:val="24"/>
              </w:rPr>
            </w:pPr>
          </w:p>
          <w:p w:rsidR="00F1062D">
            <w:pPr>
              <w:jc w:val="center"/>
              <w:rPr>
                <w:rStyle w:val="DefaultParagraphFont"/>
                <w:rFonts w:ascii="Times New Roman" w:hAnsi="Times New Roman" w:cs="Times New Roman"/>
                <w:sz w:val="20"/>
                <w:szCs w:val="24"/>
              </w:rPr>
            </w:pPr>
          </w:p>
          <w:p w:rsidR="00F1062D">
            <w:pPr>
              <w:rPr>
                <w:rStyle w:val="DefaultParagraphFont"/>
                <w:rFonts w:ascii="Times New Roman" w:hAnsi="Times New Roman" w:cs="Times New Roman"/>
                <w:sz w:val="20"/>
                <w:szCs w:val="24"/>
              </w:rPr>
            </w:pPr>
          </w:p>
          <w:p w:rsidR="00F1062D">
            <w:pPr>
              <w:jc w:val="center"/>
              <w:rPr>
                <w:rStyle w:val="DefaultParagraphFont"/>
                <w:rFonts w:ascii="Times New Roman" w:hAnsi="Times New Roman" w:cs="Times New Roman"/>
                <w:sz w:val="20"/>
                <w:szCs w:val="24"/>
              </w:rPr>
            </w:pPr>
          </w:p>
          <w:p w:rsidR="00F1062D">
            <w:pPr>
              <w:jc w:val="center"/>
              <w:rPr>
                <w:rStyle w:val="DefaultParagraphFont"/>
                <w:rFonts w:ascii="Times New Roman" w:hAnsi="Times New Roman" w:cs="Times New Roman"/>
                <w:sz w:val="20"/>
                <w:szCs w:val="24"/>
              </w:rPr>
            </w:pPr>
          </w:p>
          <w:p w:rsidR="00F1062D">
            <w:pPr>
              <w:jc w:val="center"/>
              <w:rPr>
                <w:rStyle w:val="DefaultParagraphFont"/>
                <w:rFonts w:ascii="Times New Roman" w:hAnsi="Times New Roman" w:cs="Times New Roman"/>
                <w:sz w:val="20"/>
                <w:szCs w:val="24"/>
              </w:rPr>
            </w:pPr>
          </w:p>
          <w:p w:rsidR="00F1062D">
            <w:pPr>
              <w:jc w:val="center"/>
              <w:rPr>
                <w:rStyle w:val="DefaultParagraphFont"/>
                <w:rFonts w:ascii="Times New Roman" w:hAnsi="Times New Roman" w:cs="Times New Roman"/>
                <w:sz w:val="20"/>
                <w:szCs w:val="24"/>
              </w:rPr>
            </w:pPr>
          </w:p>
          <w:p w:rsidR="00F1062D">
            <w:pPr>
              <w:rPr>
                <w:rStyle w:val="DefaultParagraphFont"/>
                <w:rFonts w:ascii="Times New Roman" w:hAnsi="Times New Roman" w:cs="Times New Roman"/>
                <w:sz w:val="20"/>
                <w:szCs w:val="24"/>
              </w:rPr>
            </w:pPr>
          </w:p>
          <w:p w:rsidR="00F1062D">
            <w:pPr>
              <w:rPr>
                <w:rStyle w:val="DefaultParagraphFont"/>
                <w:rFonts w:ascii="Times New Roman" w:hAnsi="Times New Roman" w:cs="Times New Roman"/>
                <w:sz w:val="20"/>
                <w:szCs w:val="24"/>
              </w:rPr>
            </w:pPr>
          </w:p>
          <w:p w:rsidR="00F1062D">
            <w:pPr>
              <w:jc w:val="center"/>
              <w:rPr>
                <w:rStyle w:val="DefaultParagraphFont"/>
                <w:rFonts w:ascii="Times New Roman" w:hAnsi="Times New Roman" w:cs="Times New Roman"/>
                <w:sz w:val="20"/>
                <w:szCs w:val="24"/>
              </w:rPr>
            </w:pPr>
          </w:p>
          <w:p w:rsidR="00F1062D">
            <w:pPr>
              <w:jc w:val="center"/>
              <w:rPr>
                <w:rStyle w:val="DefaultParagraphFont"/>
                <w:rFonts w:ascii="Times New Roman" w:hAnsi="Times New Roman" w:cs="Times New Roman"/>
                <w:sz w:val="20"/>
                <w:szCs w:val="24"/>
              </w:rPr>
            </w:pPr>
          </w:p>
          <w:p w:rsidR="00F1062D">
            <w:pPr>
              <w:jc w:val="center"/>
              <w:rPr>
                <w:rStyle w:val="DefaultParagraphFont"/>
                <w:rFonts w:ascii="Times New Roman" w:hAnsi="Times New Roman" w:cs="Times New Roman"/>
                <w:sz w:val="20"/>
                <w:szCs w:val="24"/>
              </w:rPr>
            </w:pPr>
          </w:p>
          <w:p w:rsidR="00F1062D">
            <w:pPr>
              <w:jc w:val="center"/>
              <w:rPr>
                <w:rStyle w:val="DefaultParagraphFont"/>
                <w:rFonts w:ascii="Times New Roman" w:hAnsi="Times New Roman" w:cs="Times New Roman"/>
                <w:sz w:val="20"/>
                <w:szCs w:val="24"/>
              </w:rPr>
            </w:pPr>
          </w:p>
          <w:p w:rsidR="00F1062D">
            <w:pPr>
              <w:jc w:val="center"/>
              <w:rPr>
                <w:rStyle w:val="DefaultParagraphFont"/>
                <w:rFonts w:ascii="Times New Roman" w:hAnsi="Times New Roman" w:cs="Times New Roman"/>
                <w:sz w:val="20"/>
                <w:szCs w:val="24"/>
              </w:rPr>
            </w:pPr>
          </w:p>
          <w:p w:rsidR="00F1062D">
            <w:pPr>
              <w:jc w:val="center"/>
              <w:rPr>
                <w:rStyle w:val="DefaultParagraphFont"/>
                <w:rFonts w:ascii="Times New Roman" w:hAnsi="Times New Roman" w:cs="Times New Roman"/>
                <w:sz w:val="20"/>
                <w:szCs w:val="24"/>
              </w:rPr>
            </w:pPr>
          </w:p>
          <w:p w:rsidR="00F1062D">
            <w:pPr>
              <w:jc w:val="center"/>
              <w:rPr>
                <w:rStyle w:val="DefaultParagraphFont"/>
                <w:rFonts w:ascii="Times New Roman" w:hAnsi="Times New Roman" w:cs="Times New Roman"/>
                <w:sz w:val="20"/>
                <w:szCs w:val="24"/>
              </w:rPr>
            </w:pPr>
          </w:p>
          <w:p w:rsidR="00F1062D">
            <w:pPr>
              <w:jc w:val="center"/>
              <w:rPr>
                <w:rStyle w:val="DefaultParagraphFont"/>
                <w:rFonts w:ascii="Times New Roman" w:hAnsi="Times New Roman" w:cs="Times New Roman"/>
                <w:sz w:val="20"/>
                <w:szCs w:val="24"/>
              </w:rPr>
            </w:pPr>
          </w:p>
          <w:p w:rsidR="00F1062D">
            <w:pPr>
              <w:jc w:val="center"/>
              <w:rPr>
                <w:rStyle w:val="DefaultParagraphFont"/>
                <w:rFonts w:ascii="Times New Roman" w:hAnsi="Times New Roman" w:cs="Times New Roman"/>
                <w:sz w:val="20"/>
                <w:szCs w:val="24"/>
              </w:rPr>
            </w:pPr>
          </w:p>
          <w:p w:rsidR="00F1062D">
            <w:pPr>
              <w:jc w:val="center"/>
              <w:rPr>
                <w:rStyle w:val="DefaultParagraphFont"/>
                <w:rFonts w:ascii="Times New Roman" w:hAnsi="Times New Roman" w:cs="Times New Roman"/>
                <w:sz w:val="20"/>
                <w:szCs w:val="24"/>
              </w:rPr>
            </w:pPr>
          </w:p>
          <w:p w:rsidR="00F1062D">
            <w:pPr>
              <w:jc w:val="center"/>
              <w:rPr>
                <w:rStyle w:val="DefaultParagraphFont"/>
                <w:rFonts w:ascii="Times New Roman" w:hAnsi="Times New Roman" w:cs="Times New Roman"/>
                <w:sz w:val="20"/>
                <w:szCs w:val="24"/>
              </w:rPr>
            </w:pPr>
          </w:p>
          <w:p w:rsidR="00F1062D">
            <w:pPr>
              <w:jc w:val="center"/>
              <w:rPr>
                <w:rStyle w:val="DefaultParagraphFont"/>
                <w:rFonts w:ascii="Times New Roman" w:hAnsi="Times New Roman" w:cs="Times New Roman"/>
                <w:sz w:val="20"/>
                <w:szCs w:val="24"/>
              </w:rPr>
            </w:pPr>
          </w:p>
          <w:p w:rsidR="00F1062D">
            <w:pPr>
              <w:jc w:val="center"/>
              <w:rPr>
                <w:rStyle w:val="DefaultParagraphFont"/>
                <w:rFonts w:ascii="Times New Roman" w:hAnsi="Times New Roman" w:cs="Times New Roman"/>
                <w:sz w:val="20"/>
                <w:szCs w:val="24"/>
              </w:rPr>
            </w:pPr>
          </w:p>
          <w:p w:rsidR="00F1062D">
            <w:pPr>
              <w:jc w:val="center"/>
              <w:rPr>
                <w:rStyle w:val="DefaultParagraphFont"/>
                <w:rFonts w:ascii="Times New Roman" w:hAnsi="Times New Roman" w:cs="Times New Roman"/>
                <w:sz w:val="20"/>
                <w:szCs w:val="24"/>
              </w:rPr>
            </w:pPr>
          </w:p>
          <w:p w:rsidR="00F1062D">
            <w:pPr>
              <w:jc w:val="center"/>
              <w:rPr>
                <w:rStyle w:val="DefaultParagraphFont"/>
                <w:rFonts w:ascii="Times New Roman" w:hAnsi="Times New Roman" w:cs="Times New Roman"/>
                <w:sz w:val="20"/>
                <w:szCs w:val="24"/>
              </w:rPr>
            </w:pPr>
          </w:p>
          <w:p w:rsidR="00F1062D">
            <w:pPr>
              <w:jc w:val="center"/>
              <w:rPr>
                <w:rStyle w:val="DefaultParagraphFont"/>
                <w:rFonts w:ascii="Times New Roman" w:hAnsi="Times New Roman" w:cs="Times New Roman"/>
                <w:sz w:val="20"/>
                <w:szCs w:val="24"/>
              </w:rPr>
            </w:pPr>
          </w:p>
          <w:p w:rsidR="00F1062D">
            <w:pPr>
              <w:jc w:val="center"/>
              <w:rPr>
                <w:rStyle w:val="DefaultParagraphFont"/>
                <w:rFonts w:ascii="Times New Roman" w:hAnsi="Times New Roman" w:cs="Times New Roman"/>
                <w:sz w:val="20"/>
                <w:szCs w:val="24"/>
              </w:rPr>
            </w:pPr>
          </w:p>
          <w:p w:rsidR="00F1062D">
            <w:pPr>
              <w:rPr>
                <w:rStyle w:val="DefaultParagraphFont"/>
                <w:rFonts w:ascii="Times New Roman" w:hAnsi="Times New Roman" w:cs="Times New Roman"/>
                <w:sz w:val="20"/>
                <w:szCs w:val="24"/>
              </w:rPr>
            </w:pPr>
          </w:p>
          <w:p w:rsidR="00F1062D">
            <w:pPr>
              <w:jc w:val="center"/>
              <w:rPr>
                <w:rStyle w:val="DefaultParagraphFont"/>
                <w:rFonts w:ascii="Times New Roman" w:hAnsi="Times New Roman" w:cs="Times New Roman"/>
                <w:sz w:val="20"/>
                <w:szCs w:val="24"/>
              </w:rPr>
            </w:pPr>
          </w:p>
          <w:p w:rsidR="00F1062D">
            <w:pPr>
              <w:jc w:val="center"/>
              <w:rPr>
                <w:rStyle w:val="DefaultParagraphFont"/>
                <w:rFonts w:ascii="Times New Roman" w:hAnsi="Times New Roman" w:cs="Times New Roman"/>
                <w:sz w:val="20"/>
                <w:szCs w:val="24"/>
              </w:rPr>
            </w:pPr>
          </w:p>
          <w:p w:rsidR="00F1062D">
            <w:pPr>
              <w:jc w:val="center"/>
              <w:rPr>
                <w:rStyle w:val="DefaultParagraphFont"/>
                <w:rFonts w:ascii="Times New Roman" w:hAnsi="Times New Roman" w:cs="Times New Roman"/>
                <w:sz w:val="20"/>
                <w:szCs w:val="24"/>
              </w:rPr>
            </w:pPr>
          </w:p>
          <w:p w:rsidR="00F1062D">
            <w:pPr>
              <w:jc w:val="center"/>
              <w:rPr>
                <w:rStyle w:val="DefaultParagraphFont"/>
                <w:rFonts w:ascii="Times New Roman" w:hAnsi="Times New Roman" w:cs="Times New Roman"/>
                <w:sz w:val="20"/>
                <w:szCs w:val="24"/>
              </w:rPr>
            </w:pPr>
          </w:p>
          <w:p w:rsidR="00F1062D">
            <w:pPr>
              <w:jc w:val="center"/>
              <w:rPr>
                <w:rStyle w:val="DefaultParagraphFont"/>
                <w:rFonts w:ascii="Times New Roman" w:hAnsi="Times New Roman" w:cs="Times New Roman"/>
                <w:sz w:val="20"/>
                <w:szCs w:val="24"/>
              </w:rPr>
            </w:pPr>
          </w:p>
          <w:p w:rsidR="00F1062D">
            <w:pPr>
              <w:jc w:val="center"/>
              <w:rPr>
                <w:rStyle w:val="DefaultParagraphFont"/>
                <w:rFonts w:ascii="Times New Roman" w:hAnsi="Times New Roman" w:cs="Times New Roman"/>
                <w:sz w:val="20"/>
                <w:szCs w:val="24"/>
              </w:rPr>
            </w:pPr>
          </w:p>
          <w:p w:rsidR="00F1062D">
            <w:pPr>
              <w:jc w:val="center"/>
              <w:rPr>
                <w:rStyle w:val="DefaultParagraphFont"/>
                <w:rFonts w:ascii="Times New Roman" w:hAnsi="Times New Roman" w:cs="Times New Roman"/>
                <w:sz w:val="20"/>
                <w:szCs w:val="24"/>
              </w:rPr>
            </w:pPr>
          </w:p>
          <w:p w:rsidR="00F1062D">
            <w:pPr>
              <w:jc w:val="center"/>
              <w:rPr>
                <w:rStyle w:val="DefaultParagraphFont"/>
                <w:rFonts w:ascii="Times New Roman" w:hAnsi="Times New Roman" w:cs="Times New Roman"/>
                <w:sz w:val="20"/>
                <w:szCs w:val="24"/>
              </w:rPr>
            </w:pPr>
          </w:p>
          <w:p w:rsidR="00F1062D">
            <w:pPr>
              <w:jc w:val="center"/>
              <w:rPr>
                <w:rStyle w:val="DefaultParagraphFont"/>
                <w:rFonts w:ascii="Times New Roman" w:hAnsi="Times New Roman" w:cs="Times New Roman"/>
                <w:sz w:val="20"/>
                <w:szCs w:val="24"/>
              </w:rPr>
            </w:pPr>
          </w:p>
          <w:p w:rsidR="00F1062D">
            <w:pPr>
              <w:jc w:val="center"/>
              <w:rPr>
                <w:rStyle w:val="DefaultParagraphFont"/>
                <w:rFonts w:ascii="Times New Roman" w:hAnsi="Times New Roman" w:cs="Times New Roman"/>
                <w:sz w:val="20"/>
                <w:szCs w:val="24"/>
              </w:rPr>
            </w:pPr>
          </w:p>
          <w:p w:rsidR="00F1062D">
            <w:pPr>
              <w:jc w:val="center"/>
              <w:rPr>
                <w:rStyle w:val="DefaultParagraphFont"/>
                <w:rFonts w:ascii="Times New Roman" w:hAnsi="Times New Roman" w:cs="Times New Roman"/>
                <w:sz w:val="20"/>
                <w:szCs w:val="24"/>
              </w:rPr>
            </w:pPr>
          </w:p>
          <w:p w:rsidR="00F1062D">
            <w:pPr>
              <w:rPr>
                <w:rStyle w:val="DefaultParagraphFont"/>
                <w:rFonts w:ascii="Times New Roman" w:hAnsi="Times New Roman" w:cs="Times New Roman"/>
                <w:sz w:val="20"/>
                <w:szCs w:val="24"/>
              </w:rPr>
            </w:pPr>
          </w:p>
          <w:p w:rsidR="00F1062D">
            <w:pPr>
              <w:jc w:val="center"/>
              <w:rPr>
                <w:rStyle w:val="DefaultParagraphFont"/>
                <w:rFonts w:ascii="Times New Roman" w:hAnsi="Times New Roman" w:cs="Times New Roman"/>
                <w:sz w:val="20"/>
                <w:szCs w:val="24"/>
              </w:rPr>
            </w:pPr>
          </w:p>
          <w:p w:rsidR="00F1062D">
            <w:pPr>
              <w:jc w:val="center"/>
              <w:rPr>
                <w:rStyle w:val="DefaultParagraphFont"/>
                <w:rFonts w:ascii="Times New Roman" w:hAnsi="Times New Roman" w:cs="Times New Roman"/>
                <w:sz w:val="20"/>
                <w:szCs w:val="24"/>
              </w:rPr>
            </w:pPr>
          </w:p>
        </w:tc>
        <w:tc>
          <w:tcPr>
            <w:tcW w:w="342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Pre účely tejto Smernice,</w:t>
            </w:r>
          </w:p>
          <w:p w:rsidR="00F1062D">
            <w:pPr>
              <w:pStyle w:val="Normlny"/>
              <w:rPr>
                <w:rStyle w:val="DefaultParagraphFont"/>
                <w:rFonts w:ascii="Times New Roman" w:hAnsi="Times New Roman" w:cs="Times New Roman"/>
                <w:szCs w:val="24"/>
              </w:rPr>
            </w:pPr>
          </w:p>
          <w:p w:rsidR="00F1062D">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a) ”karcinogén” znamená:</w:t>
            </w:r>
          </w:p>
          <w:p w:rsidR="00F1062D">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    </w:t>
            </w:r>
          </w:p>
          <w:p w:rsidR="00F1062D">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(i) látku, ktorá spĺňa kritériá klasifikácie pre karcinogén kategórie 1 alebo 2 uvedený v  Prílohe VI Smernice 67/548/EHS;</w:t>
            </w:r>
          </w:p>
          <w:p w:rsidR="00F1062D">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(ii) prípravok zložený z jednej alebo viacerých látok    uvedených v bode (i), keď koncentrácia jednej alebo viacerých samostatných látok spĺňa     požiadavky limitov koncentrácie pre klasifikáciu </w:t>
            </w:r>
          </w:p>
          <w:p w:rsidR="00F1062D">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prípravku ako karcinogénu kategórie 1 alebo 2 uvedeného:</w:t>
            </w:r>
          </w:p>
          <w:p w:rsidR="00F1062D">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 v Prílohe I Smernice 67/548/EHS, alebo</w:t>
            </w:r>
          </w:p>
          <w:p w:rsidR="00F1062D">
            <w:pPr>
              <w:spacing w:before="120"/>
              <w:ind w:firstLine="24"/>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v</w:t>
            </w:r>
            <w:r>
              <w:rPr>
                <w:rStyle w:val="DefaultParagraphFont"/>
                <w:rFonts w:ascii="Times New Roman" w:hAnsi="Times New Roman" w:cs="Times New Roman"/>
                <w:i/>
                <w:sz w:val="20"/>
                <w:szCs w:val="24"/>
              </w:rPr>
              <w:t xml:space="preserve"> časti B prílohy II k smernici 1999/45/ES</w:t>
            </w:r>
            <w:r>
              <w:rPr>
                <w:rStyle w:val="DefaultParagraphFont"/>
                <w:rFonts w:ascii="Times New Roman" w:hAnsi="Times New Roman" w:cs="Times New Roman"/>
                <w:sz w:val="20"/>
                <w:szCs w:val="24"/>
              </w:rPr>
              <w:t>, ak sa látka  alebo látky nenachádzajú v Prílohe I Smernice 67/548/EHS alebo sa v nej nachádzajú bez uvedenia limitu koncentrácie;</w:t>
            </w:r>
          </w:p>
          <w:p w:rsidR="00F1062D">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(iii) látka, prípravok alebo proces uvedené v  Prílohe I ako aj látka alebo prípravok uvoľnený v procese uvedenom v Prílohe I;</w:t>
            </w:r>
          </w:p>
          <w:p w:rsidR="00F1062D">
            <w:pPr>
              <w:rPr>
                <w:rStyle w:val="DefaultParagraphFont"/>
                <w:rFonts w:ascii="Times New Roman" w:hAnsi="Times New Roman" w:cs="Times New Roman"/>
                <w:sz w:val="20"/>
                <w:szCs w:val="24"/>
              </w:rPr>
            </w:pPr>
          </w:p>
          <w:p w:rsidR="00F1062D">
            <w:pPr>
              <w:pStyle w:val="BodyText2"/>
              <w:jc w:val="left"/>
              <w:rPr>
                <w:rStyle w:val="DefaultParagraphFont"/>
                <w:rFonts w:ascii="Times New Roman" w:hAnsi="Times New Roman" w:cs="Times New Roman"/>
                <w:szCs w:val="24"/>
              </w:rPr>
            </w:pPr>
            <w:r>
              <w:rPr>
                <w:rStyle w:val="DefaultParagraphFont"/>
                <w:rFonts w:ascii="Times New Roman" w:hAnsi="Times New Roman" w:cs="Times New Roman"/>
                <w:szCs w:val="24"/>
              </w:rPr>
              <w:t xml:space="preserve">b) ”mutagén” znamená: </w:t>
            </w:r>
          </w:p>
          <w:p w:rsidR="00F1062D">
            <w:pPr>
              <w:pStyle w:val="BodyText2"/>
              <w:numPr>
                <w:ilvl w:val="0"/>
                <w:numId w:val="13"/>
              </w:numPr>
              <w:jc w:val="left"/>
              <w:rPr>
                <w:rStyle w:val="DefaultParagraphFont"/>
                <w:rFonts w:ascii="Times New Roman" w:hAnsi="Times New Roman" w:cs="Times New Roman"/>
                <w:szCs w:val="24"/>
              </w:rPr>
            </w:pPr>
            <w:r>
              <w:rPr>
                <w:rStyle w:val="DefaultParagraphFont"/>
                <w:rFonts w:ascii="Times New Roman" w:hAnsi="Times New Roman" w:cs="Times New Roman"/>
                <w:szCs w:val="24"/>
              </w:rPr>
              <w:t>látku, ktorá spĺňa kritériá klasifikácie</w:t>
            </w:r>
          </w:p>
          <w:p w:rsidR="00F1062D">
            <w:pPr>
              <w:pStyle w:val="BodyText2"/>
              <w:jc w:val="left"/>
              <w:rPr>
                <w:rStyle w:val="DefaultParagraphFont"/>
                <w:rFonts w:ascii="Times New Roman" w:hAnsi="Times New Roman" w:cs="Times New Roman"/>
                <w:szCs w:val="24"/>
              </w:rPr>
            </w:pPr>
            <w:r>
              <w:rPr>
                <w:rStyle w:val="DefaultParagraphFont"/>
                <w:rFonts w:ascii="Times New Roman" w:hAnsi="Times New Roman" w:cs="Times New Roman"/>
                <w:szCs w:val="24"/>
              </w:rPr>
              <w:t>ako mutagén kategórie 1 alebo 2 podľa  prílohy VI  smernici 67/548/EHS;</w:t>
            </w:r>
          </w:p>
          <w:p w:rsidR="00F1062D">
            <w:pPr>
              <w:pStyle w:val="BodyText2"/>
              <w:jc w:val="left"/>
              <w:rPr>
                <w:rStyle w:val="DefaultParagraphFont"/>
                <w:rFonts w:ascii="Times New Roman" w:hAnsi="Times New Roman" w:cs="Times New Roman"/>
                <w:szCs w:val="24"/>
              </w:rPr>
            </w:pPr>
          </w:p>
          <w:p w:rsidR="00F1062D">
            <w:pPr>
              <w:pStyle w:val="BodyText2"/>
              <w:jc w:val="left"/>
              <w:rPr>
                <w:rStyle w:val="DefaultParagraphFont"/>
                <w:rFonts w:ascii="Times New Roman" w:hAnsi="Times New Roman" w:cs="Times New Roman"/>
                <w:szCs w:val="24"/>
              </w:rPr>
            </w:pPr>
          </w:p>
          <w:p w:rsidR="00F1062D">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(ii) prípravok zložený z jednej alebo viacerých látok, uvedených v  bode (i), keď koncentrácia jednej alebo viacerých jednotlivých látok spĺňa požiadavky limitov koncentrácie pre klasifikáciu prípravku ako mutagénu kategórie 1 alebo 2 uvedeného:</w:t>
            </w:r>
          </w:p>
          <w:p w:rsidR="00F1062D">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  v prílohe I  smernice 67/548/EHS, alebo</w:t>
            </w:r>
          </w:p>
          <w:p w:rsidR="00F1062D">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 v časti B prílohy II k  smernici 1999/45/ES, ak sa látka alebo látky nenachádzajú  v prílohe  I </w:t>
            </w:r>
            <w:r>
              <w:rPr>
                <w:rStyle w:val="DefaultParagraphFont"/>
                <w:rFonts w:ascii="Times New Roman" w:hAnsi="Times New Roman" w:cs="Times New Roman"/>
                <w:sz w:val="20"/>
                <w:szCs w:val="24"/>
              </w:rPr>
              <w:t> smernice 67/548/EHS, alebo sa v nej nachádzajú bez uvedenia limitu koncentrácie;</w:t>
            </w:r>
          </w:p>
          <w:p w:rsidR="00F1062D">
            <w:pPr>
              <w:jc w:val="both"/>
              <w:rPr>
                <w:rStyle w:val="DefaultParagraphFont"/>
                <w:rFonts w:ascii="Times New Roman" w:hAnsi="Times New Roman" w:cs="Times New Roman"/>
                <w:sz w:val="20"/>
                <w:szCs w:val="24"/>
              </w:rPr>
            </w:pPr>
          </w:p>
          <w:p w:rsidR="00F1062D">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c) ”limitná hodnota” ak nie je uvedené inak, znamená limit časovo váženého priemeru koncentrácie ” karcinogénu alebo mutagénu” v ovzduší v dýchacej zóne pracovníka, vo vzťahu k určenému referenčnému času podľa prílohy III. `;</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16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Nariadenie vlády</w:t>
            </w:r>
          </w:p>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SR č. 356/2006 Z.z.</w:t>
            </w: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2</w:t>
            </w:r>
          </w:p>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 1</w:t>
            </w:r>
          </w:p>
          <w:p w:rsidR="00F1062D">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 a</w:t>
            </w: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B: 1</w:t>
            </w: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B: 2</w:t>
            </w: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rPr>
                <w:rStyle w:val="DefaultParagraphFont"/>
                <w:rFonts w:ascii="Times New Roman" w:hAnsi="Times New Roman" w:cs="Times New Roman"/>
                <w:szCs w:val="24"/>
              </w:rPr>
            </w:pPr>
          </w:p>
          <w:p w:rsidR="00F1062D">
            <w:pPr>
              <w:pStyle w:val="Normlny"/>
              <w:rPr>
                <w:rStyle w:val="DefaultParagraphFont"/>
                <w:rFonts w:ascii="Times New Roman" w:hAnsi="Times New Roman" w:cs="Times New Roman"/>
                <w:szCs w:val="24"/>
              </w:rPr>
            </w:pPr>
          </w:p>
          <w:p w:rsidR="00F1062D">
            <w:pPr>
              <w:pStyle w:val="Normlny"/>
              <w:rPr>
                <w:rStyle w:val="DefaultParagraphFont"/>
                <w:rFonts w:ascii="Times New Roman" w:hAnsi="Times New Roman" w:cs="Times New Roman"/>
                <w:szCs w:val="24"/>
              </w:rPr>
            </w:pPr>
          </w:p>
          <w:p w:rsidR="00F1062D">
            <w:pPr>
              <w:pStyle w:val="Normlny"/>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B: 3</w:t>
            </w: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 b</w:t>
            </w: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B: 1</w:t>
            </w: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B: 2</w:t>
            </w: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 c</w:t>
            </w: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rPr>
                <w:rStyle w:val="DefaultParagraphFont"/>
                <w:rFonts w:ascii="Times New Roman" w:hAnsi="Times New Roman" w:cs="Times New Roman"/>
                <w:szCs w:val="24"/>
              </w:rPr>
            </w:pPr>
          </w:p>
        </w:tc>
        <w:tc>
          <w:tcPr>
            <w:tcW w:w="36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Základné pojmy</w:t>
            </w:r>
          </w:p>
          <w:p w:rsidR="00F1062D">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Na účely tohto nariadenia vlády</w:t>
            </w:r>
          </w:p>
          <w:p w:rsidR="00F1062D">
            <w:pPr>
              <w:numPr>
                <w:numId w:val="14"/>
              </w:numPr>
              <w:tabs>
                <w:tab w:val="left" w:pos="360"/>
              </w:tab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karcinogé</w:t>
            </w:r>
            <w:r>
              <w:rPr>
                <w:rStyle w:val="DefaultParagraphFont"/>
                <w:rFonts w:ascii="Times New Roman" w:hAnsi="Times New Roman" w:cs="Times New Roman"/>
                <w:sz w:val="20"/>
                <w:szCs w:val="24"/>
              </w:rPr>
              <w:t>nny faktor (ďalej len ”karcinogén”) je</w:t>
            </w:r>
          </w:p>
          <w:p w:rsidR="00F1062D">
            <w:pPr>
              <w:numPr>
                <w:numId w:val="15"/>
              </w:numPr>
              <w:tabs>
                <w:tab w:val="left" w:pos="374"/>
                <w:tab w:val="left" w:pos="720"/>
              </w:tabs>
              <w:ind w:left="374" w:hanging="284"/>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látka, ktorá spĺňa kritériá klasifikácie ako karcinogénna látka kategórie 1 a 2 podľa osobitného predpisu</w:t>
            </w:r>
            <w:r>
              <w:rPr>
                <w:rStyle w:val="FootnoteReference"/>
                <w:rFonts w:ascii="Times New Roman" w:hAnsi="Times New Roman" w:cs="Times New Roman"/>
                <w:sz w:val="20"/>
                <w:szCs w:val="24"/>
                <w:rtl w:val="0"/>
              </w:rPr>
              <w:footnoteReference w:customMarkFollows="1" w:id="5"/>
              <w:t xml:space="preserve">4</w:t>
            </w:r>
            <w:r>
              <w:rPr>
                <w:rStyle w:val="DefaultParagraphFont"/>
                <w:rFonts w:ascii="Times New Roman" w:hAnsi="Times New Roman" w:cs="Times New Roman"/>
                <w:sz w:val="20"/>
                <w:szCs w:val="24"/>
                <w:vertAlign w:val="superscript"/>
              </w:rPr>
              <w:t>)</w:t>
            </w:r>
            <w:r>
              <w:rPr>
                <w:rStyle w:val="DefaultParagraphFont"/>
                <w:rFonts w:ascii="Times New Roman" w:hAnsi="Times New Roman" w:cs="Times New Roman"/>
                <w:sz w:val="20"/>
                <w:szCs w:val="24"/>
              </w:rPr>
              <w:t>,</w:t>
            </w:r>
          </w:p>
          <w:p w:rsidR="00F1062D">
            <w:pPr>
              <w:ind w:left="90"/>
              <w:jc w:val="both"/>
              <w:rPr>
                <w:rStyle w:val="DefaultParagraphFont"/>
                <w:rFonts w:ascii="Times New Roman" w:hAnsi="Times New Roman" w:cs="Times New Roman"/>
                <w:sz w:val="20"/>
                <w:szCs w:val="24"/>
              </w:rPr>
            </w:pPr>
          </w:p>
          <w:p w:rsidR="00F1062D">
            <w:pPr>
              <w:numPr>
                <w:numId w:val="15"/>
              </w:numPr>
              <w:tabs>
                <w:tab w:val="left" w:pos="374"/>
                <w:tab w:val="left" w:pos="720"/>
              </w:tabs>
              <w:suppressAutoHyphens/>
              <w:ind w:left="374" w:hanging="284"/>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prípravok zložený z jednej alebo z viacerých látok uvedený</w:t>
            </w:r>
            <w:r>
              <w:rPr>
                <w:rStyle w:val="DefaultParagraphFont"/>
                <w:rFonts w:ascii="Times New Roman" w:hAnsi="Times New Roman" w:cs="Times New Roman"/>
                <w:sz w:val="20"/>
                <w:szCs w:val="24"/>
              </w:rPr>
              <w:t>ch v prvom bode,  ak koncentrácia jednej alebo viacerých látok spĺňa kritériá klasifikácie ako karcinogénna látka kategórie 1 alebo 2 podľa osobitného predpisu</w:t>
            </w:r>
            <w:r>
              <w:rPr>
                <w:rStyle w:val="FootnoteReference"/>
                <w:rFonts w:ascii="Times New Roman" w:hAnsi="Times New Roman" w:cs="Times New Roman"/>
                <w:sz w:val="20"/>
                <w:szCs w:val="24"/>
                <w:rtl w:val="0"/>
              </w:rPr>
              <w:footnoteReference w:customMarkFollows="1" w:id="6"/>
              <w:t xml:space="preserve">5</w:t>
            </w:r>
            <w:r>
              <w:rPr>
                <w:rStyle w:val="FootnoteReference"/>
                <w:rFonts w:ascii="Times New Roman" w:hAnsi="Times New Roman" w:cs="Times New Roman"/>
                <w:sz w:val="20"/>
                <w:szCs w:val="24"/>
              </w:rPr>
              <w:t>)</w:t>
            </w:r>
            <w:r>
              <w:rPr>
                <w:rStyle w:val="DefaultParagraphFont"/>
                <w:rFonts w:ascii="Times New Roman" w:hAnsi="Times New Roman" w:cs="Times New Roman"/>
                <w:sz w:val="20"/>
                <w:szCs w:val="24"/>
              </w:rPr>
              <w:t>,</w:t>
            </w:r>
          </w:p>
          <w:p w:rsidR="00F1062D">
            <w:pPr>
              <w:jc w:val="both"/>
              <w:rPr>
                <w:rStyle w:val="DefaultParagraphFont"/>
                <w:rFonts w:ascii="Times New Roman" w:hAnsi="Times New Roman" w:cs="Times New Roman"/>
                <w:sz w:val="20"/>
                <w:szCs w:val="24"/>
              </w:rPr>
            </w:pPr>
          </w:p>
          <w:p w:rsidR="00F1062D">
            <w:pPr>
              <w:jc w:val="both"/>
              <w:rPr>
                <w:rStyle w:val="DefaultParagraphFont"/>
                <w:rFonts w:ascii="Times New Roman" w:hAnsi="Times New Roman" w:cs="Times New Roman"/>
                <w:sz w:val="20"/>
                <w:szCs w:val="24"/>
              </w:rPr>
            </w:pPr>
          </w:p>
          <w:p w:rsidR="00F1062D">
            <w:pPr>
              <w:jc w:val="both"/>
              <w:rPr>
                <w:rStyle w:val="DefaultParagraphFont"/>
                <w:rFonts w:ascii="Times New Roman" w:hAnsi="Times New Roman" w:cs="Times New Roman"/>
                <w:sz w:val="20"/>
                <w:szCs w:val="24"/>
              </w:rPr>
            </w:pPr>
          </w:p>
          <w:p w:rsidR="00F1062D">
            <w:pPr>
              <w:jc w:val="both"/>
              <w:rPr>
                <w:rStyle w:val="DefaultParagraphFont"/>
                <w:rFonts w:ascii="Times New Roman" w:hAnsi="Times New Roman" w:cs="Times New Roman"/>
                <w:sz w:val="20"/>
                <w:szCs w:val="24"/>
              </w:rPr>
            </w:pPr>
          </w:p>
          <w:p w:rsidR="00F1062D">
            <w:pPr>
              <w:jc w:val="both"/>
              <w:rPr>
                <w:rStyle w:val="DefaultParagraphFont"/>
                <w:rFonts w:ascii="Times New Roman" w:hAnsi="Times New Roman" w:cs="Times New Roman"/>
                <w:sz w:val="20"/>
                <w:szCs w:val="24"/>
              </w:rPr>
            </w:pPr>
          </w:p>
          <w:p w:rsidR="00F1062D">
            <w:pPr>
              <w:jc w:val="both"/>
              <w:rPr>
                <w:rStyle w:val="DefaultParagraphFont"/>
                <w:rFonts w:ascii="Times New Roman" w:hAnsi="Times New Roman" w:cs="Times New Roman"/>
                <w:sz w:val="20"/>
                <w:szCs w:val="24"/>
              </w:rPr>
            </w:pPr>
          </w:p>
          <w:p w:rsidR="00F1062D">
            <w:pPr>
              <w:jc w:val="both"/>
              <w:rPr>
                <w:rStyle w:val="DefaultParagraphFont"/>
                <w:rFonts w:ascii="Times New Roman" w:hAnsi="Times New Roman" w:cs="Times New Roman"/>
                <w:sz w:val="20"/>
                <w:szCs w:val="24"/>
              </w:rPr>
            </w:pPr>
          </w:p>
          <w:p w:rsidR="00F1062D">
            <w:pPr>
              <w:numPr>
                <w:numId w:val="15"/>
              </w:numPr>
              <w:tabs>
                <w:tab w:val="left" w:pos="374"/>
                <w:tab w:val="left" w:pos="720"/>
              </w:tabs>
              <w:ind w:left="374" w:hanging="284"/>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látka, prípravok alebo pracovný proces </w:t>
            </w:r>
            <w:r>
              <w:rPr>
                <w:rStyle w:val="DefaultParagraphFont"/>
                <w:rFonts w:ascii="Times New Roman" w:hAnsi="Times New Roman" w:cs="Times New Roman"/>
                <w:sz w:val="20"/>
                <w:szCs w:val="24"/>
              </w:rPr>
              <w:t xml:space="preserve">s rizikom chemickej karcinogenity uvedené v prílohe č.1 alebo látka a prípravok uvoľňované v pracovných procesoch uvedených v prílohe č.1, </w:t>
            </w:r>
          </w:p>
          <w:p w:rsidR="00F1062D">
            <w:pPr>
              <w:ind w:left="90"/>
              <w:jc w:val="both"/>
              <w:rPr>
                <w:rStyle w:val="DefaultParagraphFont"/>
                <w:rFonts w:ascii="Times New Roman" w:hAnsi="Times New Roman" w:cs="Times New Roman"/>
                <w:sz w:val="20"/>
                <w:szCs w:val="24"/>
              </w:rPr>
            </w:pPr>
          </w:p>
          <w:p w:rsidR="00F1062D">
            <w:pPr>
              <w:numPr>
                <w:numId w:val="14"/>
              </w:numPr>
              <w:tabs>
                <w:tab w:val="left" w:pos="360"/>
              </w:tab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mutagénny faktor (ďalej len ”mutagén”) je </w:t>
            </w:r>
          </w:p>
          <w:p w:rsidR="00F1062D">
            <w:pPr>
              <w:numPr>
                <w:ilvl w:val="0"/>
                <w:numId w:val="16"/>
              </w:numPr>
              <w:tabs>
                <w:tab w:val="left" w:pos="360"/>
                <w:tab w:val="left" w:pos="374"/>
              </w:tabs>
              <w:ind w:left="374" w:hanging="284"/>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látka, ktorá spĺňa kritériá klasifikácie ako mutagénna látka kategórie 1 alebo 2 podľa osobitného predpisu</w:t>
            </w:r>
            <w:r>
              <w:rPr>
                <w:rStyle w:val="FootnoteReference"/>
                <w:rFonts w:ascii="Times New Roman" w:hAnsi="Times New Roman" w:cs="Times New Roman"/>
                <w:sz w:val="20"/>
                <w:szCs w:val="24"/>
                <w:rtl w:val="0"/>
              </w:rPr>
              <w:footnoteReference w:customMarkFollows="1" w:id="7"/>
              <w:t xml:space="preserve">4</w:t>
            </w:r>
            <w:r>
              <w:rPr>
                <w:rStyle w:val="DefaultParagraphFont"/>
                <w:rFonts w:ascii="Times New Roman" w:hAnsi="Times New Roman" w:cs="Times New Roman"/>
                <w:sz w:val="20"/>
                <w:szCs w:val="24"/>
                <w:vertAlign w:val="superscript"/>
              </w:rPr>
              <w:t>)</w:t>
            </w:r>
            <w:r>
              <w:rPr>
                <w:rStyle w:val="DefaultParagraphFont"/>
                <w:rFonts w:ascii="Times New Roman" w:hAnsi="Times New Roman" w:cs="Times New Roman"/>
                <w:sz w:val="20"/>
                <w:szCs w:val="24"/>
              </w:rPr>
              <w:t xml:space="preserve"> a</w:t>
            </w:r>
          </w:p>
          <w:p w:rsidR="00F1062D">
            <w:pPr>
              <w:numPr>
                <w:ilvl w:val="0"/>
                <w:numId w:val="16"/>
              </w:numPr>
              <w:tabs>
                <w:tab w:val="left" w:pos="360"/>
                <w:tab w:val="left" w:pos="374"/>
              </w:tabs>
              <w:ind w:left="374" w:hanging="284"/>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prípravok  zložený z jednej alebo z viacerých látok uvedených v prvom bode, ak koncentrácia jednej alebo viacerých látok spĺňa kritériá klasifikácie ako mutagénna látka kategórie 1 alebo 2 podľa os</w:t>
            </w:r>
            <w:r>
              <w:rPr>
                <w:rStyle w:val="DefaultParagraphFont"/>
                <w:rFonts w:ascii="Times New Roman" w:hAnsi="Times New Roman" w:cs="Times New Roman"/>
                <w:sz w:val="20"/>
                <w:szCs w:val="24"/>
              </w:rPr>
              <w:t>obitného predpisu</w:t>
            </w:r>
            <w:r>
              <w:rPr>
                <w:rStyle w:val="FootnoteReference"/>
                <w:rFonts w:ascii="Times New Roman" w:hAnsi="Times New Roman" w:cs="Times New Roman"/>
                <w:sz w:val="20"/>
                <w:szCs w:val="24"/>
                <w:rtl w:val="0"/>
              </w:rPr>
              <w:footnoteReference w:customMarkFollows="1" w:id="8"/>
              <w:t xml:space="preserve">5</w:t>
            </w:r>
            <w:r>
              <w:rPr>
                <w:rStyle w:val="FootnoteReference"/>
                <w:rFonts w:ascii="Times New Roman" w:hAnsi="Times New Roman" w:cs="Times New Roman"/>
                <w:sz w:val="20"/>
                <w:szCs w:val="24"/>
              </w:rPr>
              <w:t>)</w:t>
            </w:r>
            <w:r>
              <w:rPr>
                <w:rStyle w:val="DefaultParagraphFont"/>
                <w:rFonts w:ascii="Times New Roman" w:hAnsi="Times New Roman" w:cs="Times New Roman"/>
                <w:sz w:val="20"/>
                <w:szCs w:val="24"/>
              </w:rPr>
              <w:t>.</w:t>
            </w:r>
          </w:p>
          <w:p w:rsidR="00F1062D">
            <w:pPr>
              <w:ind w:left="90"/>
              <w:jc w:val="both"/>
              <w:rPr>
                <w:rStyle w:val="DefaultParagraphFont"/>
                <w:rFonts w:ascii="Times New Roman" w:hAnsi="Times New Roman" w:cs="Times New Roman"/>
                <w:sz w:val="20"/>
                <w:szCs w:val="24"/>
              </w:rPr>
            </w:pPr>
          </w:p>
          <w:p w:rsidR="00F1062D">
            <w:pPr>
              <w:ind w:left="90"/>
              <w:jc w:val="both"/>
              <w:rPr>
                <w:rStyle w:val="DefaultParagraphFont"/>
                <w:rFonts w:ascii="Times New Roman" w:hAnsi="Times New Roman" w:cs="Times New Roman"/>
                <w:sz w:val="20"/>
                <w:szCs w:val="24"/>
              </w:rPr>
            </w:pPr>
          </w:p>
          <w:p w:rsidR="00F1062D">
            <w:pPr>
              <w:ind w:left="90"/>
              <w:jc w:val="both"/>
              <w:rPr>
                <w:rStyle w:val="DefaultParagraphFont"/>
                <w:rFonts w:ascii="Times New Roman" w:hAnsi="Times New Roman" w:cs="Times New Roman"/>
                <w:sz w:val="20"/>
                <w:szCs w:val="24"/>
              </w:rPr>
            </w:pPr>
          </w:p>
          <w:p w:rsidR="00F1062D">
            <w:pPr>
              <w:ind w:left="90"/>
              <w:jc w:val="both"/>
              <w:rPr>
                <w:rStyle w:val="DefaultParagraphFont"/>
                <w:rFonts w:ascii="Times New Roman" w:hAnsi="Times New Roman" w:cs="Times New Roman"/>
                <w:sz w:val="20"/>
                <w:szCs w:val="24"/>
              </w:rPr>
            </w:pPr>
          </w:p>
          <w:p w:rsidR="00F1062D">
            <w:pPr>
              <w:ind w:left="90"/>
              <w:jc w:val="both"/>
              <w:rPr>
                <w:rStyle w:val="DefaultParagraphFont"/>
                <w:rFonts w:ascii="Times New Roman" w:hAnsi="Times New Roman" w:cs="Times New Roman"/>
                <w:sz w:val="20"/>
                <w:szCs w:val="24"/>
              </w:rPr>
            </w:pPr>
          </w:p>
          <w:p w:rsidR="00F1062D">
            <w:pPr>
              <w:ind w:left="90"/>
              <w:jc w:val="both"/>
              <w:rPr>
                <w:rStyle w:val="DefaultParagraphFont"/>
                <w:rFonts w:ascii="Times New Roman" w:hAnsi="Times New Roman" w:cs="Times New Roman"/>
                <w:sz w:val="20"/>
                <w:szCs w:val="24"/>
              </w:rPr>
            </w:pPr>
          </w:p>
          <w:p w:rsidR="00F1062D">
            <w:pPr>
              <w:ind w:left="90"/>
              <w:jc w:val="both"/>
              <w:rPr>
                <w:rStyle w:val="DefaultParagraphFont"/>
                <w:rFonts w:ascii="Times New Roman" w:hAnsi="Times New Roman" w:cs="Times New Roman"/>
                <w:sz w:val="20"/>
                <w:szCs w:val="24"/>
              </w:rPr>
            </w:pPr>
          </w:p>
          <w:p w:rsidR="00F1062D">
            <w:pPr>
              <w:pStyle w:val="Normlny"/>
              <w:jc w:val="both"/>
              <w:rPr>
                <w:rStyle w:val="DefaultParagraphFont"/>
                <w:rFonts w:ascii="Times New Roman" w:hAnsi="Times New Roman" w:cs="Times New Roman"/>
                <w:color w:val="FF0000"/>
                <w:szCs w:val="24"/>
              </w:rPr>
            </w:pPr>
            <w:r>
              <w:rPr>
                <w:rStyle w:val="DefaultParagraphFont"/>
                <w:rFonts w:ascii="Times New Roman" w:hAnsi="Times New Roman" w:cs="Times New Roman"/>
                <w:szCs w:val="24"/>
              </w:rPr>
              <w:t>c) technická smerná hodnota TSH znamená hodnotu časovo váženého priemeru koncentrácie karcinogénu alebo mutagénu v ovzduší dýchacej zóny zamestnanca vo vzťahu k definovanému referenčnému času  a je ustanovená pre karcinogény a mutagény skupiny 1 a 2, pre ktoré v súčasnosti nemôže byť stanovený najvyššie prípustný expozičný limit</w:t>
            </w:r>
            <w:r>
              <w:rPr>
                <w:rStyle w:val="FootnoteReference"/>
                <w:rFonts w:ascii="Times New Roman" w:hAnsi="Times New Roman" w:cs="Times New Roman"/>
                <w:szCs w:val="24"/>
                <w:rtl w:val="0"/>
              </w:rPr>
              <w:footnoteReference w:customMarkFollows="1" w:id="9"/>
              <w:t xml:space="preserve">6</w:t>
            </w:r>
            <w:r>
              <w:rPr>
                <w:rStyle w:val="FootnoteReference"/>
                <w:rFonts w:ascii="Times New Roman" w:hAnsi="Times New Roman" w:cs="Times New Roman"/>
                <w:szCs w:val="24"/>
              </w:rPr>
              <w:t>)</w:t>
            </w:r>
            <w:r>
              <w:rPr>
                <w:rStyle w:val="DefaultParagraphFont"/>
                <w:rFonts w:ascii="Times New Roman" w:hAnsi="Times New Roman" w:cs="Times New Roman"/>
                <w:szCs w:val="24"/>
              </w:rPr>
              <w:t>. Technické smerné hodnoty plynov, pár a aerosólov s karcinogénnymi a mutagénnymi účinkami v pracovnom ovzduší sú uvedené v prílohe č.2,</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U</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MZ SR</w:t>
            </w: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rPr>
                <w:rStyle w:val="DefaultParagraphFont"/>
                <w:rFonts w:ascii="Times New Roman" w:hAnsi="Times New Roman" w:cs="Times New Roman"/>
                <w:b w:val="0"/>
                <w:sz w:val="20"/>
                <w:szCs w:val="24"/>
              </w:rPr>
            </w:pPr>
          </w:p>
        </w:tc>
        <w:tc>
          <w:tcPr>
            <w:tcW w:w="140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jc w:val="both"/>
              <w:rPr>
                <w:rStyle w:val="DefaultParagraphFont"/>
                <w:rFonts w:ascii="Times New Roman" w:hAnsi="Times New Roman" w:cs="Times New Roman"/>
                <w:b w:val="0"/>
                <w:sz w:val="20"/>
                <w:szCs w:val="24"/>
              </w:rPr>
            </w:pPr>
          </w:p>
        </w:tc>
      </w:tr>
      <w:tr>
        <w:tblPrEx>
          <w:tblW w:w="16160" w:type="dxa"/>
          <w:tblInd w:w="-497" w:type="dxa"/>
          <w:tblLayout w:type="fixed"/>
          <w:tblCellMar>
            <w:top w:w="0" w:type="dxa"/>
            <w:left w:w="43" w:type="dxa"/>
            <w:bottom w:w="0" w:type="dxa"/>
            <w:right w:w="43" w:type="dxa"/>
          </w:tblCellMar>
        </w:tblPrEx>
        <w:trPr>
          <w:trHeight w:hRule="auto" w:val="0"/>
        </w:trPr>
        <w:tc>
          <w:tcPr>
            <w:tcW w:w="89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Č:3</w:t>
            </w:r>
          </w:p>
        </w:tc>
        <w:tc>
          <w:tcPr>
            <w:tcW w:w="342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Normlny"/>
              <w:rPr>
                <w:rStyle w:val="DefaultParagraphFont"/>
                <w:rFonts w:ascii="Times New Roman" w:hAnsi="Times New Roman" w:cs="Times New Roman"/>
                <w:szCs w:val="24"/>
              </w:rPr>
            </w:pPr>
            <w:r>
              <w:rPr>
                <w:rStyle w:val="DefaultParagraphFont"/>
                <w:rFonts w:ascii="Times New Roman" w:hAnsi="Times New Roman" w:cs="Times New Roman"/>
                <w:b/>
                <w:szCs w:val="24"/>
              </w:rPr>
              <w:t>Predmet – zisťovanie a posudzovanie rizík</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16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 3</w:t>
            </w:r>
          </w:p>
        </w:tc>
        <w:tc>
          <w:tcPr>
            <w:tcW w:w="36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Normlny"/>
              <w:jc w:val="both"/>
              <w:rPr>
                <w:rStyle w:val="DefaultParagraphFont"/>
                <w:rFonts w:ascii="Times New Roman" w:hAnsi="Times New Roman" w:cs="Times New Roman"/>
                <w:szCs w:val="24"/>
              </w:rPr>
            </w:pPr>
            <w:r>
              <w:rPr>
                <w:rStyle w:val="DefaultParagraphFont"/>
                <w:rFonts w:ascii="Times New Roman" w:hAnsi="Times New Roman" w:cs="Times New Roman"/>
                <w:szCs w:val="24"/>
              </w:rPr>
              <w:t>Posudzovanie rizika z expozície karcinogénom a mutagénom</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rPr>
                <w:rStyle w:val="DefaultParagraphFont"/>
                <w:rFonts w:ascii="Times New Roman" w:hAnsi="Times New Roman" w:cs="Times New Roman"/>
                <w:b w:val="0"/>
                <w:sz w:val="20"/>
                <w:szCs w:val="24"/>
              </w:rPr>
            </w:pPr>
          </w:p>
        </w:tc>
        <w:tc>
          <w:tcPr>
            <w:tcW w:w="140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jc w:val="both"/>
              <w:rPr>
                <w:rStyle w:val="DefaultParagraphFont"/>
                <w:rFonts w:ascii="Times New Roman" w:hAnsi="Times New Roman" w:cs="Times New Roman"/>
                <w:b w:val="0"/>
                <w:sz w:val="20"/>
                <w:szCs w:val="24"/>
              </w:rPr>
            </w:pPr>
          </w:p>
        </w:tc>
      </w:tr>
      <w:tr>
        <w:tblPrEx>
          <w:tblW w:w="16160" w:type="dxa"/>
          <w:tblInd w:w="-497" w:type="dxa"/>
          <w:tblLayout w:type="fixed"/>
          <w:tblCellMar>
            <w:top w:w="0" w:type="dxa"/>
            <w:left w:w="43" w:type="dxa"/>
            <w:bottom w:w="0" w:type="dxa"/>
            <w:right w:w="43" w:type="dxa"/>
          </w:tblCellMar>
        </w:tblPrEx>
        <w:trPr>
          <w:trHeight w:hRule="auto" w:val="0"/>
        </w:trPr>
        <w:tc>
          <w:tcPr>
            <w:tcW w:w="89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Č:3</w:t>
            </w:r>
          </w:p>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O:1</w:t>
            </w:r>
          </w:p>
        </w:tc>
        <w:tc>
          <w:tcPr>
            <w:tcW w:w="342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abc"/>
              <w:tabs>
                <w:tab w:val="clear" w:pos="360"/>
                <w:tab w:val="clear" w:pos="680"/>
              </w:tabs>
              <w:rPr>
                <w:rStyle w:val="DefaultParagraphFont"/>
                <w:rFonts w:ascii="Times New Roman" w:hAnsi="Times New Roman" w:cs="Times New Roman"/>
                <w:szCs w:val="24"/>
              </w:rPr>
            </w:pPr>
            <w:r>
              <w:rPr>
                <w:rStyle w:val="DefaultParagraphFont"/>
                <w:rFonts w:ascii="Times New Roman" w:hAnsi="Times New Roman" w:cs="Times New Roman"/>
                <w:szCs w:val="24"/>
              </w:rPr>
              <w:t xml:space="preserve">Táto smernica platí pre činnosti, pri ktorých sú alebo môžu byť pracovníci na základe ich práce exponovaní karcinogénom alebo mutagénom. </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16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Nariadenie vlády</w:t>
            </w:r>
          </w:p>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SR č. 356/2006 Z.z.</w:t>
            </w: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 3</w:t>
            </w:r>
          </w:p>
          <w:p w:rsidR="00F1062D">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 1</w:t>
            </w:r>
          </w:p>
        </w:tc>
        <w:tc>
          <w:tcPr>
            <w:tcW w:w="36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abc"/>
              <w:tabs>
                <w:tab w:val="clear" w:pos="360"/>
                <w:tab w:val="clear" w:pos="680"/>
              </w:tabs>
              <w:rPr>
                <w:rStyle w:val="DefaultParagraphFont"/>
                <w:rFonts w:ascii="Times New Roman" w:hAnsi="Times New Roman" w:cs="Times New Roman"/>
                <w:szCs w:val="24"/>
              </w:rPr>
            </w:pPr>
            <w:r>
              <w:rPr>
                <w:rStyle w:val="DefaultParagraphFont"/>
                <w:rFonts w:ascii="Times New Roman" w:hAnsi="Times New Roman" w:cs="Times New Roman"/>
                <w:szCs w:val="24"/>
              </w:rPr>
              <w:t>Pre každú činnosť, pri ktorej môže vzniknúť riziko expozície karcinogénom alebo mutagénom, zamestnávateľ musí posúdiť riziko pre zdravie a bezpečnosť zamestnancov, vypracovať posudok o riziku a určiť preventívne a ochranné opatrenia</w:t>
            </w:r>
            <w:r>
              <w:rPr>
                <w:rStyle w:val="FootnoteReference"/>
                <w:rFonts w:ascii="Times New Roman" w:hAnsi="Times New Roman" w:cs="Times New Roman"/>
                <w:szCs w:val="24"/>
                <w:rtl w:val="0"/>
              </w:rPr>
              <w:footnoteReference w:customMarkFollows="1" w:id="10"/>
              <w:t xml:space="preserve">6</w:t>
            </w:r>
            <w:r>
              <w:rPr>
                <w:rStyle w:val="FootnoteReference"/>
                <w:rFonts w:ascii="Times New Roman" w:hAnsi="Times New Roman" w:cs="Times New Roman"/>
                <w:szCs w:val="24"/>
              </w:rPr>
              <w:t>)</w:t>
            </w:r>
            <w:r>
              <w:rPr>
                <w:rStyle w:val="DefaultParagraphFont"/>
                <w:rFonts w:ascii="Times New Roman" w:hAnsi="Times New Roman" w:cs="Times New Roman"/>
                <w:szCs w:val="24"/>
              </w:rPr>
              <w:t>.</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U</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MZ SR</w:t>
            </w: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rPr>
                <w:rStyle w:val="DefaultParagraphFont"/>
                <w:rFonts w:ascii="Times New Roman" w:hAnsi="Times New Roman" w:cs="Times New Roman"/>
                <w:b w:val="0"/>
                <w:sz w:val="20"/>
                <w:szCs w:val="24"/>
              </w:rPr>
            </w:pPr>
          </w:p>
        </w:tc>
        <w:tc>
          <w:tcPr>
            <w:tcW w:w="140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jc w:val="both"/>
              <w:rPr>
                <w:rStyle w:val="DefaultParagraphFont"/>
                <w:rFonts w:ascii="Times New Roman" w:hAnsi="Times New Roman" w:cs="Times New Roman"/>
                <w:b w:val="0"/>
                <w:sz w:val="20"/>
                <w:szCs w:val="24"/>
              </w:rPr>
            </w:pPr>
          </w:p>
        </w:tc>
      </w:tr>
      <w:tr>
        <w:tblPrEx>
          <w:tblW w:w="16160" w:type="dxa"/>
          <w:tblInd w:w="-497" w:type="dxa"/>
          <w:tblLayout w:type="fixed"/>
          <w:tblCellMar>
            <w:top w:w="0" w:type="dxa"/>
            <w:left w:w="43" w:type="dxa"/>
            <w:bottom w:w="0" w:type="dxa"/>
            <w:right w:w="43" w:type="dxa"/>
          </w:tblCellMar>
        </w:tblPrEx>
        <w:trPr>
          <w:trHeight w:hRule="auto" w:val="0"/>
        </w:trPr>
        <w:tc>
          <w:tcPr>
            <w:tcW w:w="89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Č:3</w:t>
            </w:r>
          </w:p>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O:2</w:t>
            </w:r>
          </w:p>
        </w:tc>
        <w:tc>
          <w:tcPr>
            <w:tcW w:w="342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 prípade akejkoľvek činnosti, pri ktorej môže vzniknúť riziko expozície karcinogénom alebo mutagénom, sa musí zistiť charakter, miera a trvanie expozície pracovníkov, aby bolo možné posúdiť všetky riziká pre bezpečnosť alebo  zdravie pracovníkov a určiť opatrenia, ktoré sa majú vykonať.</w:t>
            </w:r>
          </w:p>
          <w:p w:rsidR="00F1062D">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Toto posudzovanie sa musí opakovať pravidelne a v každom prípade, keď nastane  zmena podmienok, ktorá môže ovplyvniť expozíciu pracovníkov karcinogénom alebo mutagénom.</w:t>
            </w:r>
          </w:p>
          <w:p w:rsidR="00F1062D">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Zamestnávateľ musí na požiadanie predložiť príslušným úradom informácie, kto</w:t>
            </w:r>
            <w:r>
              <w:rPr>
                <w:rStyle w:val="DefaultParagraphFont"/>
                <w:rFonts w:ascii="Times New Roman" w:hAnsi="Times New Roman" w:cs="Times New Roman"/>
                <w:sz w:val="20"/>
                <w:szCs w:val="24"/>
              </w:rPr>
              <w:t>ré sú základom tohto posudzovania.</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16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Nariadenie vlády</w:t>
            </w:r>
          </w:p>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SR č. 356/2006 Z.z.</w:t>
            </w: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 3</w:t>
            </w:r>
          </w:p>
          <w:p w:rsidR="00F1062D">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 2</w:t>
            </w:r>
          </w:p>
        </w:tc>
        <w:tc>
          <w:tcPr>
            <w:tcW w:w="36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Posúdenie rizika podľa odseku 1 musí zohľadniť charakter, mieru a trvanie expozície zamestnancov karcinogénom a mutagénom, aby bolo možné posúdiť všetky riziká pre ich bezpečnosť a zdravie. Posúdenie rizika sa musí vykonávať pravidelne a pri každej zmene podmienok, ktoré môžu ovplyvniť expozíciu zamestnancov karcinogénom a mutagénom. Zamestnávateľ musí predložiť na požiadanie príslušnému orgánu dozoru</w:t>
            </w:r>
            <w:r>
              <w:rPr>
                <w:rStyle w:val="FootnoteReference"/>
                <w:rFonts w:ascii="Times New Roman" w:hAnsi="Times New Roman" w:cs="Times New Roman"/>
                <w:sz w:val="20"/>
                <w:szCs w:val="24"/>
                <w:rtl w:val="0"/>
              </w:rPr>
              <w:footnoteReference w:customMarkFollows="1" w:id="11"/>
              <w:t xml:space="preserve">7</w:t>
            </w:r>
            <w:r>
              <w:rPr>
                <w:rStyle w:val="FootnoteReference"/>
                <w:rFonts w:ascii="Times New Roman" w:hAnsi="Times New Roman" w:cs="Times New Roman"/>
                <w:sz w:val="20"/>
                <w:szCs w:val="24"/>
              </w:rPr>
              <w:t>)</w:t>
            </w:r>
            <w:r>
              <w:rPr>
                <w:rStyle w:val="DefaultParagraphFont"/>
                <w:rFonts w:ascii="Times New Roman" w:hAnsi="Times New Roman" w:cs="Times New Roman"/>
                <w:sz w:val="20"/>
                <w:szCs w:val="24"/>
              </w:rPr>
              <w:t xml:space="preserve"> informácie o postupoch, ktoré sú podkladom pre takéto posúdenie. </w:t>
            </w:r>
          </w:p>
          <w:p w:rsidR="00F1062D">
            <w:pPr>
              <w:ind w:right="-2"/>
              <w:jc w:val="both"/>
              <w:rPr>
                <w:rStyle w:val="DefaultParagraphFont"/>
                <w:rFonts w:ascii="Times New Roman" w:hAnsi="Times New Roman" w:cs="Times New Roman"/>
                <w:sz w:val="20"/>
                <w:szCs w:val="24"/>
              </w:rPr>
            </w:pP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U</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MZ SR</w:t>
            </w: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rPr>
                <w:rStyle w:val="DefaultParagraphFont"/>
                <w:rFonts w:ascii="Times New Roman" w:hAnsi="Times New Roman" w:cs="Times New Roman"/>
                <w:b w:val="0"/>
                <w:sz w:val="20"/>
                <w:szCs w:val="24"/>
              </w:rPr>
            </w:pPr>
          </w:p>
        </w:tc>
        <w:tc>
          <w:tcPr>
            <w:tcW w:w="140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jc w:val="both"/>
              <w:rPr>
                <w:rStyle w:val="DefaultParagraphFont"/>
                <w:rFonts w:ascii="Times New Roman" w:hAnsi="Times New Roman" w:cs="Times New Roman"/>
                <w:b w:val="0"/>
                <w:sz w:val="20"/>
                <w:szCs w:val="24"/>
              </w:rPr>
            </w:pPr>
          </w:p>
        </w:tc>
      </w:tr>
      <w:tr>
        <w:tblPrEx>
          <w:tblW w:w="16160" w:type="dxa"/>
          <w:tblInd w:w="-497" w:type="dxa"/>
          <w:tblLayout w:type="fixed"/>
          <w:tblCellMar>
            <w:top w:w="0" w:type="dxa"/>
            <w:left w:w="43" w:type="dxa"/>
            <w:bottom w:w="0" w:type="dxa"/>
            <w:right w:w="43" w:type="dxa"/>
          </w:tblCellMar>
        </w:tblPrEx>
        <w:trPr>
          <w:trHeight w:hRule="auto" w:val="0"/>
        </w:trPr>
        <w:tc>
          <w:tcPr>
            <w:tcW w:w="89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Č:3</w:t>
            </w:r>
          </w:p>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O:3</w:t>
            </w:r>
          </w:p>
        </w:tc>
        <w:tc>
          <w:tcPr>
            <w:tcW w:w="342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ind w:right="-2"/>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Okrem toho pri posudzovaní rizika sa berú do úvahy všetky iné prípady závažnej expozície, napríklad expozícia so škodlivým vplyvom na kožu.</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16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Nariadenie vlády</w:t>
            </w:r>
          </w:p>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SR č. 356/2006 Z.z.</w:t>
            </w: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 3</w:t>
            </w:r>
          </w:p>
          <w:p w:rsidR="00F1062D">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 3</w:t>
            </w:r>
          </w:p>
        </w:tc>
        <w:tc>
          <w:tcPr>
            <w:tcW w:w="36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ind w:right="-2"/>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Pri posúdení rizika sa prihliada na možné cesty vstupu karcinogénov a mutagénov do organizmu, najmä vstrebávanie cez kožu a ďalšie okolnosti, ktoré môžu mať</w:t>
            </w:r>
            <w:r>
              <w:rPr>
                <w:rStyle w:val="DefaultParagraphFont"/>
                <w:rFonts w:ascii="Times New Roman" w:hAnsi="Times New Roman" w:cs="Times New Roman"/>
                <w:sz w:val="20"/>
                <w:szCs w:val="24"/>
              </w:rPr>
              <w:t xml:space="preserve"> vplyv na zdravie zamestnancov.</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U</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MZ SR</w:t>
            </w: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rPr>
                <w:rStyle w:val="DefaultParagraphFont"/>
                <w:rFonts w:ascii="Times New Roman" w:hAnsi="Times New Roman" w:cs="Times New Roman"/>
                <w:b w:val="0"/>
                <w:sz w:val="20"/>
                <w:szCs w:val="24"/>
              </w:rPr>
            </w:pPr>
          </w:p>
        </w:tc>
        <w:tc>
          <w:tcPr>
            <w:tcW w:w="140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jc w:val="both"/>
              <w:rPr>
                <w:rStyle w:val="DefaultParagraphFont"/>
                <w:rFonts w:ascii="Times New Roman" w:hAnsi="Times New Roman" w:cs="Times New Roman"/>
                <w:b w:val="0"/>
                <w:sz w:val="20"/>
                <w:szCs w:val="24"/>
              </w:rPr>
            </w:pPr>
          </w:p>
        </w:tc>
      </w:tr>
      <w:tr>
        <w:tblPrEx>
          <w:tblW w:w="16160" w:type="dxa"/>
          <w:tblInd w:w="-497" w:type="dxa"/>
          <w:tblLayout w:type="fixed"/>
          <w:tblCellMar>
            <w:top w:w="0" w:type="dxa"/>
            <w:left w:w="43" w:type="dxa"/>
            <w:bottom w:w="0" w:type="dxa"/>
            <w:right w:w="43" w:type="dxa"/>
          </w:tblCellMar>
        </w:tblPrEx>
        <w:trPr>
          <w:trHeight w:hRule="auto" w:val="0"/>
        </w:trPr>
        <w:tc>
          <w:tcPr>
            <w:tcW w:w="89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Č:3</w:t>
            </w:r>
          </w:p>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O:4</w:t>
            </w:r>
          </w:p>
        </w:tc>
        <w:tc>
          <w:tcPr>
            <w:tcW w:w="342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Pri posudzovaní odseku 2 zamestnávatelia venujú zvláštnu pozornosť všetkým vplyvom na bezpečnosť a zdravie pracovníkov pri osobitnom riziku a inter  alia berú do úvahy, že je nežiadúce zamestnávať týchto pracovníkov  v oblastiach, v ktorých môžu prísť do styku s karcinogénmi  alebo mutagénmi .</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16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Nariadenie vlády</w:t>
            </w:r>
          </w:p>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SR č. 356/2006 Z.z.</w:t>
            </w: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 3</w:t>
            </w:r>
          </w:p>
          <w:p w:rsidR="00F1062D">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 4</w:t>
            </w: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 3</w:t>
            </w:r>
          </w:p>
          <w:p w:rsidR="00F1062D">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 5</w:t>
            </w:r>
          </w:p>
        </w:tc>
        <w:tc>
          <w:tcPr>
            <w:tcW w:w="36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S karcinogénmi a mutagénmi môžu pracovať len osoby zdravotne spôsobilé, ktoré dovŕšili 18 rokov veku. S karcinogénmi a mutagénmi nesmú pracovať tehotné ženy, matky do konca deviateho mesiaca po pôrode a dojčiace ženy.</w:t>
            </w:r>
            <w:r>
              <w:rPr>
                <w:rStyle w:val="FootnoteReference"/>
                <w:rFonts w:ascii="Times New Roman" w:hAnsi="Times New Roman" w:cs="Times New Roman"/>
                <w:sz w:val="20"/>
                <w:szCs w:val="24"/>
                <w:rtl w:val="0"/>
              </w:rPr>
              <w:footnoteReference w:customMarkFollows="1" w:id="12"/>
              <w:t xml:space="preserve">8</w:t>
            </w:r>
            <w:r>
              <w:rPr>
                <w:rStyle w:val="FootnoteReference"/>
                <w:rFonts w:ascii="Times New Roman" w:hAnsi="Times New Roman" w:cs="Times New Roman"/>
                <w:sz w:val="20"/>
                <w:szCs w:val="24"/>
              </w:rPr>
              <w:t>)</w:t>
            </w:r>
          </w:p>
          <w:p w:rsidR="00F1062D">
            <w:pPr>
              <w:tabs>
                <w:tab w:val="left" w:pos="0"/>
              </w:tabs>
              <w:jc w:val="both"/>
              <w:rPr>
                <w:rStyle w:val="DefaultParagraphFont"/>
                <w:rFonts w:ascii="Times New Roman" w:hAnsi="Times New Roman" w:cs="Times New Roman"/>
                <w:sz w:val="20"/>
                <w:szCs w:val="24"/>
              </w:rPr>
            </w:pPr>
          </w:p>
          <w:p w:rsidR="00F1062D">
            <w:pPr>
              <w:tabs>
                <w:tab w:val="left" w:pos="0"/>
              </w:tabs>
              <w:jc w:val="both"/>
              <w:rPr>
                <w:rStyle w:val="DefaultParagraphFont"/>
                <w:rFonts w:ascii="Times New Roman" w:hAnsi="Times New Roman" w:cs="Times New Roman"/>
                <w:b/>
                <w:sz w:val="20"/>
                <w:szCs w:val="24"/>
              </w:rPr>
            </w:pPr>
            <w:r>
              <w:rPr>
                <w:rStyle w:val="DefaultParagraphFont"/>
                <w:rFonts w:ascii="Times New Roman" w:hAnsi="Times New Roman" w:cs="Times New Roman"/>
                <w:sz w:val="20"/>
                <w:szCs w:val="24"/>
              </w:rPr>
              <w:t>Karcinogény a mutagény sa nesmú používať pri výučbe na základných a stredných školách</w:t>
            </w:r>
            <w:r>
              <w:rPr>
                <w:rStyle w:val="FootnoteReference"/>
                <w:rFonts w:ascii="Times New Roman" w:hAnsi="Times New Roman" w:cs="Times New Roman"/>
                <w:sz w:val="20"/>
                <w:szCs w:val="24"/>
                <w:rtl w:val="0"/>
              </w:rPr>
              <w:footnoteReference w:customMarkFollows="1" w:id="13"/>
              <w:t xml:space="preserve">9</w:t>
            </w:r>
            <w:r>
              <w:rPr>
                <w:rStyle w:val="FootnoteReference"/>
                <w:rFonts w:ascii="Times New Roman" w:hAnsi="Times New Roman" w:cs="Times New Roman"/>
                <w:sz w:val="20"/>
                <w:szCs w:val="24"/>
              </w:rPr>
              <w:t>)</w:t>
            </w:r>
            <w:r>
              <w:rPr>
                <w:rStyle w:val="DefaultParagraphFont"/>
                <w:rFonts w:ascii="Times New Roman" w:hAnsi="Times New Roman" w:cs="Times New Roman"/>
                <w:sz w:val="20"/>
                <w:szCs w:val="24"/>
              </w:rPr>
              <w:t>. Na vysokých školách  a výskumných pracoviskách sa môžu používať na základe schválenia podľa § 6.</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U</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MZ SR</w:t>
            </w: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rPr>
                <w:rStyle w:val="DefaultParagraphFont"/>
                <w:rFonts w:ascii="Times New Roman" w:hAnsi="Times New Roman" w:cs="Times New Roman"/>
                <w:b w:val="0"/>
                <w:sz w:val="20"/>
                <w:szCs w:val="24"/>
              </w:rPr>
            </w:pPr>
          </w:p>
        </w:tc>
        <w:tc>
          <w:tcPr>
            <w:tcW w:w="140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jc w:val="both"/>
              <w:rPr>
                <w:rStyle w:val="DefaultParagraphFont"/>
                <w:rFonts w:ascii="Times New Roman" w:hAnsi="Times New Roman" w:cs="Times New Roman"/>
                <w:b w:val="0"/>
                <w:sz w:val="20"/>
                <w:szCs w:val="24"/>
              </w:rPr>
            </w:pPr>
          </w:p>
        </w:tc>
      </w:tr>
      <w:tr>
        <w:tblPrEx>
          <w:tblW w:w="16160" w:type="dxa"/>
          <w:tblInd w:w="-497" w:type="dxa"/>
          <w:tblLayout w:type="fixed"/>
          <w:tblCellMar>
            <w:top w:w="0" w:type="dxa"/>
            <w:left w:w="43" w:type="dxa"/>
            <w:bottom w:w="0" w:type="dxa"/>
            <w:right w:w="43" w:type="dxa"/>
          </w:tblCellMar>
        </w:tblPrEx>
        <w:trPr>
          <w:trHeight w:hRule="auto" w:val="0"/>
        </w:trPr>
        <w:tc>
          <w:tcPr>
            <w:tcW w:w="89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342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3"/>
              <w:numPr>
                <w:ilvl w:val="0"/>
                <w:numId w:val="0"/>
              </w:numPr>
              <w:tabs>
                <w:tab w:val="clear" w:pos="2160"/>
              </w:tabs>
              <w:rPr>
                <w:rStyle w:val="DefaultParagraphFont"/>
                <w:rFonts w:ascii="Times New Roman" w:hAnsi="Times New Roman" w:cs="Times New Roman"/>
                <w:szCs w:val="24"/>
              </w:rPr>
            </w:pPr>
            <w:r>
              <w:rPr>
                <w:rStyle w:val="DefaultParagraphFont"/>
                <w:rFonts w:ascii="Times New Roman" w:hAnsi="Times New Roman" w:cs="Times New Roman"/>
                <w:szCs w:val="24"/>
              </w:rPr>
              <w:t>ČASŤ II</w:t>
            </w:r>
          </w:p>
          <w:p w:rsidR="00F1062D">
            <w:pPr>
              <w:pStyle w:val="Heading3"/>
              <w:numPr>
                <w:ilvl w:val="0"/>
                <w:numId w:val="0"/>
              </w:numPr>
              <w:tabs>
                <w:tab w:val="clear" w:pos="2160"/>
              </w:tabs>
              <w:rPr>
                <w:rStyle w:val="DefaultParagraphFont"/>
                <w:rFonts w:ascii="Times New Roman" w:hAnsi="Times New Roman" w:cs="Times New Roman"/>
                <w:szCs w:val="24"/>
              </w:rPr>
            </w:pPr>
            <w:r>
              <w:rPr>
                <w:rStyle w:val="DefaultParagraphFont"/>
                <w:rFonts w:ascii="Times New Roman" w:hAnsi="Times New Roman" w:cs="Times New Roman"/>
                <w:szCs w:val="24"/>
              </w:rPr>
              <w:t>POVINNOSTI ZAMESTNÁVATEĽOV</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16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Normlny"/>
              <w:jc w:val="center"/>
              <w:rPr>
                <w:rStyle w:val="DefaultParagraphFont"/>
                <w:rFonts w:ascii="Times New Roman" w:hAnsi="Times New Roman" w:cs="Times New Roman"/>
                <w:szCs w:val="24"/>
              </w:rPr>
            </w:pPr>
          </w:p>
        </w:tc>
        <w:tc>
          <w:tcPr>
            <w:tcW w:w="36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3"/>
              <w:numPr>
                <w:ilvl w:val="0"/>
                <w:numId w:val="0"/>
              </w:numPr>
              <w:tabs>
                <w:tab w:val="clear" w:pos="2160"/>
              </w:tabs>
              <w:rPr>
                <w:rStyle w:val="DefaultParagraphFont"/>
                <w:rFonts w:ascii="Times New Roman" w:hAnsi="Times New Roman" w:cs="Times New Roman"/>
                <w:szCs w:val="24"/>
              </w:rPr>
            </w:pPr>
            <w:r>
              <w:rPr>
                <w:rStyle w:val="DefaultParagraphFont"/>
                <w:rFonts w:ascii="Times New Roman" w:hAnsi="Times New Roman" w:cs="Times New Roman"/>
                <w:szCs w:val="24"/>
              </w:rPr>
              <w:t>ČASŤ II</w:t>
            </w:r>
          </w:p>
          <w:p w:rsidR="00F1062D">
            <w:pPr>
              <w:pStyle w:val="Heading3"/>
              <w:numPr>
                <w:ilvl w:val="0"/>
                <w:numId w:val="0"/>
              </w:numPr>
              <w:tabs>
                <w:tab w:val="clear" w:pos="2160"/>
              </w:tabs>
              <w:rPr>
                <w:rStyle w:val="DefaultParagraphFont"/>
                <w:rFonts w:ascii="Times New Roman" w:hAnsi="Times New Roman" w:cs="Times New Roman"/>
                <w:szCs w:val="24"/>
              </w:rPr>
            </w:pPr>
            <w:r>
              <w:rPr>
                <w:rStyle w:val="DefaultParagraphFont"/>
                <w:rFonts w:ascii="Times New Roman" w:hAnsi="Times New Roman" w:cs="Times New Roman"/>
                <w:szCs w:val="24"/>
              </w:rPr>
              <w:t>POVINNOSTI ZAMESTNÁVATEĽOV</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rPr>
                <w:rStyle w:val="DefaultParagraphFont"/>
                <w:rFonts w:ascii="Times New Roman" w:hAnsi="Times New Roman" w:cs="Times New Roman"/>
                <w:b w:val="0"/>
                <w:sz w:val="20"/>
                <w:szCs w:val="24"/>
              </w:rPr>
            </w:pPr>
          </w:p>
        </w:tc>
        <w:tc>
          <w:tcPr>
            <w:tcW w:w="140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jc w:val="both"/>
              <w:rPr>
                <w:rStyle w:val="DefaultParagraphFont"/>
                <w:rFonts w:ascii="Times New Roman" w:hAnsi="Times New Roman" w:cs="Times New Roman"/>
                <w:b w:val="0"/>
                <w:sz w:val="20"/>
                <w:szCs w:val="24"/>
              </w:rPr>
            </w:pPr>
          </w:p>
        </w:tc>
      </w:tr>
      <w:tr>
        <w:tblPrEx>
          <w:tblW w:w="16160" w:type="dxa"/>
          <w:tblInd w:w="-497" w:type="dxa"/>
          <w:tblLayout w:type="fixed"/>
          <w:tblCellMar>
            <w:top w:w="0" w:type="dxa"/>
            <w:left w:w="43" w:type="dxa"/>
            <w:bottom w:w="0" w:type="dxa"/>
            <w:right w:w="43" w:type="dxa"/>
          </w:tblCellMar>
        </w:tblPrEx>
        <w:trPr>
          <w:trHeight w:hRule="auto" w:val="0"/>
        </w:trPr>
        <w:tc>
          <w:tcPr>
            <w:tcW w:w="89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Č:4</w:t>
            </w:r>
          </w:p>
        </w:tc>
        <w:tc>
          <w:tcPr>
            <w:tcW w:w="342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BodyText2"/>
              <w:jc w:val="left"/>
              <w:rPr>
                <w:rStyle w:val="DefaultParagraphFont"/>
                <w:rFonts w:ascii="Times New Roman" w:hAnsi="Times New Roman" w:cs="Times New Roman"/>
                <w:b/>
                <w:szCs w:val="24"/>
              </w:rPr>
            </w:pPr>
            <w:r>
              <w:rPr>
                <w:rStyle w:val="DefaultParagraphFont"/>
                <w:rFonts w:ascii="Times New Roman" w:hAnsi="Times New Roman" w:cs="Times New Roman"/>
                <w:b/>
                <w:szCs w:val="24"/>
              </w:rPr>
              <w:t>Znižovanie a nahradenie</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16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 4</w:t>
            </w:r>
          </w:p>
        </w:tc>
        <w:tc>
          <w:tcPr>
            <w:tcW w:w="36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BodyText2"/>
              <w:jc w:val="left"/>
              <w:rPr>
                <w:rStyle w:val="DefaultParagraphFont"/>
                <w:rFonts w:ascii="Times New Roman" w:hAnsi="Times New Roman" w:cs="Times New Roman"/>
                <w:szCs w:val="24"/>
              </w:rPr>
            </w:pPr>
            <w:r>
              <w:rPr>
                <w:rStyle w:val="DefaultParagraphFont"/>
                <w:rFonts w:ascii="Times New Roman" w:hAnsi="Times New Roman" w:cs="Times New Roman"/>
                <w:szCs w:val="24"/>
              </w:rPr>
              <w:t>Obmedzenie používania a nahradenie karcinogénov a mutagénov</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rPr>
                <w:rStyle w:val="DefaultParagraphFont"/>
                <w:rFonts w:ascii="Times New Roman" w:hAnsi="Times New Roman" w:cs="Times New Roman"/>
                <w:b w:val="0"/>
                <w:sz w:val="20"/>
                <w:szCs w:val="24"/>
              </w:rPr>
            </w:pPr>
          </w:p>
        </w:tc>
        <w:tc>
          <w:tcPr>
            <w:tcW w:w="140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jc w:val="both"/>
              <w:rPr>
                <w:rStyle w:val="DefaultParagraphFont"/>
                <w:rFonts w:ascii="Times New Roman" w:hAnsi="Times New Roman" w:cs="Times New Roman"/>
                <w:b w:val="0"/>
                <w:sz w:val="20"/>
                <w:szCs w:val="24"/>
              </w:rPr>
            </w:pPr>
          </w:p>
        </w:tc>
      </w:tr>
      <w:tr>
        <w:tblPrEx>
          <w:tblW w:w="16160" w:type="dxa"/>
          <w:tblInd w:w="-497" w:type="dxa"/>
          <w:tblLayout w:type="fixed"/>
          <w:tblCellMar>
            <w:top w:w="0" w:type="dxa"/>
            <w:left w:w="43" w:type="dxa"/>
            <w:bottom w:w="0" w:type="dxa"/>
            <w:right w:w="43" w:type="dxa"/>
          </w:tblCellMar>
        </w:tblPrEx>
        <w:trPr>
          <w:trHeight w:hRule="auto" w:val="0"/>
        </w:trPr>
        <w:tc>
          <w:tcPr>
            <w:tcW w:w="89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Č:4</w:t>
            </w:r>
          </w:p>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O:1</w:t>
            </w:r>
          </w:p>
        </w:tc>
        <w:tc>
          <w:tcPr>
            <w:tcW w:w="342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Zamestnávateľ znižuje používanie karcinogénu alebo mutagénu na pracovisku najmä tak, že ho, pokiaľ je to technicky možné, nahradí látkou, prípravkom alebo procesom, ktoré pri používaní nie sú nebezpečné alebo sú menej nebezpečné pre bezpečnosť a zdravie pracovníkov, podľa jednotlivých prípadov.</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16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Nariadenie vlády</w:t>
            </w:r>
          </w:p>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SR č. 356/2006 Z.z.</w:t>
            </w: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 4</w:t>
            </w:r>
          </w:p>
          <w:p w:rsidR="00F1062D">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 1</w:t>
            </w:r>
          </w:p>
        </w:tc>
        <w:tc>
          <w:tcPr>
            <w:tcW w:w="36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Zamestnávateľ  obmedzí používanie karcinogénov alebo mutagénov na pracovisku, ak je to technicky možné, najmä ich nahradením látkami, prípravkami alebo procesmi, ktoré pri používaní nie sú nebezpečné alebo sú menej nebezpečné pre zdravie alebo bezpečnosť zamestnancov.  </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U</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MZ SR</w:t>
            </w: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rPr>
                <w:rStyle w:val="DefaultParagraphFont"/>
                <w:rFonts w:ascii="Times New Roman" w:hAnsi="Times New Roman" w:cs="Times New Roman"/>
                <w:b w:val="0"/>
                <w:sz w:val="20"/>
                <w:szCs w:val="24"/>
              </w:rPr>
            </w:pPr>
          </w:p>
        </w:tc>
        <w:tc>
          <w:tcPr>
            <w:tcW w:w="140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jc w:val="both"/>
              <w:rPr>
                <w:rStyle w:val="DefaultParagraphFont"/>
                <w:rFonts w:ascii="Times New Roman" w:hAnsi="Times New Roman" w:cs="Times New Roman"/>
                <w:b w:val="0"/>
                <w:sz w:val="20"/>
                <w:szCs w:val="24"/>
              </w:rPr>
            </w:pPr>
          </w:p>
        </w:tc>
      </w:tr>
      <w:tr>
        <w:tblPrEx>
          <w:tblW w:w="16160" w:type="dxa"/>
          <w:tblInd w:w="-497" w:type="dxa"/>
          <w:tblLayout w:type="fixed"/>
          <w:tblCellMar>
            <w:top w:w="0" w:type="dxa"/>
            <w:left w:w="43" w:type="dxa"/>
            <w:bottom w:w="0" w:type="dxa"/>
            <w:right w:w="43" w:type="dxa"/>
          </w:tblCellMar>
        </w:tblPrEx>
        <w:trPr>
          <w:trHeight w:hRule="auto" w:val="0"/>
        </w:trPr>
        <w:tc>
          <w:tcPr>
            <w:tcW w:w="89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Č:4</w:t>
            </w:r>
          </w:p>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O:2</w:t>
            </w:r>
          </w:p>
        </w:tc>
        <w:tc>
          <w:tcPr>
            <w:tcW w:w="342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Zamestnávateľ na požiadanie predloží príslušnému úradu výsledok svojich šetrení.</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16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Nariadenie vlády</w:t>
            </w:r>
          </w:p>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SR č. 356/2006 Z.z.</w:t>
            </w: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 4</w:t>
            </w:r>
          </w:p>
          <w:p w:rsidR="00F1062D">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 2</w:t>
            </w:r>
          </w:p>
        </w:tc>
        <w:tc>
          <w:tcPr>
            <w:tcW w:w="36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ind w:right="-2"/>
              <w:jc w:val="both"/>
              <w:rPr>
                <w:rStyle w:val="DefaultParagraphFont"/>
                <w:rFonts w:ascii="Times New Roman" w:hAnsi="Times New Roman" w:cs="Times New Roman"/>
                <w:b/>
                <w:sz w:val="20"/>
                <w:szCs w:val="24"/>
              </w:rPr>
            </w:pPr>
            <w:r>
              <w:rPr>
                <w:rStyle w:val="DefaultParagraphFont"/>
                <w:rFonts w:ascii="Times New Roman" w:hAnsi="Times New Roman" w:cs="Times New Roman"/>
                <w:sz w:val="20"/>
                <w:szCs w:val="24"/>
              </w:rPr>
              <w:t>Zamestnávateľ na požiadanie predloží príslušnému orgánu štátnej správy podľa osobitn</w:t>
            </w:r>
            <w:r>
              <w:rPr>
                <w:rStyle w:val="DefaultParagraphFont"/>
                <w:rFonts w:ascii="Times New Roman" w:hAnsi="Times New Roman" w:cs="Times New Roman"/>
                <w:sz w:val="20"/>
                <w:szCs w:val="24"/>
              </w:rPr>
              <w:t>ého predpisu</w:t>
            </w:r>
            <w:r>
              <w:rPr>
                <w:rStyle w:val="FootnoteReference"/>
                <w:rFonts w:ascii="Times New Roman" w:hAnsi="Times New Roman" w:cs="Times New Roman"/>
                <w:sz w:val="20"/>
                <w:szCs w:val="24"/>
                <w:rtl w:val="0"/>
              </w:rPr>
              <w:footnoteReference w:customMarkFollows="1" w:id="14"/>
              <w:t xml:space="preserve">1</w:t>
            </w:r>
            <w:r>
              <w:rPr>
                <w:rStyle w:val="FootnoteReference"/>
                <w:rFonts w:ascii="Times New Roman" w:hAnsi="Times New Roman" w:cs="Times New Roman"/>
                <w:sz w:val="20"/>
                <w:szCs w:val="24"/>
              </w:rPr>
              <w:t>0)</w:t>
            </w:r>
            <w:r>
              <w:rPr>
                <w:rStyle w:val="DefaultParagraphFont"/>
                <w:rFonts w:ascii="Times New Roman" w:hAnsi="Times New Roman" w:cs="Times New Roman"/>
                <w:sz w:val="20"/>
                <w:szCs w:val="24"/>
              </w:rPr>
              <w:t xml:space="preserve"> výsledky takéhoto zistenia.</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U</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MZ SR</w:t>
            </w: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rPr>
                <w:rStyle w:val="DefaultParagraphFont"/>
                <w:rFonts w:ascii="Times New Roman" w:hAnsi="Times New Roman" w:cs="Times New Roman"/>
                <w:b w:val="0"/>
                <w:sz w:val="20"/>
                <w:szCs w:val="24"/>
              </w:rPr>
            </w:pPr>
          </w:p>
        </w:tc>
        <w:tc>
          <w:tcPr>
            <w:tcW w:w="140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jc w:val="both"/>
              <w:rPr>
                <w:rStyle w:val="DefaultParagraphFont"/>
                <w:rFonts w:ascii="Times New Roman" w:hAnsi="Times New Roman" w:cs="Times New Roman"/>
                <w:b w:val="0"/>
                <w:sz w:val="20"/>
                <w:szCs w:val="24"/>
              </w:rPr>
            </w:pPr>
          </w:p>
        </w:tc>
      </w:tr>
      <w:tr>
        <w:tblPrEx>
          <w:tblW w:w="16160" w:type="dxa"/>
          <w:tblInd w:w="-497" w:type="dxa"/>
          <w:tblLayout w:type="fixed"/>
          <w:tblCellMar>
            <w:top w:w="0" w:type="dxa"/>
            <w:left w:w="43" w:type="dxa"/>
            <w:bottom w:w="0" w:type="dxa"/>
            <w:right w:w="43" w:type="dxa"/>
          </w:tblCellMar>
        </w:tblPrEx>
        <w:trPr>
          <w:trHeight w:hRule="auto" w:val="0"/>
        </w:trPr>
        <w:tc>
          <w:tcPr>
            <w:tcW w:w="89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Č:5</w:t>
            </w:r>
          </w:p>
        </w:tc>
        <w:tc>
          <w:tcPr>
            <w:tcW w:w="342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both"/>
              <w:rPr>
                <w:rStyle w:val="DefaultParagraphFont"/>
                <w:rFonts w:ascii="Times New Roman" w:hAnsi="Times New Roman" w:cs="Times New Roman"/>
                <w:b/>
                <w:sz w:val="20"/>
                <w:szCs w:val="24"/>
              </w:rPr>
            </w:pPr>
            <w:r>
              <w:rPr>
                <w:rStyle w:val="DefaultParagraphFont"/>
                <w:rFonts w:ascii="Times New Roman" w:hAnsi="Times New Roman" w:cs="Times New Roman"/>
                <w:b/>
                <w:sz w:val="20"/>
                <w:szCs w:val="24"/>
              </w:rPr>
              <w:t>Prevencia a zníženie expozície</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16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 5</w:t>
            </w:r>
          </w:p>
        </w:tc>
        <w:tc>
          <w:tcPr>
            <w:tcW w:w="36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abc"/>
              <w:tabs>
                <w:tab w:val="clear" w:pos="360"/>
                <w:tab w:val="clear" w:pos="680"/>
              </w:tabs>
              <w:rPr>
                <w:rStyle w:val="DefaultParagraphFont"/>
                <w:rFonts w:ascii="Times New Roman" w:hAnsi="Times New Roman" w:cs="Times New Roman"/>
                <w:szCs w:val="24"/>
              </w:rPr>
            </w:pPr>
            <w:r>
              <w:rPr>
                <w:rStyle w:val="DefaultParagraphFont"/>
                <w:rFonts w:ascii="Times New Roman" w:hAnsi="Times New Roman" w:cs="Times New Roman"/>
                <w:szCs w:val="24"/>
              </w:rPr>
              <w:t xml:space="preserve">Opatrenia na zníženie expozície karcinogénom a mutagénom </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rPr>
                <w:rStyle w:val="DefaultParagraphFont"/>
                <w:rFonts w:ascii="Times New Roman" w:hAnsi="Times New Roman" w:cs="Times New Roman"/>
                <w:b w:val="0"/>
                <w:sz w:val="20"/>
                <w:szCs w:val="24"/>
              </w:rPr>
            </w:pPr>
          </w:p>
        </w:tc>
        <w:tc>
          <w:tcPr>
            <w:tcW w:w="140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jc w:val="both"/>
              <w:rPr>
                <w:rStyle w:val="DefaultParagraphFont"/>
                <w:rFonts w:ascii="Times New Roman" w:hAnsi="Times New Roman" w:cs="Times New Roman"/>
                <w:b w:val="0"/>
                <w:sz w:val="20"/>
                <w:szCs w:val="24"/>
              </w:rPr>
            </w:pPr>
          </w:p>
        </w:tc>
      </w:tr>
      <w:tr>
        <w:tblPrEx>
          <w:tblW w:w="16160" w:type="dxa"/>
          <w:tblInd w:w="-497" w:type="dxa"/>
          <w:tblLayout w:type="fixed"/>
          <w:tblCellMar>
            <w:top w:w="0" w:type="dxa"/>
            <w:left w:w="43" w:type="dxa"/>
            <w:bottom w:w="0" w:type="dxa"/>
            <w:right w:w="43" w:type="dxa"/>
          </w:tblCellMar>
        </w:tblPrEx>
        <w:trPr>
          <w:trHeight w:hRule="auto" w:val="0"/>
        </w:trPr>
        <w:tc>
          <w:tcPr>
            <w:tcW w:w="89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Č:5</w:t>
            </w:r>
          </w:p>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O:1</w:t>
            </w:r>
          </w:p>
        </w:tc>
        <w:tc>
          <w:tcPr>
            <w:tcW w:w="342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Ak z výsledkov posudzovania uvedené</w:t>
            </w:r>
            <w:r>
              <w:rPr>
                <w:rStyle w:val="DefaultParagraphFont"/>
                <w:rFonts w:ascii="Times New Roman" w:hAnsi="Times New Roman" w:cs="Times New Roman"/>
                <w:sz w:val="20"/>
                <w:szCs w:val="24"/>
              </w:rPr>
              <w:t xml:space="preserve">ho v článku 3 (2) vyplynie riziko pre bezpečnosť alebo zdravie pracovníkov, musí sa predísť expozícii. pracovníkov. </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16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Nariadenie vlády</w:t>
            </w:r>
          </w:p>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SR č. 356/2006 Z.z.</w:t>
            </w: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 5</w:t>
            </w:r>
          </w:p>
          <w:p w:rsidR="00F1062D">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 1</w:t>
            </w:r>
          </w:p>
        </w:tc>
        <w:tc>
          <w:tcPr>
            <w:tcW w:w="36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Ak výsledky posúdenia rizika podľa §3 odseku 2 preukáže riziko pre zdravie  alebo bezpečnosť, musí sa predísť expozícii zamestnancov karcinogénom alebo mutagénom ich nahradením.</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U</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MZ SR</w:t>
            </w: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rPr>
                <w:rStyle w:val="DefaultParagraphFont"/>
                <w:rFonts w:ascii="Times New Roman" w:hAnsi="Times New Roman" w:cs="Times New Roman"/>
                <w:b w:val="0"/>
                <w:sz w:val="20"/>
                <w:szCs w:val="24"/>
              </w:rPr>
            </w:pPr>
          </w:p>
        </w:tc>
        <w:tc>
          <w:tcPr>
            <w:tcW w:w="140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jc w:val="both"/>
              <w:rPr>
                <w:rStyle w:val="DefaultParagraphFont"/>
                <w:rFonts w:ascii="Times New Roman" w:hAnsi="Times New Roman" w:cs="Times New Roman"/>
                <w:b w:val="0"/>
                <w:sz w:val="20"/>
                <w:szCs w:val="24"/>
              </w:rPr>
            </w:pPr>
          </w:p>
        </w:tc>
      </w:tr>
      <w:tr>
        <w:tblPrEx>
          <w:tblW w:w="16160" w:type="dxa"/>
          <w:tblInd w:w="-497" w:type="dxa"/>
          <w:tblLayout w:type="fixed"/>
          <w:tblCellMar>
            <w:top w:w="0" w:type="dxa"/>
            <w:left w:w="43" w:type="dxa"/>
            <w:bottom w:w="0" w:type="dxa"/>
            <w:right w:w="43" w:type="dxa"/>
          </w:tblCellMar>
        </w:tblPrEx>
        <w:trPr>
          <w:trHeight w:hRule="auto" w:val="0"/>
        </w:trPr>
        <w:tc>
          <w:tcPr>
            <w:tcW w:w="89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Č:5</w:t>
            </w:r>
          </w:p>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O:2</w:t>
            </w:r>
          </w:p>
        </w:tc>
        <w:tc>
          <w:tcPr>
            <w:tcW w:w="342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Ak nie je technicky možné nahradiť karcinogén alebo mutagén látkou, prípravkom alebo procesom, ktoré nie sú pri používaní nebezpečné alebo sú  menej nebezpečné pre bezpečnosť alebo zdravie, zamestnávateľ zabezpečí, aby sa karcinogén alebo mutagén vyrábal a používal  v  uzavretom systéme, ak je to technicky možné.</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16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Nariadenie vlády</w:t>
            </w:r>
          </w:p>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SR č. 356/2006 Z.z.</w:t>
            </w: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 5</w:t>
            </w:r>
          </w:p>
          <w:p w:rsidR="00F1062D">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 2</w:t>
            </w:r>
          </w:p>
        </w:tc>
        <w:tc>
          <w:tcPr>
            <w:tcW w:w="36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ind w:right="-2"/>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Ak nahradenie karcinogé</w:t>
            </w:r>
            <w:r>
              <w:rPr>
                <w:rStyle w:val="DefaultParagraphFont"/>
                <w:rFonts w:ascii="Times New Roman" w:hAnsi="Times New Roman" w:cs="Times New Roman"/>
                <w:sz w:val="20"/>
                <w:szCs w:val="24"/>
              </w:rPr>
              <w:t>nov alebo mutagénov podľa § 4 odsek 1 nie je technicky možné, zamestnávateľ zabezpečí ich výrobu a použitie v uzavretom systéme, ak je to technicky možné.</w:t>
            </w:r>
          </w:p>
          <w:p w:rsidR="00F1062D">
            <w:pPr>
              <w:jc w:val="both"/>
              <w:rPr>
                <w:rStyle w:val="DefaultParagraphFont"/>
                <w:rFonts w:ascii="Times New Roman" w:hAnsi="Times New Roman" w:cs="Times New Roman"/>
                <w:sz w:val="20"/>
                <w:szCs w:val="24"/>
              </w:rPr>
            </w:pP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U</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MZ SR</w:t>
            </w: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rPr>
                <w:rStyle w:val="DefaultParagraphFont"/>
                <w:rFonts w:ascii="Times New Roman" w:hAnsi="Times New Roman" w:cs="Times New Roman"/>
                <w:b w:val="0"/>
                <w:sz w:val="20"/>
                <w:szCs w:val="24"/>
              </w:rPr>
            </w:pPr>
          </w:p>
        </w:tc>
        <w:tc>
          <w:tcPr>
            <w:tcW w:w="140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jc w:val="both"/>
              <w:rPr>
                <w:rStyle w:val="DefaultParagraphFont"/>
                <w:rFonts w:ascii="Times New Roman" w:hAnsi="Times New Roman" w:cs="Times New Roman"/>
                <w:b w:val="0"/>
                <w:sz w:val="20"/>
                <w:szCs w:val="24"/>
              </w:rPr>
            </w:pPr>
          </w:p>
        </w:tc>
      </w:tr>
      <w:tr>
        <w:tblPrEx>
          <w:tblW w:w="16160" w:type="dxa"/>
          <w:tblInd w:w="-497" w:type="dxa"/>
          <w:tblLayout w:type="fixed"/>
          <w:tblCellMar>
            <w:top w:w="0" w:type="dxa"/>
            <w:left w:w="43" w:type="dxa"/>
            <w:bottom w:w="0" w:type="dxa"/>
            <w:right w:w="43" w:type="dxa"/>
          </w:tblCellMar>
        </w:tblPrEx>
        <w:trPr>
          <w:trHeight w:hRule="auto" w:val="0"/>
        </w:trPr>
        <w:tc>
          <w:tcPr>
            <w:tcW w:w="89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Č:5</w:t>
            </w:r>
          </w:p>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O:3</w:t>
            </w:r>
          </w:p>
        </w:tc>
        <w:tc>
          <w:tcPr>
            <w:tcW w:w="342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Ak použitie uzavretého systému nie je technicky možné, zamestnávateľ zabezpečí, aby bola expozícia pracovníkov bola  znížená na technicky možnú úroveň.</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16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Nariadenie vlády</w:t>
            </w:r>
          </w:p>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SR č. 356/2006 Z.z.</w:t>
            </w: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 5</w:t>
            </w:r>
          </w:p>
          <w:p w:rsidR="00F1062D">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 3</w:t>
            </w:r>
          </w:p>
        </w:tc>
        <w:tc>
          <w:tcPr>
            <w:tcW w:w="36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Ak použitie uzavretého systému nie je technicky možné, zamestnávateľ zníži expozíciu zamestnancov karcinogénom a mutagénom na najnižšiu technicky dosiahnuteľnú úroveň.</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U</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MZ SR</w:t>
            </w: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rPr>
                <w:rStyle w:val="DefaultParagraphFont"/>
                <w:rFonts w:ascii="Times New Roman" w:hAnsi="Times New Roman" w:cs="Times New Roman"/>
                <w:b w:val="0"/>
                <w:sz w:val="20"/>
                <w:szCs w:val="24"/>
              </w:rPr>
            </w:pPr>
          </w:p>
        </w:tc>
        <w:tc>
          <w:tcPr>
            <w:tcW w:w="140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jc w:val="both"/>
              <w:rPr>
                <w:rStyle w:val="DefaultParagraphFont"/>
                <w:rFonts w:ascii="Times New Roman" w:hAnsi="Times New Roman" w:cs="Times New Roman"/>
                <w:b w:val="0"/>
                <w:sz w:val="20"/>
                <w:szCs w:val="24"/>
              </w:rPr>
            </w:pPr>
          </w:p>
        </w:tc>
      </w:tr>
      <w:tr>
        <w:tblPrEx>
          <w:tblW w:w="16160" w:type="dxa"/>
          <w:tblInd w:w="-497" w:type="dxa"/>
          <w:tblLayout w:type="fixed"/>
          <w:tblCellMar>
            <w:top w:w="0" w:type="dxa"/>
            <w:left w:w="43" w:type="dxa"/>
            <w:bottom w:w="0" w:type="dxa"/>
            <w:right w:w="43" w:type="dxa"/>
          </w:tblCellMar>
        </w:tblPrEx>
        <w:trPr>
          <w:trHeight w:hRule="auto" w:val="0"/>
        </w:trPr>
        <w:tc>
          <w:tcPr>
            <w:tcW w:w="89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Č:5</w:t>
            </w:r>
          </w:p>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O:4</w:t>
            </w:r>
          </w:p>
        </w:tc>
        <w:tc>
          <w:tcPr>
            <w:tcW w:w="342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abc"/>
              <w:tabs>
                <w:tab w:val="clear" w:pos="360"/>
                <w:tab w:val="clear" w:pos="680"/>
              </w:tabs>
              <w:rPr>
                <w:rStyle w:val="DefaultParagraphFont"/>
                <w:rFonts w:ascii="Times New Roman" w:hAnsi="Times New Roman" w:cs="Times New Roman"/>
                <w:szCs w:val="24"/>
              </w:rPr>
            </w:pPr>
            <w:r>
              <w:rPr>
                <w:rStyle w:val="DefaultParagraphFont"/>
                <w:rFonts w:ascii="Times New Roman" w:hAnsi="Times New Roman" w:cs="Times New Roman"/>
                <w:szCs w:val="24"/>
              </w:rPr>
              <w:t>Vystavenie neprekročí medznú hodnotu karcinogénu uvedenú v Prílohe   III.</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16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Nariadenie vlády</w:t>
            </w:r>
          </w:p>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SR č. 356/2006 Z.z.</w:t>
            </w: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 5</w:t>
            </w:r>
          </w:p>
          <w:p w:rsidR="00F1062D">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 4</w:t>
            </w:r>
          </w:p>
        </w:tc>
        <w:tc>
          <w:tcPr>
            <w:tcW w:w="36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ind w:right="-2"/>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Expozícia zamestnanca karcinogénom a mutagénom nesmie prekročiť technické smerné hodnoty a expozičné ekvivalenty pre karcinogény a mutagény uvedené v prílohe č.2 a č.3.</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U</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MZ SR</w:t>
            </w: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rPr>
                <w:rStyle w:val="DefaultParagraphFont"/>
                <w:rFonts w:ascii="Times New Roman" w:hAnsi="Times New Roman" w:cs="Times New Roman"/>
                <w:b w:val="0"/>
                <w:sz w:val="20"/>
                <w:szCs w:val="24"/>
              </w:rPr>
            </w:pPr>
          </w:p>
        </w:tc>
        <w:tc>
          <w:tcPr>
            <w:tcW w:w="140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jc w:val="both"/>
              <w:rPr>
                <w:rStyle w:val="DefaultParagraphFont"/>
                <w:rFonts w:ascii="Times New Roman" w:hAnsi="Times New Roman" w:cs="Times New Roman"/>
                <w:b w:val="0"/>
                <w:sz w:val="20"/>
                <w:szCs w:val="24"/>
              </w:rPr>
            </w:pPr>
          </w:p>
        </w:tc>
      </w:tr>
      <w:tr>
        <w:tblPrEx>
          <w:tblW w:w="16160" w:type="dxa"/>
          <w:tblInd w:w="-497" w:type="dxa"/>
          <w:tblLayout w:type="fixed"/>
          <w:tblCellMar>
            <w:top w:w="0" w:type="dxa"/>
            <w:left w:w="43" w:type="dxa"/>
            <w:bottom w:w="0" w:type="dxa"/>
            <w:right w:w="43" w:type="dxa"/>
          </w:tblCellMar>
        </w:tblPrEx>
        <w:trPr>
          <w:trHeight w:hRule="auto" w:val="0"/>
        </w:trPr>
        <w:tc>
          <w:tcPr>
            <w:tcW w:w="89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Č:5</w:t>
            </w:r>
          </w:p>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O:5</w:t>
            </w:r>
          </w:p>
          <w:p w:rsidR="00F1062D">
            <w:pPr>
              <w:jc w:val="center"/>
              <w:rPr>
                <w:rStyle w:val="DefaultParagraphFont"/>
                <w:rFonts w:ascii="Times New Roman" w:hAnsi="Times New Roman" w:cs="Times New Roman"/>
                <w:sz w:val="20"/>
                <w:szCs w:val="24"/>
              </w:rPr>
            </w:pPr>
          </w:p>
          <w:p w:rsidR="00F1062D">
            <w:pPr>
              <w:jc w:val="center"/>
              <w:rPr>
                <w:rStyle w:val="DefaultParagraphFont"/>
                <w:rFonts w:ascii="Times New Roman" w:hAnsi="Times New Roman" w:cs="Times New Roman"/>
                <w:sz w:val="20"/>
                <w:szCs w:val="24"/>
              </w:rPr>
            </w:pPr>
          </w:p>
          <w:p w:rsidR="00F1062D">
            <w:pPr>
              <w:jc w:val="center"/>
              <w:rPr>
                <w:rStyle w:val="DefaultParagraphFont"/>
                <w:rFonts w:ascii="Times New Roman" w:hAnsi="Times New Roman" w:cs="Times New Roman"/>
                <w:sz w:val="20"/>
                <w:szCs w:val="24"/>
              </w:rPr>
            </w:pPr>
          </w:p>
          <w:p w:rsidR="00F1062D">
            <w:pPr>
              <w:jc w:val="center"/>
              <w:rPr>
                <w:rStyle w:val="DefaultParagraphFont"/>
                <w:rFonts w:ascii="Times New Roman" w:hAnsi="Times New Roman" w:cs="Times New Roman"/>
                <w:sz w:val="20"/>
                <w:szCs w:val="24"/>
              </w:rPr>
            </w:pPr>
          </w:p>
          <w:p w:rsidR="00F1062D">
            <w:pPr>
              <w:jc w:val="center"/>
              <w:rPr>
                <w:rStyle w:val="DefaultParagraphFont"/>
                <w:rFonts w:ascii="Times New Roman" w:hAnsi="Times New Roman" w:cs="Times New Roman"/>
                <w:sz w:val="20"/>
                <w:szCs w:val="24"/>
              </w:rPr>
            </w:pPr>
          </w:p>
          <w:p w:rsidR="00F1062D">
            <w:pPr>
              <w:jc w:val="center"/>
              <w:rPr>
                <w:rStyle w:val="DefaultParagraphFont"/>
                <w:rFonts w:ascii="Times New Roman" w:hAnsi="Times New Roman" w:cs="Times New Roman"/>
                <w:sz w:val="20"/>
                <w:szCs w:val="24"/>
              </w:rPr>
            </w:pPr>
          </w:p>
          <w:p w:rsidR="00F1062D">
            <w:pPr>
              <w:jc w:val="center"/>
              <w:rPr>
                <w:rStyle w:val="DefaultParagraphFont"/>
                <w:rFonts w:ascii="Times New Roman" w:hAnsi="Times New Roman" w:cs="Times New Roman"/>
                <w:sz w:val="20"/>
                <w:szCs w:val="24"/>
              </w:rPr>
            </w:pPr>
          </w:p>
          <w:p w:rsidR="00F1062D">
            <w:pPr>
              <w:jc w:val="center"/>
              <w:rPr>
                <w:rStyle w:val="DefaultParagraphFont"/>
                <w:rFonts w:ascii="Times New Roman" w:hAnsi="Times New Roman" w:cs="Times New Roman"/>
                <w:sz w:val="20"/>
                <w:szCs w:val="24"/>
              </w:rPr>
            </w:pPr>
          </w:p>
          <w:p w:rsidR="00F1062D">
            <w:pPr>
              <w:jc w:val="center"/>
              <w:rPr>
                <w:rStyle w:val="DefaultParagraphFont"/>
                <w:rFonts w:ascii="Times New Roman" w:hAnsi="Times New Roman" w:cs="Times New Roman"/>
                <w:sz w:val="20"/>
                <w:szCs w:val="24"/>
              </w:rPr>
            </w:pPr>
          </w:p>
          <w:p w:rsidR="00F1062D">
            <w:pPr>
              <w:jc w:val="center"/>
              <w:rPr>
                <w:rStyle w:val="DefaultParagraphFont"/>
                <w:rFonts w:ascii="Times New Roman" w:hAnsi="Times New Roman" w:cs="Times New Roman"/>
                <w:sz w:val="20"/>
                <w:szCs w:val="24"/>
              </w:rPr>
            </w:pPr>
          </w:p>
          <w:p w:rsidR="00F1062D">
            <w:pPr>
              <w:jc w:val="center"/>
              <w:rPr>
                <w:rStyle w:val="DefaultParagraphFont"/>
                <w:rFonts w:ascii="Times New Roman" w:hAnsi="Times New Roman" w:cs="Times New Roman"/>
                <w:sz w:val="20"/>
                <w:szCs w:val="24"/>
              </w:rPr>
            </w:pPr>
          </w:p>
          <w:p w:rsidR="00F1062D">
            <w:pPr>
              <w:jc w:val="center"/>
              <w:rPr>
                <w:rStyle w:val="DefaultParagraphFont"/>
                <w:rFonts w:ascii="Times New Roman" w:hAnsi="Times New Roman" w:cs="Times New Roman"/>
                <w:sz w:val="20"/>
                <w:szCs w:val="24"/>
              </w:rPr>
            </w:pPr>
          </w:p>
          <w:p w:rsidR="00F1062D">
            <w:pPr>
              <w:jc w:val="center"/>
              <w:rPr>
                <w:rStyle w:val="DefaultParagraphFont"/>
                <w:rFonts w:ascii="Times New Roman" w:hAnsi="Times New Roman" w:cs="Times New Roman"/>
                <w:sz w:val="20"/>
                <w:szCs w:val="24"/>
              </w:rPr>
            </w:pPr>
          </w:p>
          <w:p w:rsidR="00F1062D">
            <w:pPr>
              <w:jc w:val="center"/>
              <w:rPr>
                <w:rStyle w:val="DefaultParagraphFont"/>
                <w:rFonts w:ascii="Times New Roman" w:hAnsi="Times New Roman" w:cs="Times New Roman"/>
                <w:sz w:val="20"/>
                <w:szCs w:val="24"/>
              </w:rPr>
            </w:pPr>
          </w:p>
          <w:p w:rsidR="00F1062D">
            <w:pPr>
              <w:jc w:val="center"/>
              <w:rPr>
                <w:rStyle w:val="DefaultParagraphFont"/>
                <w:rFonts w:ascii="Times New Roman" w:hAnsi="Times New Roman" w:cs="Times New Roman"/>
                <w:sz w:val="20"/>
                <w:szCs w:val="24"/>
              </w:rPr>
            </w:pPr>
          </w:p>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P:a)až m)</w:t>
            </w:r>
          </w:p>
        </w:tc>
        <w:tc>
          <w:tcPr>
            <w:tcW w:w="342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Normlny"/>
              <w:jc w:val="both"/>
              <w:rPr>
                <w:rStyle w:val="DefaultParagraphFont"/>
                <w:rFonts w:ascii="Times New Roman" w:hAnsi="Times New Roman" w:cs="Times New Roman"/>
                <w:szCs w:val="24"/>
              </w:rPr>
            </w:pPr>
            <w:r>
              <w:rPr>
                <w:rStyle w:val="DefaultParagraphFont"/>
                <w:rFonts w:ascii="Times New Roman" w:hAnsi="Times New Roman" w:cs="Times New Roman"/>
                <w:szCs w:val="24"/>
              </w:rPr>
              <w:t>Vo všetkých prípadoch používania karcinogénu alebo mutagénu zamestnávateľ vykoná nasledujúce opatrenia:</w:t>
            </w:r>
          </w:p>
          <w:p w:rsidR="00F1062D">
            <w:pPr>
              <w:pStyle w:val="Normlny"/>
              <w:jc w:val="both"/>
              <w:rPr>
                <w:rStyle w:val="DefaultParagraphFont"/>
                <w:rFonts w:ascii="Times New Roman" w:hAnsi="Times New Roman" w:cs="Times New Roman"/>
                <w:szCs w:val="24"/>
              </w:rPr>
            </w:pPr>
          </w:p>
          <w:p w:rsidR="00F1062D">
            <w:pPr>
              <w:pStyle w:val="Normlny"/>
              <w:jc w:val="both"/>
              <w:rPr>
                <w:rStyle w:val="DefaultParagraphFont"/>
                <w:rFonts w:ascii="Times New Roman" w:hAnsi="Times New Roman" w:cs="Times New Roman"/>
                <w:szCs w:val="24"/>
              </w:rPr>
            </w:pPr>
          </w:p>
          <w:p w:rsidR="00F1062D">
            <w:pPr>
              <w:pStyle w:val="Normlny"/>
              <w:jc w:val="both"/>
              <w:rPr>
                <w:rStyle w:val="DefaultParagraphFont"/>
                <w:rFonts w:ascii="Times New Roman" w:hAnsi="Times New Roman" w:cs="Times New Roman"/>
                <w:szCs w:val="24"/>
              </w:rPr>
            </w:pPr>
          </w:p>
          <w:p w:rsidR="00F1062D">
            <w:pPr>
              <w:pStyle w:val="Normlny"/>
              <w:jc w:val="both"/>
              <w:rPr>
                <w:rStyle w:val="DefaultParagraphFont"/>
                <w:rFonts w:ascii="Times New Roman" w:hAnsi="Times New Roman" w:cs="Times New Roman"/>
                <w:szCs w:val="24"/>
              </w:rPr>
            </w:pPr>
          </w:p>
          <w:p w:rsidR="00F1062D">
            <w:pPr>
              <w:pStyle w:val="Normlny"/>
              <w:jc w:val="both"/>
              <w:rPr>
                <w:rStyle w:val="DefaultParagraphFont"/>
                <w:rFonts w:ascii="Times New Roman" w:hAnsi="Times New Roman" w:cs="Times New Roman"/>
                <w:szCs w:val="24"/>
              </w:rPr>
            </w:pPr>
          </w:p>
          <w:p w:rsidR="00F1062D">
            <w:pPr>
              <w:pStyle w:val="Normlny"/>
              <w:jc w:val="both"/>
              <w:rPr>
                <w:rStyle w:val="DefaultParagraphFont"/>
                <w:rFonts w:ascii="Times New Roman" w:hAnsi="Times New Roman" w:cs="Times New Roman"/>
                <w:szCs w:val="24"/>
              </w:rPr>
            </w:pPr>
          </w:p>
          <w:p w:rsidR="00F1062D">
            <w:pPr>
              <w:pStyle w:val="Normlny"/>
              <w:jc w:val="both"/>
              <w:rPr>
                <w:rStyle w:val="DefaultParagraphFont"/>
                <w:rFonts w:ascii="Times New Roman" w:hAnsi="Times New Roman" w:cs="Times New Roman"/>
                <w:szCs w:val="24"/>
              </w:rPr>
            </w:pPr>
          </w:p>
          <w:p w:rsidR="00F1062D">
            <w:pPr>
              <w:pStyle w:val="abc"/>
              <w:tabs>
                <w:tab w:val="clear" w:pos="360"/>
                <w:tab w:val="clear" w:pos="680"/>
              </w:tabs>
              <w:rPr>
                <w:rStyle w:val="DefaultParagraphFont"/>
                <w:rFonts w:ascii="Times New Roman" w:hAnsi="Times New Roman" w:cs="Times New Roman"/>
                <w:szCs w:val="24"/>
              </w:rPr>
            </w:pPr>
          </w:p>
          <w:p w:rsidR="00F1062D">
            <w:pPr>
              <w:pStyle w:val="abc"/>
              <w:tabs>
                <w:tab w:val="clear" w:pos="360"/>
                <w:tab w:val="clear" w:pos="680"/>
              </w:tabs>
              <w:rPr>
                <w:rStyle w:val="DefaultParagraphFont"/>
                <w:rFonts w:ascii="Times New Roman" w:hAnsi="Times New Roman" w:cs="Times New Roman"/>
                <w:szCs w:val="24"/>
              </w:rPr>
            </w:pPr>
          </w:p>
          <w:p w:rsidR="00F1062D">
            <w:pPr>
              <w:pStyle w:val="abc"/>
              <w:tabs>
                <w:tab w:val="clear" w:pos="360"/>
                <w:tab w:val="clear" w:pos="680"/>
              </w:tabs>
              <w:rPr>
                <w:rStyle w:val="DefaultParagraphFont"/>
                <w:rFonts w:ascii="Times New Roman" w:hAnsi="Times New Roman" w:cs="Times New Roman"/>
                <w:szCs w:val="24"/>
              </w:rPr>
            </w:pPr>
          </w:p>
          <w:p w:rsidR="00F1062D">
            <w:pPr>
              <w:pStyle w:val="abc"/>
              <w:tabs>
                <w:tab w:val="clear" w:pos="360"/>
                <w:tab w:val="clear" w:pos="680"/>
              </w:tabs>
              <w:rPr>
                <w:rStyle w:val="DefaultParagraphFont"/>
                <w:rFonts w:ascii="Times New Roman" w:hAnsi="Times New Roman" w:cs="Times New Roman"/>
                <w:szCs w:val="24"/>
              </w:rPr>
            </w:pPr>
          </w:p>
          <w:p w:rsidR="00F1062D">
            <w:pPr>
              <w:pStyle w:val="abc"/>
              <w:tabs>
                <w:tab w:val="clear" w:pos="360"/>
                <w:tab w:val="clear" w:pos="680"/>
              </w:tabs>
              <w:rPr>
                <w:rStyle w:val="DefaultParagraphFont"/>
                <w:rFonts w:ascii="Times New Roman" w:hAnsi="Times New Roman" w:cs="Times New Roman"/>
                <w:szCs w:val="24"/>
              </w:rPr>
            </w:pPr>
          </w:p>
          <w:p w:rsidR="00F1062D">
            <w:pPr>
              <w:pStyle w:val="abc"/>
              <w:tabs>
                <w:tab w:val="clear" w:pos="360"/>
                <w:tab w:val="clear" w:pos="680"/>
              </w:tabs>
              <w:rPr>
                <w:rStyle w:val="DefaultParagraphFont"/>
                <w:rFonts w:ascii="Times New Roman" w:hAnsi="Times New Roman" w:cs="Times New Roman"/>
                <w:szCs w:val="24"/>
              </w:rPr>
            </w:pPr>
          </w:p>
          <w:p w:rsidR="00F1062D">
            <w:pPr>
              <w:pStyle w:val="abc"/>
              <w:tabs>
                <w:tab w:val="clear" w:pos="360"/>
                <w:tab w:val="clear" w:pos="680"/>
              </w:tabs>
              <w:rPr>
                <w:rStyle w:val="DefaultParagraphFont"/>
                <w:rFonts w:ascii="Times New Roman" w:hAnsi="Times New Roman" w:cs="Times New Roman"/>
                <w:szCs w:val="24"/>
              </w:rPr>
            </w:pPr>
            <w:r>
              <w:rPr>
                <w:rStyle w:val="DefaultParagraphFont"/>
                <w:rFonts w:ascii="Times New Roman" w:hAnsi="Times New Roman" w:cs="Times New Roman"/>
                <w:szCs w:val="24"/>
              </w:rPr>
              <w:t>a)  obmedzenie množstiev karcinogénu a</w:t>
            </w:r>
          </w:p>
          <w:p w:rsidR="00F1062D">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mutagénu na pracovisku;</w:t>
            </w:r>
          </w:p>
          <w:p w:rsidR="00F1062D">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b) obmedzenie počtu pracovníkov, ktorí sú alebo môžu byť exponovaní, na</w:t>
            </w:r>
          </w:p>
          <w:p w:rsidR="00F1062D">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najnižšiu možnú mieru;</w:t>
            </w:r>
          </w:p>
          <w:p w:rsidR="00F1062D">
            <w:pPr>
              <w:pStyle w:val="Normlny"/>
              <w:jc w:val="both"/>
              <w:rPr>
                <w:rStyle w:val="DefaultParagraphFont"/>
                <w:rFonts w:ascii="Times New Roman" w:hAnsi="Times New Roman" w:cs="Times New Roman"/>
                <w:szCs w:val="24"/>
              </w:rPr>
            </w:pPr>
          </w:p>
          <w:p w:rsidR="00F1062D">
            <w:pPr>
              <w:pStyle w:val="Normlny"/>
              <w:jc w:val="both"/>
              <w:rPr>
                <w:rStyle w:val="DefaultParagraphFont"/>
                <w:rFonts w:ascii="Times New Roman" w:hAnsi="Times New Roman" w:cs="Times New Roman"/>
                <w:szCs w:val="24"/>
              </w:rPr>
            </w:pPr>
            <w:r>
              <w:rPr>
                <w:rStyle w:val="DefaultParagraphFont"/>
                <w:rFonts w:ascii="Times New Roman" w:hAnsi="Times New Roman" w:cs="Times New Roman"/>
                <w:szCs w:val="24"/>
              </w:rPr>
              <w:t xml:space="preserve">c) návrh pracovných postupov a opatrení </w:t>
            </w:r>
          </w:p>
          <w:p w:rsidR="00F1062D">
            <w:pPr>
              <w:pStyle w:val="Normlny"/>
              <w:jc w:val="both"/>
              <w:rPr>
                <w:rStyle w:val="DefaultParagraphFont"/>
                <w:rFonts w:ascii="Times New Roman" w:hAnsi="Times New Roman" w:cs="Times New Roman"/>
                <w:szCs w:val="24"/>
              </w:rPr>
            </w:pPr>
            <w:r>
              <w:rPr>
                <w:rStyle w:val="DefaultParagraphFont"/>
                <w:rFonts w:ascii="Times New Roman" w:hAnsi="Times New Roman" w:cs="Times New Roman"/>
                <w:szCs w:val="24"/>
              </w:rPr>
              <w:t xml:space="preserve">pre technické riadiace systémy s cieľom predísť alebo minimalizovať uvoľňovanie karcinogénov alebo </w:t>
            </w:r>
          </w:p>
          <w:p w:rsidR="00F1062D">
            <w:pPr>
              <w:pStyle w:val="Normlny"/>
              <w:jc w:val="both"/>
              <w:rPr>
                <w:rStyle w:val="DefaultParagraphFont"/>
                <w:rFonts w:ascii="Times New Roman" w:hAnsi="Times New Roman" w:cs="Times New Roman"/>
                <w:szCs w:val="24"/>
              </w:rPr>
            </w:pPr>
            <w:r>
              <w:rPr>
                <w:rStyle w:val="DefaultParagraphFont"/>
                <w:rFonts w:ascii="Times New Roman" w:hAnsi="Times New Roman" w:cs="Times New Roman"/>
                <w:szCs w:val="24"/>
              </w:rPr>
              <w:t>mutagénov na pracovisku;</w:t>
            </w:r>
          </w:p>
          <w:p w:rsidR="00F1062D">
            <w:pPr>
              <w:pStyle w:val="Normlny"/>
              <w:jc w:val="both"/>
              <w:rPr>
                <w:rStyle w:val="DefaultParagraphFont"/>
                <w:rFonts w:ascii="Times New Roman" w:hAnsi="Times New Roman" w:cs="Times New Roman"/>
                <w:szCs w:val="24"/>
              </w:rPr>
            </w:pPr>
            <w:r>
              <w:rPr>
                <w:rStyle w:val="DefaultParagraphFont"/>
                <w:rFonts w:ascii="Times New Roman" w:hAnsi="Times New Roman" w:cs="Times New Roman"/>
                <w:szCs w:val="24"/>
              </w:rPr>
              <w:t>d)odstraňovanie karcinogénov alebo mutagénov pri zdroji, lokálny odsávací systém alebo celková ventilácia, pričom všetky tieto metódy sú primerané a zlučiteľné s potrebnou ochran</w:t>
            </w:r>
            <w:r>
              <w:rPr>
                <w:rStyle w:val="DefaultParagraphFont"/>
                <w:rFonts w:ascii="Times New Roman" w:hAnsi="Times New Roman" w:cs="Times New Roman"/>
                <w:szCs w:val="24"/>
              </w:rPr>
              <w:t xml:space="preserve">ou  verejného  zdravia a životného prostredia; </w:t>
            </w:r>
          </w:p>
          <w:p w:rsidR="00F1062D">
            <w:pPr>
              <w:pStyle w:val="Normlny"/>
              <w:jc w:val="both"/>
              <w:rPr>
                <w:rStyle w:val="DefaultParagraphFont"/>
                <w:rFonts w:ascii="Times New Roman" w:hAnsi="Times New Roman" w:cs="Times New Roman"/>
                <w:szCs w:val="24"/>
              </w:rPr>
            </w:pPr>
            <w:r>
              <w:rPr>
                <w:rStyle w:val="DefaultParagraphFont"/>
                <w:rFonts w:ascii="Times New Roman" w:hAnsi="Times New Roman" w:cs="Times New Roman"/>
                <w:szCs w:val="24"/>
              </w:rPr>
              <w:t>e)použitie vhodných existujúcich meracích postupov pre karcinogény a mutagény, najmä na včasné zistenie mimoriadnych expozícií v dôsledku nepredvídateľnej udalosti alebo nehody;</w:t>
            </w:r>
          </w:p>
          <w:p w:rsidR="00F1062D">
            <w:pPr>
              <w:pStyle w:val="Normlny"/>
              <w:jc w:val="both"/>
              <w:rPr>
                <w:rStyle w:val="DefaultParagraphFont"/>
                <w:rFonts w:ascii="Times New Roman" w:hAnsi="Times New Roman" w:cs="Times New Roman"/>
                <w:szCs w:val="24"/>
              </w:rPr>
            </w:pPr>
            <w:r>
              <w:rPr>
                <w:rStyle w:val="DefaultParagraphFont"/>
                <w:rFonts w:ascii="Times New Roman" w:hAnsi="Times New Roman" w:cs="Times New Roman"/>
                <w:szCs w:val="24"/>
              </w:rPr>
              <w:t xml:space="preserve">f)použitie vhodných pracovných postupov a metód; </w:t>
            </w:r>
          </w:p>
          <w:p w:rsidR="00F1062D">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g)kolektívne ochranné opatrenia a/alebo, ak nie je možné iným spôsobom zabrániť expozícii, individuálne ochranné opatrenia; </w:t>
            </w:r>
          </w:p>
          <w:p w:rsidR="00F1062D">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h)hygienické opatrenia, najmä pravidelné čistenie podláh, stien a iných povrchov;</w:t>
            </w:r>
          </w:p>
          <w:p w:rsidR="00F1062D">
            <w:pPr>
              <w:jc w:val="both"/>
              <w:rPr>
                <w:rStyle w:val="DefaultParagraphFont"/>
                <w:rFonts w:ascii="Times New Roman" w:hAnsi="Times New Roman" w:cs="Times New Roman"/>
                <w:sz w:val="20"/>
                <w:szCs w:val="24"/>
              </w:rPr>
            </w:pPr>
          </w:p>
          <w:p w:rsidR="00F1062D">
            <w:pPr>
              <w:jc w:val="both"/>
              <w:rPr>
                <w:rStyle w:val="DefaultParagraphFont"/>
                <w:rFonts w:ascii="Times New Roman" w:hAnsi="Times New Roman" w:cs="Times New Roman"/>
                <w:sz w:val="20"/>
                <w:szCs w:val="24"/>
              </w:rPr>
            </w:pPr>
          </w:p>
          <w:p w:rsidR="00F1062D">
            <w:pPr>
              <w:jc w:val="both"/>
              <w:rPr>
                <w:rStyle w:val="DefaultParagraphFont"/>
                <w:rFonts w:ascii="Times New Roman" w:hAnsi="Times New Roman" w:cs="Times New Roman"/>
                <w:sz w:val="20"/>
                <w:szCs w:val="24"/>
              </w:rPr>
            </w:pPr>
          </w:p>
          <w:p w:rsidR="00F1062D">
            <w:pPr>
              <w:jc w:val="both"/>
              <w:rPr>
                <w:rStyle w:val="DefaultParagraphFont"/>
                <w:rFonts w:ascii="Times New Roman" w:hAnsi="Times New Roman" w:cs="Times New Roman"/>
                <w:sz w:val="20"/>
                <w:szCs w:val="24"/>
              </w:rPr>
            </w:pPr>
          </w:p>
          <w:p w:rsidR="00F1062D">
            <w:pPr>
              <w:jc w:val="both"/>
              <w:rPr>
                <w:rStyle w:val="DefaultParagraphFont"/>
                <w:rFonts w:ascii="Times New Roman" w:hAnsi="Times New Roman" w:cs="Times New Roman"/>
                <w:sz w:val="20"/>
                <w:szCs w:val="24"/>
              </w:rPr>
            </w:pPr>
          </w:p>
          <w:p w:rsidR="00F1062D">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i)informovanie pracovníkov;</w:t>
            </w:r>
          </w:p>
          <w:p w:rsidR="00F1062D">
            <w:pPr>
              <w:jc w:val="both"/>
              <w:rPr>
                <w:rStyle w:val="DefaultParagraphFont"/>
                <w:rFonts w:ascii="Times New Roman" w:hAnsi="Times New Roman" w:cs="Times New Roman"/>
                <w:sz w:val="20"/>
                <w:szCs w:val="24"/>
              </w:rPr>
            </w:pPr>
          </w:p>
          <w:p w:rsidR="00F1062D">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j)ohraničenie oblastí nebezpečenstva a používanie vhodných výstražných a bezpečnostných značiek vrátane značky "fajčenie zakázané", v oblastiach, v ktorých pracovníci sú alebo môžu byť exponovaní karcinogénom alebo mutagénom; </w:t>
            </w:r>
          </w:p>
          <w:p w:rsidR="00F1062D">
            <w:pPr>
              <w:jc w:val="both"/>
              <w:rPr>
                <w:rStyle w:val="DefaultParagraphFont"/>
                <w:rFonts w:ascii="Times New Roman" w:hAnsi="Times New Roman" w:cs="Times New Roman"/>
                <w:sz w:val="20"/>
                <w:szCs w:val="24"/>
              </w:rPr>
            </w:pPr>
          </w:p>
          <w:p w:rsidR="00F1062D">
            <w:pPr>
              <w:jc w:val="both"/>
              <w:rPr>
                <w:rStyle w:val="DefaultParagraphFont"/>
                <w:rFonts w:ascii="Times New Roman" w:hAnsi="Times New Roman" w:cs="Times New Roman"/>
                <w:sz w:val="20"/>
                <w:szCs w:val="24"/>
              </w:rPr>
            </w:pPr>
          </w:p>
          <w:p w:rsidR="00F1062D">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k)vypracovanie plánov </w:t>
            </w:r>
            <w:r>
              <w:rPr>
                <w:rStyle w:val="DefaultParagraphFont"/>
                <w:rFonts w:ascii="Times New Roman" w:hAnsi="Times New Roman" w:cs="Times New Roman"/>
                <w:sz w:val="20"/>
                <w:szCs w:val="24"/>
              </w:rPr>
              <w:t>pre núdzové prípady, v ktorých sa môžu vyskytnúť mimoriadne vysoké hodnoty expozície;</w:t>
            </w:r>
          </w:p>
          <w:p w:rsidR="00F1062D">
            <w:pPr>
              <w:jc w:val="both"/>
              <w:rPr>
                <w:rStyle w:val="DefaultParagraphFont"/>
                <w:rFonts w:ascii="Times New Roman" w:hAnsi="Times New Roman" w:cs="Times New Roman"/>
                <w:sz w:val="20"/>
                <w:szCs w:val="24"/>
              </w:rPr>
            </w:pPr>
          </w:p>
          <w:p w:rsidR="00F1062D">
            <w:pPr>
              <w:jc w:val="both"/>
              <w:rPr>
                <w:rStyle w:val="DefaultParagraphFont"/>
                <w:rFonts w:ascii="Times New Roman" w:hAnsi="Times New Roman" w:cs="Times New Roman"/>
                <w:sz w:val="20"/>
                <w:szCs w:val="24"/>
              </w:rPr>
            </w:pPr>
          </w:p>
          <w:p w:rsidR="00F1062D">
            <w:pPr>
              <w:jc w:val="both"/>
              <w:rPr>
                <w:rStyle w:val="DefaultParagraphFont"/>
                <w:rFonts w:ascii="Times New Roman" w:hAnsi="Times New Roman" w:cs="Times New Roman"/>
                <w:sz w:val="20"/>
                <w:szCs w:val="24"/>
              </w:rPr>
            </w:pPr>
          </w:p>
          <w:p w:rsidR="00F1062D">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l)zaistenie bezpečného skladovania, manipulácie a prepravy, najmä použitím hermeticky uzatvárateľných a zreteľne a  viditeľne označených kontajnerov;</w:t>
            </w:r>
          </w:p>
          <w:p w:rsidR="00F1062D">
            <w:pPr>
              <w:jc w:val="both"/>
              <w:rPr>
                <w:rStyle w:val="DefaultParagraphFont"/>
                <w:rFonts w:ascii="Times New Roman" w:hAnsi="Times New Roman" w:cs="Times New Roman"/>
                <w:sz w:val="20"/>
                <w:szCs w:val="24"/>
              </w:rPr>
            </w:pPr>
          </w:p>
          <w:p w:rsidR="00F1062D">
            <w:pPr>
              <w:jc w:val="both"/>
              <w:rPr>
                <w:rStyle w:val="DefaultParagraphFont"/>
                <w:rFonts w:ascii="Times New Roman" w:hAnsi="Times New Roman" w:cs="Times New Roman"/>
                <w:sz w:val="20"/>
                <w:szCs w:val="24"/>
              </w:rPr>
            </w:pPr>
          </w:p>
          <w:p w:rsidR="00F1062D">
            <w:pPr>
              <w:jc w:val="both"/>
              <w:rPr>
                <w:rStyle w:val="DefaultParagraphFont"/>
                <w:rFonts w:ascii="Times New Roman" w:hAnsi="Times New Roman" w:cs="Times New Roman"/>
                <w:sz w:val="20"/>
                <w:szCs w:val="24"/>
              </w:rPr>
            </w:pPr>
          </w:p>
          <w:p w:rsidR="00F1062D">
            <w:pPr>
              <w:pStyle w:val="Normlny"/>
              <w:jc w:val="both"/>
              <w:rPr>
                <w:rStyle w:val="DefaultParagraphFont"/>
                <w:rFonts w:ascii="Times New Roman" w:hAnsi="Times New Roman" w:cs="Times New Roman"/>
                <w:szCs w:val="24"/>
              </w:rPr>
            </w:pPr>
            <w:r>
              <w:rPr>
                <w:rStyle w:val="DefaultParagraphFont"/>
                <w:rFonts w:ascii="Times New Roman" w:hAnsi="Times New Roman" w:cs="Times New Roman"/>
                <w:szCs w:val="24"/>
              </w:rPr>
              <w:t>m)zaistenie bezpečného zhromažďovania, skladovania a odstraňovania odpadu pracovníkmi, vrátane použivania hermeticky uzatvárateľných a zreteľne a  viditeľne označených kontajnerov.</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p w:rsidR="00F1062D">
            <w:pPr>
              <w:jc w:val="center"/>
              <w:rPr>
                <w:rStyle w:val="DefaultParagraphFont"/>
                <w:rFonts w:ascii="Times New Roman" w:hAnsi="Times New Roman" w:cs="Times New Roman"/>
                <w:sz w:val="20"/>
                <w:szCs w:val="24"/>
              </w:rPr>
            </w:pPr>
          </w:p>
          <w:p w:rsidR="00F1062D">
            <w:pPr>
              <w:jc w:val="center"/>
              <w:rPr>
                <w:rStyle w:val="DefaultParagraphFont"/>
                <w:rFonts w:ascii="Times New Roman" w:hAnsi="Times New Roman" w:cs="Times New Roman"/>
                <w:sz w:val="20"/>
                <w:szCs w:val="24"/>
              </w:rPr>
            </w:pPr>
          </w:p>
          <w:p w:rsidR="00F1062D">
            <w:pPr>
              <w:jc w:val="center"/>
              <w:rPr>
                <w:rStyle w:val="DefaultParagraphFont"/>
                <w:rFonts w:ascii="Times New Roman" w:hAnsi="Times New Roman" w:cs="Times New Roman"/>
                <w:sz w:val="20"/>
                <w:szCs w:val="24"/>
              </w:rPr>
            </w:pPr>
          </w:p>
          <w:p w:rsidR="00F1062D">
            <w:pPr>
              <w:jc w:val="center"/>
              <w:rPr>
                <w:rStyle w:val="DefaultParagraphFont"/>
                <w:rFonts w:ascii="Times New Roman" w:hAnsi="Times New Roman" w:cs="Times New Roman"/>
                <w:sz w:val="20"/>
                <w:szCs w:val="24"/>
              </w:rPr>
            </w:pPr>
          </w:p>
          <w:p w:rsidR="00F1062D">
            <w:pPr>
              <w:jc w:val="center"/>
              <w:rPr>
                <w:rStyle w:val="DefaultParagraphFont"/>
                <w:rFonts w:ascii="Times New Roman" w:hAnsi="Times New Roman" w:cs="Times New Roman"/>
                <w:sz w:val="20"/>
                <w:szCs w:val="24"/>
              </w:rPr>
            </w:pPr>
          </w:p>
          <w:p w:rsidR="00F1062D">
            <w:pPr>
              <w:jc w:val="center"/>
              <w:rPr>
                <w:rStyle w:val="DefaultParagraphFont"/>
                <w:rFonts w:ascii="Times New Roman" w:hAnsi="Times New Roman" w:cs="Times New Roman"/>
                <w:sz w:val="20"/>
                <w:szCs w:val="24"/>
              </w:rPr>
            </w:pPr>
          </w:p>
          <w:p w:rsidR="00F1062D">
            <w:pPr>
              <w:jc w:val="center"/>
              <w:rPr>
                <w:rStyle w:val="DefaultParagraphFont"/>
                <w:rFonts w:ascii="Times New Roman" w:hAnsi="Times New Roman" w:cs="Times New Roman"/>
                <w:sz w:val="20"/>
                <w:szCs w:val="24"/>
              </w:rPr>
            </w:pPr>
          </w:p>
          <w:p w:rsidR="00F1062D">
            <w:pPr>
              <w:jc w:val="center"/>
              <w:rPr>
                <w:rStyle w:val="DefaultParagraphFont"/>
                <w:rFonts w:ascii="Times New Roman" w:hAnsi="Times New Roman" w:cs="Times New Roman"/>
                <w:sz w:val="20"/>
                <w:szCs w:val="24"/>
              </w:rPr>
            </w:pPr>
          </w:p>
          <w:p w:rsidR="00F1062D">
            <w:pPr>
              <w:jc w:val="center"/>
              <w:rPr>
                <w:rStyle w:val="DefaultParagraphFont"/>
                <w:rFonts w:ascii="Times New Roman" w:hAnsi="Times New Roman" w:cs="Times New Roman"/>
                <w:sz w:val="20"/>
                <w:szCs w:val="24"/>
              </w:rPr>
            </w:pPr>
          </w:p>
          <w:p w:rsidR="00F1062D">
            <w:pPr>
              <w:jc w:val="center"/>
              <w:rPr>
                <w:rStyle w:val="DefaultParagraphFont"/>
                <w:rFonts w:ascii="Times New Roman" w:hAnsi="Times New Roman" w:cs="Times New Roman"/>
                <w:sz w:val="20"/>
                <w:szCs w:val="24"/>
              </w:rPr>
            </w:pPr>
          </w:p>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16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Návrh zákona </w:t>
            </w:r>
          </w:p>
          <w:p w:rsidR="00F1062D">
            <w:pPr>
              <w:jc w:val="center"/>
              <w:rPr>
                <w:rStyle w:val="DefaultParagraphFont"/>
                <w:rFonts w:ascii="Times New Roman" w:hAnsi="Times New Roman" w:cs="Times New Roman"/>
                <w:sz w:val="20"/>
                <w:szCs w:val="24"/>
              </w:rPr>
            </w:pPr>
          </w:p>
          <w:p w:rsidR="00F1062D">
            <w:pPr>
              <w:jc w:val="center"/>
              <w:rPr>
                <w:rStyle w:val="DefaultParagraphFont"/>
                <w:rFonts w:ascii="Times New Roman" w:hAnsi="Times New Roman" w:cs="Times New Roman"/>
                <w:sz w:val="20"/>
                <w:szCs w:val="24"/>
              </w:rPr>
            </w:pPr>
          </w:p>
          <w:p w:rsidR="00F1062D">
            <w:pPr>
              <w:jc w:val="center"/>
              <w:rPr>
                <w:rStyle w:val="DefaultParagraphFont"/>
                <w:rFonts w:ascii="Times New Roman" w:hAnsi="Times New Roman" w:cs="Times New Roman"/>
                <w:sz w:val="20"/>
                <w:szCs w:val="24"/>
              </w:rPr>
            </w:pPr>
          </w:p>
          <w:p w:rsidR="00F1062D">
            <w:pPr>
              <w:jc w:val="center"/>
              <w:rPr>
                <w:rStyle w:val="DefaultParagraphFont"/>
                <w:rFonts w:ascii="Times New Roman" w:hAnsi="Times New Roman" w:cs="Times New Roman"/>
                <w:sz w:val="20"/>
                <w:szCs w:val="24"/>
              </w:rPr>
            </w:pPr>
          </w:p>
          <w:p w:rsidR="00F1062D">
            <w:pPr>
              <w:jc w:val="center"/>
              <w:rPr>
                <w:rStyle w:val="DefaultParagraphFont"/>
                <w:rFonts w:ascii="Times New Roman" w:hAnsi="Times New Roman" w:cs="Times New Roman"/>
                <w:sz w:val="20"/>
                <w:szCs w:val="24"/>
              </w:rPr>
            </w:pPr>
          </w:p>
          <w:p w:rsidR="00F1062D">
            <w:pPr>
              <w:jc w:val="center"/>
              <w:rPr>
                <w:rStyle w:val="DefaultParagraphFont"/>
                <w:rFonts w:ascii="Times New Roman" w:hAnsi="Times New Roman" w:cs="Times New Roman"/>
                <w:sz w:val="20"/>
                <w:szCs w:val="24"/>
              </w:rPr>
            </w:pPr>
          </w:p>
          <w:p w:rsidR="00F1062D">
            <w:pPr>
              <w:jc w:val="center"/>
              <w:rPr>
                <w:rStyle w:val="DefaultParagraphFont"/>
                <w:rFonts w:ascii="Times New Roman" w:hAnsi="Times New Roman" w:cs="Times New Roman"/>
                <w:sz w:val="20"/>
                <w:szCs w:val="24"/>
              </w:rPr>
            </w:pPr>
          </w:p>
          <w:p w:rsidR="00F1062D">
            <w:pPr>
              <w:jc w:val="center"/>
              <w:rPr>
                <w:rStyle w:val="DefaultParagraphFont"/>
                <w:rFonts w:ascii="Times New Roman" w:hAnsi="Times New Roman" w:cs="Times New Roman"/>
                <w:sz w:val="20"/>
                <w:szCs w:val="24"/>
              </w:rPr>
            </w:pPr>
          </w:p>
          <w:p w:rsidR="00F1062D">
            <w:pPr>
              <w:jc w:val="center"/>
              <w:rPr>
                <w:rStyle w:val="DefaultParagraphFont"/>
                <w:rFonts w:ascii="Times New Roman" w:hAnsi="Times New Roman" w:cs="Times New Roman"/>
                <w:sz w:val="20"/>
                <w:szCs w:val="24"/>
              </w:rPr>
            </w:pPr>
          </w:p>
          <w:p w:rsidR="00F1062D">
            <w:pPr>
              <w:jc w:val="center"/>
              <w:rPr>
                <w:rStyle w:val="DefaultParagraphFont"/>
                <w:rFonts w:ascii="Times New Roman" w:hAnsi="Times New Roman" w:cs="Times New Roman"/>
                <w:sz w:val="20"/>
                <w:szCs w:val="24"/>
              </w:rPr>
            </w:pPr>
          </w:p>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Nariadenie vlády</w:t>
            </w:r>
          </w:p>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SR č. 356/2006 Z.z.</w:t>
            </w: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40</w:t>
            </w:r>
          </w:p>
          <w:p w:rsidR="00F1062D">
            <w:pPr>
              <w:jc w:val="center"/>
              <w:rPr>
                <w:rStyle w:val="DefaultParagraphFont"/>
                <w:rFonts w:ascii="Times New Roman" w:hAnsi="Times New Roman" w:cs="Times New Roman"/>
                <w:sz w:val="20"/>
                <w:szCs w:val="24"/>
              </w:rPr>
            </w:pPr>
          </w:p>
          <w:p w:rsidR="00F1062D">
            <w:pPr>
              <w:jc w:val="center"/>
              <w:rPr>
                <w:rStyle w:val="DefaultParagraphFont"/>
                <w:rFonts w:ascii="Times New Roman" w:hAnsi="Times New Roman" w:cs="Times New Roman"/>
                <w:sz w:val="20"/>
                <w:szCs w:val="24"/>
              </w:rPr>
            </w:pPr>
          </w:p>
          <w:p w:rsidR="00F1062D">
            <w:pPr>
              <w:jc w:val="center"/>
              <w:rPr>
                <w:rStyle w:val="DefaultParagraphFont"/>
                <w:rFonts w:ascii="Times New Roman" w:hAnsi="Times New Roman" w:cs="Times New Roman"/>
                <w:sz w:val="20"/>
                <w:szCs w:val="24"/>
              </w:rPr>
            </w:pPr>
          </w:p>
          <w:p w:rsidR="00F1062D">
            <w:pPr>
              <w:jc w:val="center"/>
              <w:rPr>
                <w:rStyle w:val="DefaultParagraphFont"/>
                <w:rFonts w:ascii="Times New Roman" w:hAnsi="Times New Roman" w:cs="Times New Roman"/>
                <w:sz w:val="20"/>
                <w:szCs w:val="24"/>
              </w:rPr>
            </w:pPr>
          </w:p>
          <w:p w:rsidR="00F1062D">
            <w:pPr>
              <w:jc w:val="center"/>
              <w:rPr>
                <w:rStyle w:val="DefaultParagraphFont"/>
                <w:rFonts w:ascii="Times New Roman" w:hAnsi="Times New Roman" w:cs="Times New Roman"/>
                <w:sz w:val="20"/>
                <w:szCs w:val="24"/>
              </w:rPr>
            </w:pPr>
          </w:p>
          <w:p w:rsidR="00F1062D">
            <w:pPr>
              <w:jc w:val="center"/>
              <w:rPr>
                <w:rStyle w:val="DefaultParagraphFont"/>
                <w:rFonts w:ascii="Times New Roman" w:hAnsi="Times New Roman" w:cs="Times New Roman"/>
                <w:sz w:val="20"/>
                <w:szCs w:val="24"/>
              </w:rPr>
            </w:pPr>
          </w:p>
          <w:p w:rsidR="00F1062D">
            <w:pPr>
              <w:jc w:val="center"/>
              <w:rPr>
                <w:rStyle w:val="DefaultParagraphFont"/>
                <w:rFonts w:ascii="Times New Roman" w:hAnsi="Times New Roman" w:cs="Times New Roman"/>
                <w:sz w:val="20"/>
                <w:szCs w:val="24"/>
              </w:rPr>
            </w:pPr>
          </w:p>
          <w:p w:rsidR="00F1062D">
            <w:pPr>
              <w:jc w:val="center"/>
              <w:rPr>
                <w:rStyle w:val="DefaultParagraphFont"/>
                <w:rFonts w:ascii="Times New Roman" w:hAnsi="Times New Roman" w:cs="Times New Roman"/>
                <w:sz w:val="20"/>
                <w:szCs w:val="24"/>
              </w:rPr>
            </w:pPr>
          </w:p>
          <w:p w:rsidR="00F1062D">
            <w:pPr>
              <w:jc w:val="center"/>
              <w:rPr>
                <w:rStyle w:val="DefaultParagraphFont"/>
                <w:rFonts w:ascii="Times New Roman" w:hAnsi="Times New Roman" w:cs="Times New Roman"/>
                <w:sz w:val="20"/>
                <w:szCs w:val="24"/>
              </w:rPr>
            </w:pPr>
          </w:p>
          <w:p w:rsidR="00F1062D">
            <w:pPr>
              <w:jc w:val="center"/>
              <w:rPr>
                <w:rStyle w:val="DefaultParagraphFont"/>
                <w:rFonts w:ascii="Times New Roman" w:hAnsi="Times New Roman" w:cs="Times New Roman"/>
                <w:sz w:val="20"/>
                <w:szCs w:val="24"/>
              </w:rPr>
            </w:pPr>
          </w:p>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5</w:t>
            </w:r>
          </w:p>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 5</w:t>
            </w: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 a</w:t>
            </w: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 b</w:t>
            </w: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 c</w:t>
            </w: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 d</w:t>
            </w: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 e</w:t>
            </w: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 f</w:t>
            </w: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 g</w:t>
            </w:r>
          </w:p>
          <w:p w:rsidR="00F1062D">
            <w:pPr>
              <w:pStyle w:val="Normlny"/>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 h</w:t>
            </w: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 i</w:t>
            </w: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 j</w:t>
            </w: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 k</w:t>
            </w: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 l</w:t>
            </w: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 m</w:t>
            </w: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 n</w:t>
            </w: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tc>
        <w:tc>
          <w:tcPr>
            <w:tcW w:w="36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ind w:right="-2"/>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Zamestnávateľ, ktorý zamestnáva zamestnancov činnosťami, pri ktorých môžu byť exponovaní karcinogénnym a mutagénnym faktorom, je povinný zabezpečiť v súlade s osobitným predpisom</w:t>
            </w:r>
            <w:r>
              <w:rPr>
                <w:rStyle w:val="FootnoteReference"/>
                <w:rFonts w:ascii="Times New Roman" w:hAnsi="Times New Roman" w:cs="Times New Roman"/>
                <w:sz w:val="20"/>
                <w:szCs w:val="24"/>
                <w:rtl w:val="0"/>
              </w:rPr>
              <w:footnoteReference w:customMarkFollows="1" w:id="15"/>
              <w:t xml:space="preserve">4</w:t>
            </w:r>
            <w:r w:rsidR="00DF0E18">
              <w:rPr>
                <w:rStyle w:val="FootnoteReference"/>
                <w:rFonts w:ascii="Times New Roman" w:hAnsi="Times New Roman" w:cs="Times New Roman"/>
                <w:sz w:val="20"/>
                <w:szCs w:val="24"/>
              </w:rPr>
              <w:t>2</w:t>
            </w:r>
            <w:r>
              <w:rPr>
                <w:rStyle w:val="DefaultParagraphFont"/>
                <w:rFonts w:ascii="Times New Roman" w:hAnsi="Times New Roman" w:cs="Times New Roman"/>
                <w:sz w:val="20"/>
                <w:szCs w:val="24"/>
              </w:rPr>
              <w:t>) technické,</w:t>
            </w:r>
            <w:r>
              <w:rPr>
                <w:rStyle w:val="DefaultParagraphFont"/>
                <w:rFonts w:ascii="Times New Roman" w:hAnsi="Times New Roman" w:cs="Times New Roman"/>
                <w:sz w:val="20"/>
                <w:szCs w:val="24"/>
              </w:rPr>
              <w:t xml:space="preserve"> organizačné a iné opatrenia, ktoré vylúčia alebo znížia expozíciu zamestnancov karcinogénnym a mutagénnym faktorom na najnižšiu možnú a dosiahnuteľnú mieru.</w:t>
            </w:r>
          </w:p>
          <w:p w:rsidR="00F1062D">
            <w:pPr>
              <w:ind w:right="-2"/>
              <w:jc w:val="both"/>
              <w:rPr>
                <w:rStyle w:val="DefaultParagraphFont"/>
                <w:rFonts w:ascii="Times New Roman" w:hAnsi="Times New Roman" w:cs="Times New Roman"/>
                <w:sz w:val="20"/>
                <w:szCs w:val="24"/>
              </w:rPr>
            </w:pPr>
          </w:p>
          <w:p w:rsidR="00F1062D">
            <w:pPr>
              <w:ind w:right="-2"/>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Zamestnávateľ je povinný za účelom zníženia expozície zamestnancov karcinogénom alebo mutagénom  pod úroveň technickej smernej hodnoty na mieste výkonu práce zabezpečiť tieto ochranné opatrenia:</w:t>
            </w:r>
          </w:p>
          <w:p w:rsidR="00F1062D">
            <w:pPr>
              <w:numPr>
                <w:numId w:val="27"/>
              </w:numPr>
              <w:tabs>
                <w:tab w:val="left" w:pos="360"/>
              </w:tab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obmedziť množstvo karcinogénu a mutagénu na pracovisku,</w:t>
            </w:r>
          </w:p>
          <w:p w:rsidR="00F1062D">
            <w:pPr>
              <w:numPr>
                <w:numId w:val="27"/>
              </w:numPr>
              <w:tabs>
                <w:tab w:val="left" w:pos="360"/>
              </w:tab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obmedziť počet zamestnancov, ktorí sú alebo môžu byť exponovaní karcinogénom a mutagénom, na naj</w:t>
            </w:r>
            <w:r>
              <w:rPr>
                <w:rStyle w:val="DefaultParagraphFont"/>
                <w:rFonts w:ascii="Times New Roman" w:hAnsi="Times New Roman" w:cs="Times New Roman"/>
                <w:sz w:val="20"/>
                <w:szCs w:val="24"/>
              </w:rPr>
              <w:t>nižšiu možnú mieru,</w:t>
            </w:r>
          </w:p>
          <w:p w:rsidR="00F1062D">
            <w:pPr>
              <w:numPr>
                <w:numId w:val="27"/>
              </w:numPr>
              <w:tabs>
                <w:tab w:val="left" w:pos="360"/>
              </w:tab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upraviť pracovné procesy a technologické postupy tak, aby sa vylúčil alebo minimalizoval únik karcinogénov alebo mutagénov do pracovného prostredia,</w:t>
            </w:r>
          </w:p>
          <w:p w:rsidR="00F1062D">
            <w:pPr>
              <w:pStyle w:val="abc"/>
              <w:numPr>
                <w:numId w:val="27"/>
              </w:numPr>
              <w:tabs>
                <w:tab w:val="left" w:pos="360"/>
                <w:tab w:val="clear" w:pos="680"/>
              </w:tabs>
              <w:rPr>
                <w:rStyle w:val="DefaultParagraphFont"/>
                <w:rFonts w:ascii="Times New Roman" w:hAnsi="Times New Roman" w:cs="Times New Roman"/>
                <w:szCs w:val="24"/>
              </w:rPr>
            </w:pPr>
            <w:r>
              <w:rPr>
                <w:rStyle w:val="DefaultParagraphFont"/>
                <w:rFonts w:ascii="Times New Roman" w:hAnsi="Times New Roman" w:cs="Times New Roman"/>
                <w:szCs w:val="24"/>
              </w:rPr>
              <w:t>odstraňovať karcinogény alebo mutagény pri zdroja, vykonať lokálne odsávanie alebo celkovú ventiláciu a všetky obdobné postupy primerané a zlučiteľné s ochranou zdravia a životného prostredia,</w:t>
            </w:r>
          </w:p>
          <w:p w:rsidR="00F1062D">
            <w:pPr>
              <w:jc w:val="both"/>
              <w:rPr>
                <w:rStyle w:val="DefaultParagraphFont"/>
                <w:rFonts w:ascii="Times New Roman" w:hAnsi="Times New Roman" w:cs="Times New Roman"/>
                <w:sz w:val="20"/>
                <w:szCs w:val="24"/>
              </w:rPr>
            </w:pPr>
          </w:p>
          <w:p w:rsidR="00F1062D">
            <w:pPr>
              <w:numPr>
                <w:numId w:val="27"/>
              </w:numPr>
              <w:tabs>
                <w:tab w:val="left" w:pos="360"/>
              </w:tab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používať vhodné postupy na meranie karcinogénov a mutagénov, najmä na včasné určenie mimoriadnych expozícií pri  nepredvídateľnej udalosti a</w:t>
            </w:r>
            <w:r>
              <w:rPr>
                <w:rStyle w:val="DefaultParagraphFont"/>
                <w:rFonts w:ascii="Times New Roman" w:hAnsi="Times New Roman" w:cs="Times New Roman"/>
                <w:sz w:val="20"/>
                <w:szCs w:val="24"/>
              </w:rPr>
              <w:t>lebo havárii,</w:t>
            </w:r>
          </w:p>
          <w:p w:rsidR="00F1062D">
            <w:pPr>
              <w:numPr>
                <w:numId w:val="27"/>
              </w:numPr>
              <w:tabs>
                <w:tab w:val="left" w:pos="360"/>
              </w:tab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používať vhodné pracovné postupy a metódy,</w:t>
            </w:r>
          </w:p>
          <w:p w:rsidR="00F1062D">
            <w:pPr>
              <w:numPr>
                <w:numId w:val="27"/>
              </w:numPr>
              <w:tabs>
                <w:tab w:val="left" w:pos="360"/>
              </w:tab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zabezpečiť kolektívne ochranné opatrenia,</w:t>
            </w:r>
          </w:p>
          <w:p w:rsidR="00F1062D">
            <w:pPr>
              <w:numPr>
                <w:numId w:val="27"/>
              </w:numPr>
              <w:tabs>
                <w:tab w:val="left" w:pos="360"/>
              </w:tab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zabezpečiť individuálne ochranné opatrenia, ak nie je možné iným spôsobom zabrániť expozícii zamestnancov karcinogénom a mutagénom,</w:t>
            </w:r>
          </w:p>
          <w:p w:rsidR="00F1062D">
            <w:pPr>
              <w:numPr>
                <w:numId w:val="27"/>
              </w:numPr>
              <w:tabs>
                <w:tab w:val="left" w:pos="360"/>
              </w:tab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dodržiavať hygienické opatrenia na pracovisku, najmä pravidelné čistenie podláh, stien a iných povrchov bezpečnými postupmi,</w:t>
            </w:r>
          </w:p>
          <w:p w:rsidR="00F1062D">
            <w:pPr>
              <w:numPr>
                <w:numId w:val="27"/>
              </w:numPr>
              <w:tabs>
                <w:tab w:val="left" w:pos="360"/>
              </w:tab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informovať zamestnancov podľa § 7 a § 12,</w:t>
            </w:r>
          </w:p>
          <w:p w:rsidR="00F1062D">
            <w:pPr>
              <w:numPr>
                <w:numId w:val="27"/>
              </w:numPr>
              <w:tabs>
                <w:tab w:val="left" w:pos="360"/>
              </w:tab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vymedziť oblasti nebezpečenstva, označiť ich bezpečnostnými a zdravotnými označeniami a používať vhodné výstražné a zákazové značky</w:t>
            </w:r>
            <w:r>
              <w:rPr>
                <w:rStyle w:val="FootnoteReference"/>
                <w:rFonts w:ascii="Times New Roman" w:hAnsi="Times New Roman" w:cs="Times New Roman"/>
                <w:sz w:val="20"/>
                <w:szCs w:val="24"/>
                <w:rtl w:val="0"/>
              </w:rPr>
              <w:footnoteReference w:customMarkFollows="1" w:id="16"/>
              <w:t xml:space="preserve">1</w:t>
            </w:r>
            <w:r>
              <w:rPr>
                <w:rStyle w:val="FootnoteReference"/>
                <w:rFonts w:ascii="Times New Roman" w:hAnsi="Times New Roman" w:cs="Times New Roman"/>
                <w:sz w:val="20"/>
                <w:szCs w:val="24"/>
              </w:rPr>
              <w:t>1)</w:t>
            </w:r>
            <w:r>
              <w:rPr>
                <w:rStyle w:val="DefaultParagraphFont"/>
                <w:rFonts w:ascii="Times New Roman" w:hAnsi="Times New Roman" w:cs="Times New Roman"/>
                <w:sz w:val="20"/>
                <w:szCs w:val="24"/>
              </w:rPr>
              <w:t>, vrátane značky “zákaz fajčenia" v priestoroch, v ktorých zamestnanci sú alebo môžu byť exponovaní karcinogénom alebo mutagénom,</w:t>
            </w:r>
          </w:p>
          <w:p w:rsidR="00F1062D">
            <w:pPr>
              <w:numPr>
                <w:numId w:val="27"/>
              </w:numPr>
              <w:tabs>
                <w:tab w:val="left" w:pos="360"/>
              </w:tab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vypracovať plán ochrany zamestnancov pre nepredvídateľné udalosti alebo nehody, pri ktorých sú pravdepodobné mimoriadne vysoké expozície zamestnancov karcinogénom a mutagénom,</w:t>
            </w:r>
          </w:p>
          <w:p w:rsidR="00F1062D">
            <w:pPr>
              <w:numPr>
                <w:numId w:val="27"/>
              </w:numPr>
              <w:tabs>
                <w:tab w:val="left" w:pos="360"/>
              </w:tab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zabezpečiť prostriedky pre bezpečné skladovanie, manipuláciu a prepravu, najmä používanie hermeticky uzatvárateľných, zreteľne a  viditeľne označených zásobníkov, prepravných nádob a iných obalov a</w:t>
            </w:r>
          </w:p>
          <w:p w:rsidR="00F1062D">
            <w:pPr>
              <w:jc w:val="both"/>
              <w:rPr>
                <w:rStyle w:val="DefaultParagraphFont"/>
                <w:rFonts w:ascii="Times New Roman" w:hAnsi="Times New Roman" w:cs="Times New Roman"/>
                <w:sz w:val="20"/>
                <w:szCs w:val="24"/>
              </w:rPr>
            </w:pPr>
          </w:p>
          <w:p w:rsidR="00F1062D">
            <w:pPr>
              <w:numPr>
                <w:numId w:val="27"/>
              </w:numPr>
              <w:tabs>
                <w:tab w:val="left" w:pos="360"/>
              </w:tabs>
              <w:jc w:val="both"/>
              <w:rPr>
                <w:rStyle w:val="DefaultParagraphFont"/>
                <w:rFonts w:ascii="Times New Roman" w:hAnsi="Times New Roman" w:cs="Times New Roman"/>
                <w:szCs w:val="24"/>
              </w:rPr>
            </w:pPr>
            <w:r>
              <w:rPr>
                <w:rStyle w:val="DefaultParagraphFont"/>
                <w:rFonts w:ascii="Times New Roman" w:hAnsi="Times New Roman" w:cs="Times New Roman"/>
                <w:sz w:val="20"/>
                <w:szCs w:val="24"/>
              </w:rPr>
              <w:t>zabezpečiť pre zamestnancov prostriedky na  bezpečný zber, zhromažďovanie a odstraňovanie odpadu, vrátane používania hermetických, zreteľne a  viditeľne označených kontajnerov.</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U</w:t>
            </w:r>
          </w:p>
          <w:p w:rsidR="00F1062D">
            <w:pPr>
              <w:jc w:val="center"/>
              <w:rPr>
                <w:rStyle w:val="DefaultParagraphFont"/>
                <w:rFonts w:ascii="Times New Roman" w:hAnsi="Times New Roman" w:cs="Times New Roman"/>
                <w:sz w:val="20"/>
                <w:szCs w:val="24"/>
              </w:rPr>
            </w:pPr>
          </w:p>
          <w:p w:rsidR="00F1062D">
            <w:pPr>
              <w:jc w:val="center"/>
              <w:rPr>
                <w:rStyle w:val="DefaultParagraphFont"/>
                <w:rFonts w:ascii="Times New Roman" w:hAnsi="Times New Roman" w:cs="Times New Roman"/>
                <w:sz w:val="20"/>
                <w:szCs w:val="24"/>
              </w:rPr>
            </w:pPr>
          </w:p>
          <w:p w:rsidR="00F1062D">
            <w:pPr>
              <w:jc w:val="center"/>
              <w:rPr>
                <w:rStyle w:val="DefaultParagraphFont"/>
                <w:rFonts w:ascii="Times New Roman" w:hAnsi="Times New Roman" w:cs="Times New Roman"/>
                <w:sz w:val="20"/>
                <w:szCs w:val="24"/>
              </w:rPr>
            </w:pPr>
          </w:p>
          <w:p w:rsidR="00F1062D">
            <w:pPr>
              <w:jc w:val="center"/>
              <w:rPr>
                <w:rStyle w:val="DefaultParagraphFont"/>
                <w:rFonts w:ascii="Times New Roman" w:hAnsi="Times New Roman" w:cs="Times New Roman"/>
                <w:sz w:val="20"/>
                <w:szCs w:val="24"/>
              </w:rPr>
            </w:pPr>
          </w:p>
          <w:p w:rsidR="00F1062D">
            <w:pPr>
              <w:jc w:val="center"/>
              <w:rPr>
                <w:rStyle w:val="DefaultParagraphFont"/>
                <w:rFonts w:ascii="Times New Roman" w:hAnsi="Times New Roman" w:cs="Times New Roman"/>
                <w:sz w:val="20"/>
                <w:szCs w:val="24"/>
              </w:rPr>
            </w:pPr>
          </w:p>
          <w:p w:rsidR="00F1062D">
            <w:pPr>
              <w:jc w:val="center"/>
              <w:rPr>
                <w:rStyle w:val="DefaultParagraphFont"/>
                <w:rFonts w:ascii="Times New Roman" w:hAnsi="Times New Roman" w:cs="Times New Roman"/>
                <w:sz w:val="20"/>
                <w:szCs w:val="24"/>
              </w:rPr>
            </w:pPr>
          </w:p>
          <w:p w:rsidR="00F1062D">
            <w:pPr>
              <w:jc w:val="center"/>
              <w:rPr>
                <w:rStyle w:val="DefaultParagraphFont"/>
                <w:rFonts w:ascii="Times New Roman" w:hAnsi="Times New Roman" w:cs="Times New Roman"/>
                <w:sz w:val="20"/>
                <w:szCs w:val="24"/>
              </w:rPr>
            </w:pPr>
          </w:p>
          <w:p w:rsidR="00F1062D">
            <w:pPr>
              <w:jc w:val="center"/>
              <w:rPr>
                <w:rStyle w:val="DefaultParagraphFont"/>
                <w:rFonts w:ascii="Times New Roman" w:hAnsi="Times New Roman" w:cs="Times New Roman"/>
                <w:sz w:val="20"/>
                <w:szCs w:val="24"/>
              </w:rPr>
            </w:pPr>
          </w:p>
          <w:p w:rsidR="00F1062D">
            <w:pPr>
              <w:jc w:val="center"/>
              <w:rPr>
                <w:rStyle w:val="DefaultParagraphFont"/>
                <w:rFonts w:ascii="Times New Roman" w:hAnsi="Times New Roman" w:cs="Times New Roman"/>
                <w:sz w:val="20"/>
                <w:szCs w:val="24"/>
              </w:rPr>
            </w:pPr>
          </w:p>
          <w:p w:rsidR="00F1062D">
            <w:pPr>
              <w:jc w:val="center"/>
              <w:rPr>
                <w:rStyle w:val="DefaultParagraphFont"/>
                <w:rFonts w:ascii="Times New Roman" w:hAnsi="Times New Roman" w:cs="Times New Roman"/>
                <w:sz w:val="20"/>
                <w:szCs w:val="24"/>
              </w:rPr>
            </w:pPr>
          </w:p>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U</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MZ SR</w:t>
            </w:r>
          </w:p>
          <w:p w:rsidR="00F1062D">
            <w:pPr>
              <w:jc w:val="center"/>
              <w:rPr>
                <w:rStyle w:val="DefaultParagraphFont"/>
                <w:rFonts w:ascii="Times New Roman" w:hAnsi="Times New Roman" w:cs="Times New Roman"/>
                <w:sz w:val="20"/>
                <w:szCs w:val="24"/>
              </w:rPr>
            </w:pPr>
          </w:p>
          <w:p w:rsidR="00F1062D">
            <w:pPr>
              <w:jc w:val="center"/>
              <w:rPr>
                <w:rStyle w:val="DefaultParagraphFont"/>
                <w:rFonts w:ascii="Times New Roman" w:hAnsi="Times New Roman" w:cs="Times New Roman"/>
                <w:sz w:val="20"/>
                <w:szCs w:val="24"/>
              </w:rPr>
            </w:pPr>
          </w:p>
          <w:p w:rsidR="00F1062D">
            <w:pPr>
              <w:jc w:val="center"/>
              <w:rPr>
                <w:rStyle w:val="DefaultParagraphFont"/>
                <w:rFonts w:ascii="Times New Roman" w:hAnsi="Times New Roman" w:cs="Times New Roman"/>
                <w:sz w:val="20"/>
                <w:szCs w:val="24"/>
              </w:rPr>
            </w:pPr>
          </w:p>
          <w:p w:rsidR="00F1062D">
            <w:pPr>
              <w:jc w:val="center"/>
              <w:rPr>
                <w:rStyle w:val="DefaultParagraphFont"/>
                <w:rFonts w:ascii="Times New Roman" w:hAnsi="Times New Roman" w:cs="Times New Roman"/>
                <w:sz w:val="20"/>
                <w:szCs w:val="24"/>
              </w:rPr>
            </w:pPr>
          </w:p>
          <w:p w:rsidR="00F1062D">
            <w:pPr>
              <w:jc w:val="center"/>
              <w:rPr>
                <w:rStyle w:val="DefaultParagraphFont"/>
                <w:rFonts w:ascii="Times New Roman" w:hAnsi="Times New Roman" w:cs="Times New Roman"/>
                <w:sz w:val="20"/>
                <w:szCs w:val="24"/>
              </w:rPr>
            </w:pPr>
          </w:p>
          <w:p w:rsidR="00F1062D">
            <w:pPr>
              <w:jc w:val="center"/>
              <w:rPr>
                <w:rStyle w:val="DefaultParagraphFont"/>
                <w:rFonts w:ascii="Times New Roman" w:hAnsi="Times New Roman" w:cs="Times New Roman"/>
                <w:sz w:val="20"/>
                <w:szCs w:val="24"/>
              </w:rPr>
            </w:pPr>
          </w:p>
          <w:p w:rsidR="00F1062D">
            <w:pPr>
              <w:jc w:val="center"/>
              <w:rPr>
                <w:rStyle w:val="DefaultParagraphFont"/>
                <w:rFonts w:ascii="Times New Roman" w:hAnsi="Times New Roman" w:cs="Times New Roman"/>
                <w:sz w:val="20"/>
                <w:szCs w:val="24"/>
              </w:rPr>
            </w:pPr>
          </w:p>
          <w:p w:rsidR="00F1062D">
            <w:pPr>
              <w:jc w:val="center"/>
              <w:rPr>
                <w:rStyle w:val="DefaultParagraphFont"/>
                <w:rFonts w:ascii="Times New Roman" w:hAnsi="Times New Roman" w:cs="Times New Roman"/>
                <w:sz w:val="20"/>
                <w:szCs w:val="24"/>
              </w:rPr>
            </w:pPr>
          </w:p>
          <w:p w:rsidR="00F1062D">
            <w:pPr>
              <w:jc w:val="center"/>
              <w:rPr>
                <w:rStyle w:val="DefaultParagraphFont"/>
                <w:rFonts w:ascii="Times New Roman" w:hAnsi="Times New Roman" w:cs="Times New Roman"/>
                <w:sz w:val="20"/>
                <w:szCs w:val="24"/>
              </w:rPr>
            </w:pPr>
          </w:p>
          <w:p w:rsidR="00F1062D">
            <w:pPr>
              <w:jc w:val="center"/>
              <w:rPr>
                <w:rStyle w:val="DefaultParagraphFont"/>
                <w:rFonts w:ascii="Times New Roman" w:hAnsi="Times New Roman" w:cs="Times New Roman"/>
                <w:sz w:val="20"/>
                <w:szCs w:val="24"/>
              </w:rPr>
            </w:pPr>
          </w:p>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MZ SR</w:t>
            </w: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rPr>
                <w:rStyle w:val="DefaultParagraphFont"/>
                <w:rFonts w:ascii="Times New Roman" w:hAnsi="Times New Roman" w:cs="Times New Roman"/>
                <w:b w:val="0"/>
                <w:sz w:val="20"/>
                <w:szCs w:val="24"/>
              </w:rPr>
            </w:pPr>
          </w:p>
        </w:tc>
        <w:tc>
          <w:tcPr>
            <w:tcW w:w="140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jc w:val="both"/>
              <w:rPr>
                <w:rStyle w:val="DefaultParagraphFont"/>
                <w:rFonts w:ascii="Times New Roman" w:hAnsi="Times New Roman" w:cs="Times New Roman"/>
                <w:b w:val="0"/>
                <w:sz w:val="20"/>
                <w:szCs w:val="24"/>
              </w:rPr>
            </w:pPr>
          </w:p>
        </w:tc>
      </w:tr>
      <w:tr>
        <w:tblPrEx>
          <w:tblW w:w="16160" w:type="dxa"/>
          <w:tblInd w:w="-497" w:type="dxa"/>
          <w:tblLayout w:type="fixed"/>
          <w:tblCellMar>
            <w:top w:w="0" w:type="dxa"/>
            <w:left w:w="43" w:type="dxa"/>
            <w:bottom w:w="0" w:type="dxa"/>
            <w:right w:w="43" w:type="dxa"/>
          </w:tblCellMar>
        </w:tblPrEx>
        <w:trPr>
          <w:trHeight w:hRule="auto" w:val="0"/>
        </w:trPr>
        <w:tc>
          <w:tcPr>
            <w:tcW w:w="89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Č:6</w:t>
            </w:r>
          </w:p>
        </w:tc>
        <w:tc>
          <w:tcPr>
            <w:tcW w:w="342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Normlny"/>
              <w:rPr>
                <w:rStyle w:val="DefaultParagraphFont"/>
                <w:rFonts w:ascii="Times New Roman" w:hAnsi="Times New Roman" w:cs="Times New Roman"/>
                <w:szCs w:val="24"/>
              </w:rPr>
            </w:pPr>
            <w:r>
              <w:rPr>
                <w:rStyle w:val="DefaultParagraphFont"/>
                <w:rFonts w:ascii="Times New Roman" w:hAnsi="Times New Roman" w:cs="Times New Roman"/>
                <w:b/>
                <w:szCs w:val="24"/>
              </w:rPr>
              <w:t>Informovanie kompetentného úradu</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16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 6</w:t>
            </w:r>
          </w:p>
        </w:tc>
        <w:tc>
          <w:tcPr>
            <w:tcW w:w="36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Normlny"/>
              <w:jc w:val="both"/>
              <w:rPr>
                <w:rStyle w:val="DefaultParagraphFont"/>
                <w:rFonts w:ascii="Times New Roman" w:hAnsi="Times New Roman" w:cs="Times New Roman"/>
                <w:szCs w:val="24"/>
              </w:rPr>
            </w:pPr>
            <w:r>
              <w:rPr>
                <w:rStyle w:val="DefaultParagraphFont"/>
                <w:rFonts w:ascii="Times New Roman" w:hAnsi="Times New Roman" w:cs="Times New Roman"/>
                <w:szCs w:val="24"/>
              </w:rPr>
              <w:t>Žiadosť o schválenie používania karcinogénov a mutagénov</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rPr>
                <w:rStyle w:val="DefaultParagraphFont"/>
                <w:rFonts w:ascii="Times New Roman" w:hAnsi="Times New Roman" w:cs="Times New Roman"/>
                <w:b w:val="0"/>
                <w:sz w:val="20"/>
                <w:szCs w:val="24"/>
              </w:rPr>
            </w:pPr>
          </w:p>
        </w:tc>
        <w:tc>
          <w:tcPr>
            <w:tcW w:w="140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jc w:val="both"/>
              <w:rPr>
                <w:rStyle w:val="DefaultParagraphFont"/>
                <w:rFonts w:ascii="Times New Roman" w:hAnsi="Times New Roman" w:cs="Times New Roman"/>
                <w:b w:val="0"/>
                <w:sz w:val="20"/>
                <w:szCs w:val="24"/>
              </w:rPr>
            </w:pPr>
          </w:p>
        </w:tc>
      </w:tr>
      <w:tr>
        <w:tblPrEx>
          <w:tblW w:w="16160" w:type="dxa"/>
          <w:tblInd w:w="-497" w:type="dxa"/>
          <w:tblLayout w:type="fixed"/>
          <w:tblCellMar>
            <w:top w:w="0" w:type="dxa"/>
            <w:left w:w="43" w:type="dxa"/>
            <w:bottom w:w="0" w:type="dxa"/>
            <w:right w:w="43" w:type="dxa"/>
          </w:tblCellMar>
        </w:tblPrEx>
        <w:trPr>
          <w:trHeight w:hRule="auto" w:val="0"/>
        </w:trPr>
        <w:tc>
          <w:tcPr>
            <w:tcW w:w="89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w:t>
            </w:r>
            <w:r>
              <w:rPr>
                <w:rStyle w:val="DefaultParagraphFont"/>
                <w:rFonts w:ascii="Times New Roman" w:hAnsi="Times New Roman" w:cs="Times New Roman"/>
                <w:sz w:val="20"/>
                <w:szCs w:val="24"/>
              </w:rPr>
              <w:t>:6</w:t>
            </w:r>
          </w:p>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O:1</w:t>
            </w:r>
          </w:p>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P:a)až g)</w:t>
            </w:r>
          </w:p>
        </w:tc>
        <w:tc>
          <w:tcPr>
            <w:tcW w:w="342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Normlny"/>
              <w:jc w:val="both"/>
              <w:rPr>
                <w:rStyle w:val="DefaultParagraphFont"/>
                <w:rFonts w:ascii="Times New Roman" w:hAnsi="Times New Roman" w:cs="Times New Roman"/>
                <w:szCs w:val="24"/>
              </w:rPr>
            </w:pPr>
            <w:r>
              <w:rPr>
                <w:rStyle w:val="DefaultParagraphFont"/>
                <w:rFonts w:ascii="Times New Roman" w:hAnsi="Times New Roman" w:cs="Times New Roman"/>
                <w:szCs w:val="24"/>
              </w:rPr>
              <w:t>Ak výsledky posudzovania uvedeného v článku 3 odstavec 2 poukazujú na riziko pre bezpečnosť alebo zdravie pracovníkov, zamestnávatelia poskytnú kompetentnému úradu na požiadanie veci príslušné informácie o:</w:t>
            </w:r>
          </w:p>
          <w:p w:rsidR="00F1062D">
            <w:pPr>
              <w:pStyle w:val="Normlny"/>
              <w:jc w:val="both"/>
              <w:rPr>
                <w:rStyle w:val="DefaultParagraphFont"/>
                <w:rFonts w:ascii="Times New Roman" w:hAnsi="Times New Roman" w:cs="Times New Roman"/>
                <w:szCs w:val="24"/>
              </w:rPr>
            </w:pPr>
          </w:p>
          <w:p w:rsidR="00F1062D">
            <w:pPr>
              <w:pStyle w:val="Normlny"/>
              <w:jc w:val="both"/>
              <w:rPr>
                <w:rStyle w:val="DefaultParagraphFont"/>
                <w:rFonts w:ascii="Times New Roman" w:hAnsi="Times New Roman" w:cs="Times New Roman"/>
                <w:szCs w:val="24"/>
              </w:rPr>
            </w:pPr>
          </w:p>
          <w:p w:rsidR="00F1062D">
            <w:pPr>
              <w:pStyle w:val="Normlny"/>
              <w:jc w:val="both"/>
              <w:rPr>
                <w:rStyle w:val="DefaultParagraphFont"/>
                <w:rFonts w:ascii="Times New Roman" w:hAnsi="Times New Roman" w:cs="Times New Roman"/>
                <w:szCs w:val="24"/>
              </w:rPr>
            </w:pPr>
          </w:p>
          <w:p w:rsidR="00F1062D">
            <w:pPr>
              <w:pStyle w:val="Normlny"/>
              <w:jc w:val="both"/>
              <w:rPr>
                <w:rStyle w:val="DefaultParagraphFont"/>
                <w:rFonts w:ascii="Times New Roman" w:hAnsi="Times New Roman" w:cs="Times New Roman"/>
                <w:szCs w:val="24"/>
              </w:rPr>
            </w:pPr>
          </w:p>
          <w:p w:rsidR="00F1062D">
            <w:pPr>
              <w:pStyle w:val="BodyTextIndent"/>
              <w:numPr>
                <w:ilvl w:val="0"/>
                <w:numId w:val="18"/>
              </w:numPr>
              <w:suppressAutoHyphens/>
              <w:spacing w:after="0"/>
              <w:ind w:left="24" w:hanging="24"/>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vykonávaných č</w:t>
            </w:r>
            <w:r>
              <w:rPr>
                <w:rStyle w:val="DefaultParagraphFont"/>
                <w:rFonts w:ascii="Times New Roman" w:hAnsi="Times New Roman" w:cs="Times New Roman"/>
                <w:sz w:val="20"/>
                <w:szCs w:val="24"/>
              </w:rPr>
              <w:t>innostiach a/alebo použitých výrobných postupoch, vrátane dôvodov pre použitie karcinogénov alebo mutagénov;</w:t>
            </w:r>
          </w:p>
          <w:p w:rsidR="00F1062D">
            <w:pPr>
              <w:pStyle w:val="BodyTextIndent"/>
              <w:numPr>
                <w:ilvl w:val="0"/>
                <w:numId w:val="49"/>
              </w:numPr>
              <w:suppressAutoHyphens/>
              <w:spacing w:after="0"/>
              <w:jc w:val="both"/>
              <w:rPr>
                <w:rStyle w:val="DefaultParagraphFont"/>
                <w:rFonts w:ascii="Times New Roman" w:hAnsi="Times New Roman" w:cs="Times New Roman"/>
                <w:sz w:val="20"/>
                <w:szCs w:val="24"/>
              </w:rPr>
            </w:pPr>
          </w:p>
          <w:p w:rsidR="00F1062D">
            <w:pPr>
              <w:pStyle w:val="BodyTextIndent"/>
              <w:numPr>
                <w:ilvl w:val="0"/>
                <w:numId w:val="18"/>
              </w:numPr>
              <w:suppressAutoHyphens/>
              <w:spacing w:after="0"/>
              <w:ind w:left="24" w:hanging="24"/>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množstvá vyrábaných alebo používaných látok alebo prípravkov, ktoré obsahujú karcinogény alebo mutagény;</w:t>
            </w:r>
          </w:p>
          <w:p w:rsidR="00F1062D">
            <w:pPr>
              <w:pStyle w:val="BodyTextIndent"/>
              <w:numPr>
                <w:ilvl w:val="0"/>
                <w:numId w:val="18"/>
              </w:numPr>
              <w:suppressAutoHyphens/>
              <w:spacing w:after="0"/>
              <w:ind w:left="24" w:hanging="24"/>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počet exponovaných pracovníkov;</w:t>
            </w:r>
          </w:p>
          <w:p w:rsidR="00F1062D">
            <w:pPr>
              <w:pStyle w:val="BodyTextIndent"/>
              <w:numPr>
                <w:ilvl w:val="0"/>
                <w:numId w:val="18"/>
              </w:numPr>
              <w:suppressAutoHyphens/>
              <w:spacing w:after="0"/>
              <w:ind w:left="24" w:hanging="24"/>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vykonaných  preventívne opatrenia;</w:t>
            </w:r>
          </w:p>
          <w:p w:rsidR="00F1062D">
            <w:pPr>
              <w:pStyle w:val="BodyTextIndent"/>
              <w:numPr>
                <w:ilvl w:val="0"/>
                <w:numId w:val="53"/>
              </w:numPr>
              <w:suppressAutoHyphens/>
              <w:spacing w:after="0"/>
              <w:jc w:val="both"/>
              <w:rPr>
                <w:rStyle w:val="DefaultParagraphFont"/>
                <w:rFonts w:ascii="Times New Roman" w:hAnsi="Times New Roman" w:cs="Times New Roman"/>
                <w:sz w:val="20"/>
                <w:szCs w:val="24"/>
              </w:rPr>
            </w:pPr>
          </w:p>
          <w:p w:rsidR="00F1062D">
            <w:pPr>
              <w:pStyle w:val="BodyTextIndent"/>
              <w:numPr>
                <w:ilvl w:val="0"/>
                <w:numId w:val="18"/>
              </w:numPr>
              <w:suppressAutoHyphens/>
              <w:spacing w:after="0"/>
              <w:ind w:left="24" w:hanging="24"/>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druhu použitého ochranného vybavenia;</w:t>
            </w:r>
          </w:p>
          <w:p w:rsidR="00F1062D">
            <w:pPr>
              <w:pStyle w:val="BodyTextIndent"/>
              <w:numPr>
                <w:ilvl w:val="0"/>
                <w:numId w:val="18"/>
              </w:numPr>
              <w:suppressAutoHyphens/>
              <w:spacing w:after="0"/>
              <w:ind w:left="24" w:hanging="24"/>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charaktere a stupni expozície;</w:t>
            </w:r>
          </w:p>
          <w:p w:rsidR="00F1062D">
            <w:pPr>
              <w:pStyle w:val="BodyTextIndent"/>
              <w:suppressAutoHyphens/>
              <w:spacing w:after="0"/>
              <w:ind w:left="0"/>
              <w:jc w:val="both"/>
              <w:rPr>
                <w:rStyle w:val="DefaultParagraphFont"/>
                <w:rFonts w:ascii="Times New Roman" w:hAnsi="Times New Roman" w:cs="Times New Roman"/>
                <w:sz w:val="20"/>
                <w:szCs w:val="24"/>
              </w:rPr>
            </w:pPr>
          </w:p>
          <w:p w:rsidR="00F1062D">
            <w:pPr>
              <w:pStyle w:val="Normlny"/>
              <w:ind w:left="24" w:hanging="24"/>
              <w:jc w:val="both"/>
              <w:rPr>
                <w:rStyle w:val="DefaultParagraphFont"/>
                <w:rFonts w:ascii="Times New Roman" w:hAnsi="Times New Roman" w:cs="Times New Roman"/>
                <w:szCs w:val="24"/>
              </w:rPr>
            </w:pPr>
            <w:r>
              <w:rPr>
                <w:rStyle w:val="DefaultParagraphFont"/>
                <w:rFonts w:ascii="Times New Roman" w:hAnsi="Times New Roman" w:cs="Times New Roman"/>
                <w:szCs w:val="24"/>
              </w:rPr>
              <w:t>g)prípadoch nahradenia.</w:t>
            </w:r>
          </w:p>
          <w:p w:rsidR="00F1062D">
            <w:pPr>
              <w:pStyle w:val="Normlny"/>
              <w:ind w:left="24" w:hanging="24"/>
              <w:jc w:val="both"/>
              <w:rPr>
                <w:rStyle w:val="DefaultParagraphFont"/>
                <w:rFonts w:ascii="Times New Roman" w:hAnsi="Times New Roman" w:cs="Times New Roman"/>
                <w:szCs w:val="24"/>
              </w:rPr>
            </w:pP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16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Nariadenie vlády</w:t>
            </w:r>
          </w:p>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SR č. 356/2006 Z.z.</w:t>
            </w: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 6</w:t>
            </w:r>
          </w:p>
          <w:p w:rsidR="00F1062D">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 1</w:t>
            </w: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 6</w:t>
            </w:r>
          </w:p>
          <w:p w:rsidR="00F1062D">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 2</w:t>
            </w:r>
          </w:p>
          <w:p w:rsidR="00F1062D">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 a</w:t>
            </w: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 b</w:t>
            </w: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 c</w:t>
            </w: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 d</w:t>
            </w: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 e</w:t>
            </w: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 f</w:t>
            </w: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 g</w:t>
            </w: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 h</w:t>
            </w:r>
          </w:p>
          <w:p w:rsidR="00F1062D">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 i</w:t>
            </w: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tc>
        <w:tc>
          <w:tcPr>
            <w:tcW w:w="36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both"/>
              <w:rPr>
                <w:rStyle w:val="DefaultParagraphFont"/>
                <w:rFonts w:ascii="Times New Roman" w:hAnsi="Times New Roman" w:cs="Times New Roman"/>
                <w:noProof/>
                <w:sz w:val="20"/>
                <w:szCs w:val="24"/>
              </w:rPr>
            </w:pPr>
            <w:r>
              <w:rPr>
                <w:rStyle w:val="DefaultParagraphFont"/>
                <w:rFonts w:ascii="Times New Roman" w:hAnsi="Times New Roman" w:cs="Times New Roman"/>
                <w:sz w:val="20"/>
                <w:szCs w:val="24"/>
              </w:rPr>
              <w:t>Č</w:t>
            </w:r>
            <w:r>
              <w:rPr>
                <w:rStyle w:val="DefaultParagraphFont"/>
                <w:rFonts w:ascii="Times New Roman" w:hAnsi="Times New Roman" w:cs="Times New Roman"/>
                <w:noProof/>
                <w:sz w:val="20"/>
                <w:szCs w:val="24"/>
              </w:rPr>
              <w:t xml:space="preserve">innosť spojená s výrobou, spracovaním, manipuláciou, skladovaním, prepravou a zneškodňovaním a iným používaním karcinogénov a mutagénov na pracovisku musí byť vopred schválená rozhodnutím príslušného orgánu verejného zdravotníctva na základe </w:t>
            </w:r>
            <w:r>
              <w:rPr>
                <w:rStyle w:val="DefaultParagraphFont"/>
                <w:rFonts w:ascii="Times New Roman" w:hAnsi="Times New Roman" w:cs="Times New Roman"/>
                <w:noProof/>
                <w:sz w:val="20"/>
                <w:szCs w:val="24"/>
              </w:rPr>
              <w:t xml:space="preserve"> žiadosti</w:t>
            </w:r>
            <w:r>
              <w:rPr>
                <w:rStyle w:val="FootnoteReference"/>
                <w:rFonts w:ascii="Times New Roman" w:hAnsi="Times New Roman" w:cs="Times New Roman"/>
                <w:noProof/>
                <w:sz w:val="20"/>
                <w:szCs w:val="24"/>
                <w:rtl w:val="0"/>
              </w:rPr>
              <w:footnoteReference w:customMarkFollows="1" w:id="17"/>
              <w:t xml:space="preserve">1</w:t>
            </w:r>
            <w:r>
              <w:rPr>
                <w:rStyle w:val="FootnoteReference"/>
                <w:rFonts w:ascii="Times New Roman" w:hAnsi="Times New Roman" w:cs="Times New Roman"/>
                <w:noProof/>
                <w:sz w:val="20"/>
                <w:szCs w:val="24"/>
              </w:rPr>
              <w:t>2)</w:t>
            </w:r>
            <w:r>
              <w:rPr>
                <w:rStyle w:val="DefaultParagraphFont"/>
                <w:rFonts w:ascii="Times New Roman" w:hAnsi="Times New Roman" w:cs="Times New Roman"/>
                <w:noProof/>
                <w:sz w:val="20"/>
                <w:szCs w:val="24"/>
              </w:rPr>
              <w:t xml:space="preserve">.    </w:t>
            </w:r>
          </w:p>
          <w:p w:rsidR="00F1062D">
            <w:pPr>
              <w:jc w:val="both"/>
              <w:rPr>
                <w:rStyle w:val="DefaultParagraphFont"/>
                <w:rFonts w:ascii="Times New Roman" w:hAnsi="Times New Roman" w:cs="Times New Roman"/>
                <w:noProof/>
                <w:sz w:val="20"/>
                <w:szCs w:val="24"/>
              </w:rPr>
            </w:pPr>
          </w:p>
          <w:p w:rsidR="00F1062D">
            <w:pPr>
              <w:pStyle w:val="Normlny"/>
              <w:jc w:val="both"/>
              <w:rPr>
                <w:rStyle w:val="DefaultParagraphFont"/>
                <w:rFonts w:ascii="Times New Roman" w:hAnsi="Times New Roman" w:cs="Times New Roman"/>
                <w:noProof/>
                <w:szCs w:val="24"/>
              </w:rPr>
            </w:pPr>
            <w:r>
              <w:rPr>
                <w:rStyle w:val="DefaultParagraphFont"/>
                <w:rFonts w:ascii="Times New Roman" w:hAnsi="Times New Roman" w:cs="Times New Roman"/>
                <w:noProof/>
                <w:szCs w:val="24"/>
              </w:rPr>
              <w:t>Žiadosť podľa odseku 1 okrem údajov podľa osobitného predpisu</w:t>
            </w:r>
            <w:r>
              <w:rPr>
                <w:rStyle w:val="DefaultParagraphFont"/>
                <w:rFonts w:ascii="Times New Roman" w:hAnsi="Times New Roman" w:cs="Times New Roman"/>
                <w:noProof/>
                <w:szCs w:val="24"/>
                <w:vertAlign w:val="superscript"/>
              </w:rPr>
              <w:t>12)</w:t>
            </w:r>
            <w:r>
              <w:rPr>
                <w:rStyle w:val="DefaultParagraphFont"/>
                <w:rFonts w:ascii="Times New Roman" w:hAnsi="Times New Roman" w:cs="Times New Roman"/>
                <w:noProof/>
                <w:szCs w:val="24"/>
              </w:rPr>
              <w:t xml:space="preserve"> obsahuje</w:t>
            </w:r>
          </w:p>
          <w:p w:rsidR="00F1062D">
            <w:pPr>
              <w:pStyle w:val="BodyTextIndent"/>
              <w:numPr>
                <w:ilvl w:val="0"/>
                <w:numId w:val="29"/>
              </w:numPr>
              <w:tabs>
                <w:tab w:val="left" w:pos="360"/>
              </w:tabs>
              <w:spacing w:after="0"/>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druh činnosti alebo výrobného procesu na pracovisku, vrátane odôvodnenia použitia karcinogénov alebo mutagé</w:t>
            </w:r>
            <w:r>
              <w:rPr>
                <w:rStyle w:val="DefaultParagraphFont"/>
                <w:rFonts w:ascii="Times New Roman" w:hAnsi="Times New Roman" w:cs="Times New Roman"/>
                <w:sz w:val="20"/>
                <w:szCs w:val="24"/>
              </w:rPr>
              <w:t>nov,</w:t>
            </w:r>
          </w:p>
          <w:p w:rsidR="00F1062D">
            <w:pPr>
              <w:pStyle w:val="BodyTextIndent"/>
              <w:numPr>
                <w:ilvl w:val="0"/>
                <w:numId w:val="57"/>
              </w:numPr>
              <w:spacing w:after="0"/>
              <w:jc w:val="both"/>
              <w:rPr>
                <w:rStyle w:val="DefaultParagraphFont"/>
                <w:rFonts w:ascii="Times New Roman" w:hAnsi="Times New Roman" w:cs="Times New Roman"/>
                <w:sz w:val="20"/>
                <w:szCs w:val="24"/>
              </w:rPr>
            </w:pPr>
          </w:p>
          <w:p w:rsidR="00F1062D">
            <w:pPr>
              <w:pStyle w:val="BodyTextIndent"/>
              <w:numPr>
                <w:ilvl w:val="0"/>
                <w:numId w:val="29"/>
              </w:numPr>
              <w:tabs>
                <w:tab w:val="left" w:pos="360"/>
              </w:tabs>
              <w:spacing w:after="0"/>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množstvo používaných alebo vyrábaných látok alebo prípravkov s obsahom karcinogénov alebo mutagénov za mesiac a za rok,</w:t>
            </w:r>
          </w:p>
          <w:p w:rsidR="00F1062D">
            <w:pPr>
              <w:pStyle w:val="BodyTextIndent"/>
              <w:numPr>
                <w:ilvl w:val="0"/>
                <w:numId w:val="29"/>
              </w:numPr>
              <w:tabs>
                <w:tab w:val="left" w:pos="360"/>
              </w:tabs>
              <w:spacing w:after="0"/>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 počet exponovaných zamestnancov karcinogénom a mutagénom,</w:t>
            </w:r>
          </w:p>
          <w:p w:rsidR="00F1062D">
            <w:pPr>
              <w:pStyle w:val="BodyTextIndent"/>
              <w:numPr>
                <w:ilvl w:val="0"/>
                <w:numId w:val="29"/>
              </w:numPr>
              <w:tabs>
                <w:tab w:val="left" w:pos="360"/>
              </w:tabs>
              <w:spacing w:after="0"/>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rozsah vykonaných preventívnych opatrení,</w:t>
            </w:r>
          </w:p>
          <w:p w:rsidR="00F1062D">
            <w:pPr>
              <w:pStyle w:val="BodyTextIndent"/>
              <w:numPr>
                <w:ilvl w:val="0"/>
                <w:numId w:val="29"/>
              </w:numPr>
              <w:tabs>
                <w:tab w:val="left" w:pos="360"/>
              </w:tabs>
              <w:spacing w:after="0"/>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druh používaných osobných ochranných pracovných prostriedkov,</w:t>
            </w:r>
          </w:p>
          <w:p w:rsidR="00F1062D">
            <w:pPr>
              <w:pStyle w:val="BodyTextIndent"/>
              <w:numPr>
                <w:ilvl w:val="0"/>
                <w:numId w:val="29"/>
              </w:numPr>
              <w:tabs>
                <w:tab w:val="left" w:pos="360"/>
              </w:tabs>
              <w:spacing w:after="0"/>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druh a mieru expozície zamestnancov karcinogénom a mutagénom podľa posúdenia rizika,</w:t>
            </w:r>
          </w:p>
          <w:p w:rsidR="00F1062D">
            <w:pPr>
              <w:pStyle w:val="BodyTextIndent"/>
              <w:numPr>
                <w:ilvl w:val="0"/>
                <w:numId w:val="29"/>
              </w:numPr>
              <w:tabs>
                <w:tab w:val="left" w:pos="360"/>
              </w:tabs>
              <w:spacing w:after="0"/>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informáciu o vykonanom nahradení karcinogénu alebo mutagénu menej nebezpečným faktorom alebo procesom,</w:t>
            </w:r>
          </w:p>
          <w:p w:rsidR="00F1062D">
            <w:pPr>
              <w:pStyle w:val="BodyTextIndent"/>
              <w:numPr>
                <w:ilvl w:val="0"/>
                <w:numId w:val="29"/>
              </w:numPr>
              <w:tabs>
                <w:tab w:val="left" w:pos="360"/>
              </w:tabs>
              <w:spacing w:after="0"/>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vymedzenie kontrolovaného pásma a</w:t>
            </w:r>
          </w:p>
          <w:p w:rsidR="00F1062D">
            <w:pPr>
              <w:pStyle w:val="BodyTextIndent"/>
              <w:numPr>
                <w:ilvl w:val="0"/>
                <w:numId w:val="29"/>
              </w:numPr>
              <w:tabs>
                <w:tab w:val="left" w:pos="360"/>
              </w:tabs>
              <w:spacing w:after="0"/>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spôsob likvidácie nepotrebných zásob, obalov, odpadov a nepoužiteľných osobných ochranných pracovných prostriedkov.</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U</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MZ SR</w:t>
            </w: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rPr>
                <w:rStyle w:val="DefaultParagraphFont"/>
                <w:rFonts w:ascii="Times New Roman" w:hAnsi="Times New Roman" w:cs="Times New Roman"/>
                <w:b w:val="0"/>
                <w:sz w:val="20"/>
                <w:szCs w:val="24"/>
              </w:rPr>
            </w:pPr>
          </w:p>
        </w:tc>
        <w:tc>
          <w:tcPr>
            <w:tcW w:w="140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jc w:val="both"/>
              <w:rPr>
                <w:rStyle w:val="DefaultParagraphFont"/>
                <w:rFonts w:ascii="Times New Roman" w:hAnsi="Times New Roman" w:cs="Times New Roman"/>
                <w:b w:val="0"/>
                <w:sz w:val="20"/>
                <w:szCs w:val="24"/>
              </w:rPr>
            </w:pPr>
          </w:p>
        </w:tc>
      </w:tr>
      <w:tr>
        <w:tblPrEx>
          <w:tblW w:w="16160" w:type="dxa"/>
          <w:tblInd w:w="-497" w:type="dxa"/>
          <w:tblLayout w:type="fixed"/>
          <w:tblCellMar>
            <w:top w:w="0" w:type="dxa"/>
            <w:left w:w="43" w:type="dxa"/>
            <w:bottom w:w="0" w:type="dxa"/>
            <w:right w:w="43" w:type="dxa"/>
          </w:tblCellMar>
        </w:tblPrEx>
        <w:trPr>
          <w:trHeight w:hRule="auto" w:val="0"/>
        </w:trPr>
        <w:tc>
          <w:tcPr>
            <w:tcW w:w="89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Č:7</w:t>
            </w:r>
          </w:p>
        </w:tc>
        <w:tc>
          <w:tcPr>
            <w:tcW w:w="342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BodyTextIndent"/>
              <w:spacing w:after="0"/>
              <w:ind w:left="0"/>
              <w:rPr>
                <w:rStyle w:val="DefaultParagraphFont"/>
                <w:rFonts w:ascii="Times New Roman" w:hAnsi="Times New Roman" w:cs="Times New Roman"/>
                <w:b/>
                <w:sz w:val="20"/>
                <w:szCs w:val="24"/>
              </w:rPr>
            </w:pPr>
            <w:r>
              <w:rPr>
                <w:rStyle w:val="DefaultParagraphFont"/>
                <w:rFonts w:ascii="Times New Roman" w:hAnsi="Times New Roman" w:cs="Times New Roman"/>
                <w:b/>
                <w:sz w:val="20"/>
                <w:szCs w:val="24"/>
              </w:rPr>
              <w:t>Nepredvídateľná expozícia</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16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 7</w:t>
            </w:r>
          </w:p>
        </w:tc>
        <w:tc>
          <w:tcPr>
            <w:tcW w:w="36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BodyTextIndent"/>
              <w:spacing w:after="0"/>
              <w:ind w:left="0"/>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Nepredvídateľná expozícia</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suppressAutoHyphens/>
              <w:jc w:val="left"/>
              <w:rPr>
                <w:rStyle w:val="DefaultParagraphFont"/>
                <w:rFonts w:ascii="Times New Roman" w:hAnsi="Times New Roman" w:cs="Times New Roman"/>
                <w:b w:val="0"/>
                <w:sz w:val="20"/>
                <w:szCs w:val="24"/>
              </w:rPr>
            </w:pPr>
          </w:p>
        </w:tc>
        <w:tc>
          <w:tcPr>
            <w:tcW w:w="140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suppressAutoHyphens/>
              <w:jc w:val="both"/>
              <w:rPr>
                <w:rStyle w:val="DefaultParagraphFont"/>
                <w:rFonts w:ascii="Times New Roman" w:hAnsi="Times New Roman" w:cs="Times New Roman"/>
                <w:b w:val="0"/>
                <w:sz w:val="20"/>
                <w:szCs w:val="24"/>
              </w:rPr>
            </w:pPr>
          </w:p>
        </w:tc>
      </w:tr>
      <w:tr>
        <w:tblPrEx>
          <w:tblW w:w="16160" w:type="dxa"/>
          <w:tblInd w:w="-497" w:type="dxa"/>
          <w:tblLayout w:type="fixed"/>
          <w:tblCellMar>
            <w:top w:w="0" w:type="dxa"/>
            <w:left w:w="43" w:type="dxa"/>
            <w:bottom w:w="0" w:type="dxa"/>
            <w:right w:w="43" w:type="dxa"/>
          </w:tblCellMar>
        </w:tblPrEx>
        <w:trPr>
          <w:trHeight w:hRule="auto" w:val="0"/>
        </w:trPr>
        <w:tc>
          <w:tcPr>
            <w:tcW w:w="89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Č:7</w:t>
            </w:r>
          </w:p>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O:1</w:t>
            </w:r>
          </w:p>
        </w:tc>
        <w:tc>
          <w:tcPr>
            <w:tcW w:w="342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BodyTextIndent"/>
              <w:spacing w:after="0"/>
              <w:ind w:left="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 prípade  nepredvídate</w:t>
            </w:r>
            <w:r>
              <w:rPr>
                <w:rStyle w:val="DefaultParagraphFont"/>
                <w:rFonts w:ascii="Times New Roman" w:hAnsi="Times New Roman" w:cs="Times New Roman"/>
                <w:sz w:val="20"/>
                <w:szCs w:val="24"/>
              </w:rPr>
              <w:t>ľnej udalosti alebo nehody, ktorá by mohla vyvolať mimoriadnu expozíciu pracovníkov, zamestnávateľ o tom informuje pracovníkov.</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16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Nariadenie vlády</w:t>
            </w:r>
          </w:p>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SR č. 356/2006 Z.z.</w:t>
            </w: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 7</w:t>
            </w:r>
          </w:p>
          <w:p w:rsidR="00F1062D">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 1</w:t>
            </w:r>
          </w:p>
        </w:tc>
        <w:tc>
          <w:tcPr>
            <w:tcW w:w="36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Zamestnávateľ o vzniku  nepredvídateľnej udalosti alebo havárie, ktorá by mohla vyvolať mimoriadnu expozíciu zamestnancov karcinogénom a mutagénom, informuje zamestnancov.</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U</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MZ SR</w:t>
            </w: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suppressAutoHyphens/>
              <w:jc w:val="left"/>
              <w:rPr>
                <w:rStyle w:val="DefaultParagraphFont"/>
                <w:rFonts w:ascii="Times New Roman" w:hAnsi="Times New Roman" w:cs="Times New Roman"/>
                <w:b w:val="0"/>
                <w:sz w:val="20"/>
                <w:szCs w:val="24"/>
              </w:rPr>
            </w:pPr>
          </w:p>
        </w:tc>
        <w:tc>
          <w:tcPr>
            <w:tcW w:w="140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suppressAutoHyphens/>
              <w:jc w:val="both"/>
              <w:rPr>
                <w:rStyle w:val="DefaultParagraphFont"/>
                <w:rFonts w:ascii="Times New Roman" w:hAnsi="Times New Roman" w:cs="Times New Roman"/>
                <w:b w:val="0"/>
                <w:sz w:val="20"/>
                <w:szCs w:val="24"/>
              </w:rPr>
            </w:pPr>
          </w:p>
        </w:tc>
      </w:tr>
      <w:tr>
        <w:tblPrEx>
          <w:tblW w:w="16160" w:type="dxa"/>
          <w:tblInd w:w="-497" w:type="dxa"/>
          <w:tblLayout w:type="fixed"/>
          <w:tblCellMar>
            <w:top w:w="0" w:type="dxa"/>
            <w:left w:w="43" w:type="dxa"/>
            <w:bottom w:w="0" w:type="dxa"/>
            <w:right w:w="43" w:type="dxa"/>
          </w:tblCellMar>
        </w:tblPrEx>
        <w:trPr>
          <w:trHeight w:hRule="auto" w:val="0"/>
        </w:trPr>
        <w:tc>
          <w:tcPr>
            <w:tcW w:w="89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Č:7</w:t>
            </w:r>
          </w:p>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O:2</w:t>
            </w:r>
          </w:p>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P:a) až c)</w:t>
            </w:r>
          </w:p>
        </w:tc>
        <w:tc>
          <w:tcPr>
            <w:tcW w:w="342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both"/>
              <w:rPr>
                <w:rStyle w:val="DefaultParagraphFont"/>
                <w:rFonts w:ascii="Times New Roman" w:hAnsi="Times New Roman" w:cs="Times New Roman"/>
                <w:color w:val="000000"/>
                <w:sz w:val="20"/>
                <w:szCs w:val="24"/>
              </w:rPr>
            </w:pPr>
            <w:r>
              <w:rPr>
                <w:rStyle w:val="DefaultParagraphFont"/>
                <w:rFonts w:ascii="Times New Roman" w:hAnsi="Times New Roman" w:cs="Times New Roman"/>
                <w:color w:val="000000"/>
                <w:sz w:val="20"/>
                <w:szCs w:val="24"/>
              </w:rPr>
              <w:t>Pokiaľ sa situácia nevráti do normálneho stavu a nie sú odstránené príčiny mimoriadnej expozície:</w:t>
            </w:r>
          </w:p>
          <w:p w:rsidR="00F1062D">
            <w:pPr>
              <w:suppressAutoHyphens/>
              <w:ind w:left="24"/>
              <w:jc w:val="both"/>
              <w:rPr>
                <w:rStyle w:val="DefaultParagraphFont"/>
                <w:rFonts w:ascii="Times New Roman" w:hAnsi="Times New Roman" w:cs="Times New Roman"/>
                <w:color w:val="000000"/>
                <w:sz w:val="20"/>
                <w:szCs w:val="24"/>
              </w:rPr>
            </w:pPr>
            <w:r>
              <w:rPr>
                <w:rStyle w:val="DefaultParagraphFont"/>
                <w:rFonts w:ascii="Times New Roman" w:hAnsi="Times New Roman" w:cs="Times New Roman"/>
                <w:color w:val="000000"/>
                <w:sz w:val="20"/>
                <w:szCs w:val="24"/>
              </w:rPr>
              <w:t>a)v zasiahnutej oblasti bude povolené pracovať iba pracovníkom, ktorí sú potrební na vykonávanie opráv a iné nevyhnutné  práce;</w:t>
            </w:r>
          </w:p>
          <w:p w:rsidR="00F1062D">
            <w:pPr>
              <w:suppressAutoHyphens/>
              <w:ind w:left="24"/>
              <w:jc w:val="both"/>
              <w:rPr>
                <w:rStyle w:val="DefaultParagraphFont"/>
                <w:rFonts w:ascii="Times New Roman" w:hAnsi="Times New Roman" w:cs="Times New Roman"/>
                <w:color w:val="000000"/>
                <w:sz w:val="20"/>
                <w:szCs w:val="24"/>
              </w:rPr>
            </w:pPr>
          </w:p>
          <w:p w:rsidR="00F1062D">
            <w:pPr>
              <w:suppressAutoHyphens/>
              <w:ind w:left="24"/>
              <w:jc w:val="both"/>
              <w:rPr>
                <w:rStyle w:val="DefaultParagraphFont"/>
                <w:rFonts w:ascii="Times New Roman" w:hAnsi="Times New Roman" w:cs="Times New Roman"/>
                <w:color w:val="000000"/>
                <w:sz w:val="20"/>
                <w:szCs w:val="24"/>
              </w:rPr>
            </w:pPr>
            <w:r>
              <w:rPr>
                <w:rStyle w:val="DefaultParagraphFont"/>
                <w:rFonts w:ascii="Times New Roman" w:hAnsi="Times New Roman" w:cs="Times New Roman"/>
                <w:color w:val="000000"/>
                <w:sz w:val="20"/>
                <w:szCs w:val="24"/>
              </w:rPr>
              <w:t xml:space="preserve">b)príslušným pracovníkom bude poskytnutý ochranný odev a prostriedky na osobnú ochranu dýchacích ciest, ktoré musia nosiť; expozícia nemôže byť trvalá a bude obmedzená na prísne minimálny čas potrebný pre každého pracovníka.  </w:t>
            </w:r>
          </w:p>
          <w:p w:rsidR="00F1062D">
            <w:pPr>
              <w:suppressAutoHyphens/>
              <w:ind w:left="24"/>
              <w:jc w:val="both"/>
              <w:rPr>
                <w:rStyle w:val="DefaultParagraphFont"/>
                <w:rFonts w:ascii="Times New Roman" w:hAnsi="Times New Roman" w:cs="Times New Roman"/>
                <w:color w:val="000000"/>
                <w:sz w:val="20"/>
                <w:szCs w:val="24"/>
              </w:rPr>
            </w:pPr>
          </w:p>
          <w:p w:rsidR="00F1062D">
            <w:pPr>
              <w:suppressAutoHyphens/>
              <w:ind w:left="24"/>
              <w:jc w:val="both"/>
              <w:rPr>
                <w:rStyle w:val="DefaultParagraphFont"/>
                <w:rFonts w:ascii="Times New Roman" w:hAnsi="Times New Roman" w:cs="Times New Roman"/>
                <w:color w:val="000000"/>
                <w:sz w:val="20"/>
                <w:szCs w:val="24"/>
              </w:rPr>
            </w:pPr>
          </w:p>
          <w:p w:rsidR="00F1062D">
            <w:pPr>
              <w:suppressAutoHyphens/>
              <w:ind w:left="24"/>
              <w:jc w:val="both"/>
              <w:rPr>
                <w:rStyle w:val="DefaultParagraphFont"/>
                <w:rFonts w:ascii="Times New Roman" w:hAnsi="Times New Roman" w:cs="Times New Roman"/>
                <w:color w:val="000000"/>
                <w:sz w:val="20"/>
                <w:szCs w:val="24"/>
              </w:rPr>
            </w:pPr>
            <w:r>
              <w:rPr>
                <w:rStyle w:val="DefaultParagraphFont"/>
                <w:rFonts w:ascii="Times New Roman" w:hAnsi="Times New Roman" w:cs="Times New Roman"/>
                <w:color w:val="000000"/>
                <w:sz w:val="20"/>
                <w:szCs w:val="24"/>
              </w:rPr>
              <w:t>c) nechráneným pracovníkom nebude povolené pracovať v zasiahnutej oblasti.</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16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Nariadenie vlády</w:t>
            </w:r>
          </w:p>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SR č. 356/2006 Z.z.</w:t>
            </w: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 7</w:t>
            </w:r>
          </w:p>
          <w:p w:rsidR="00F1062D">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 2</w:t>
            </w:r>
          </w:p>
          <w:p w:rsidR="00F1062D">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 a</w:t>
            </w: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 b</w:t>
            </w: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 c</w:t>
            </w:r>
          </w:p>
        </w:tc>
        <w:tc>
          <w:tcPr>
            <w:tcW w:w="36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both"/>
              <w:rPr>
                <w:rStyle w:val="DefaultParagraphFont"/>
                <w:rFonts w:ascii="Times New Roman" w:hAnsi="Times New Roman" w:cs="Times New Roman"/>
                <w:color w:val="000000"/>
                <w:sz w:val="20"/>
                <w:szCs w:val="24"/>
              </w:rPr>
            </w:pPr>
            <w:r>
              <w:rPr>
                <w:rStyle w:val="DefaultParagraphFont"/>
                <w:rFonts w:ascii="Times New Roman" w:hAnsi="Times New Roman" w:cs="Times New Roman"/>
                <w:color w:val="000000"/>
                <w:sz w:val="20"/>
                <w:szCs w:val="24"/>
              </w:rPr>
              <w:t>Ak nie sú odstránené príčiny mimoriadnej expozície</w:t>
            </w:r>
            <w:r>
              <w:rPr>
                <w:rStyle w:val="DefaultParagraphFont"/>
                <w:rFonts w:ascii="Times New Roman" w:hAnsi="Times New Roman" w:cs="Times New Roman"/>
                <w:sz w:val="20"/>
                <w:szCs w:val="24"/>
              </w:rPr>
              <w:t xml:space="preserve"> karcinogénom a mutagénom</w:t>
            </w:r>
            <w:r>
              <w:rPr>
                <w:rStyle w:val="DefaultParagraphFont"/>
                <w:rFonts w:ascii="Times New Roman" w:hAnsi="Times New Roman" w:cs="Times New Roman"/>
                <w:color w:val="000000"/>
                <w:sz w:val="20"/>
                <w:szCs w:val="24"/>
              </w:rPr>
              <w:t xml:space="preserve"> a situácia sa neupraví do normálneho stavu,</w:t>
            </w:r>
          </w:p>
          <w:p w:rsidR="00F1062D">
            <w:pPr>
              <w:numPr>
                <w:ilvl w:val="0"/>
                <w:numId w:val="30"/>
              </w:numPr>
              <w:tabs>
                <w:tab w:val="left" w:pos="360"/>
              </w:tabs>
              <w:jc w:val="both"/>
              <w:rPr>
                <w:rStyle w:val="DefaultParagraphFont"/>
                <w:rFonts w:ascii="Times New Roman" w:hAnsi="Times New Roman" w:cs="Times New Roman"/>
                <w:color w:val="000000"/>
                <w:sz w:val="20"/>
                <w:szCs w:val="24"/>
              </w:rPr>
            </w:pPr>
            <w:r>
              <w:rPr>
                <w:rStyle w:val="DefaultParagraphFont"/>
                <w:rFonts w:ascii="Times New Roman" w:hAnsi="Times New Roman" w:cs="Times New Roman"/>
                <w:color w:val="000000"/>
                <w:sz w:val="20"/>
                <w:szCs w:val="24"/>
              </w:rPr>
              <w:t>do zasiahnutého priestoru majú povolený prístup len určení zamestnanci vykonávajúci opravy a iné nevyhnutné práce,</w:t>
            </w:r>
          </w:p>
          <w:p w:rsidR="00F1062D">
            <w:pPr>
              <w:numPr>
                <w:ilvl w:val="0"/>
                <w:numId w:val="67"/>
              </w:numPr>
              <w:jc w:val="both"/>
              <w:rPr>
                <w:rStyle w:val="DefaultParagraphFont"/>
                <w:rFonts w:ascii="Times New Roman" w:hAnsi="Times New Roman" w:cs="Times New Roman"/>
                <w:color w:val="000000"/>
                <w:sz w:val="20"/>
                <w:szCs w:val="24"/>
              </w:rPr>
            </w:pPr>
          </w:p>
          <w:p w:rsidR="00F1062D">
            <w:pPr>
              <w:numPr>
                <w:ilvl w:val="0"/>
                <w:numId w:val="30"/>
              </w:numPr>
              <w:tabs>
                <w:tab w:val="left" w:pos="360"/>
              </w:tabs>
              <w:jc w:val="both"/>
              <w:rPr>
                <w:rStyle w:val="DefaultParagraphFont"/>
                <w:rFonts w:ascii="Times New Roman" w:hAnsi="Times New Roman" w:cs="Times New Roman"/>
                <w:color w:val="000000"/>
                <w:sz w:val="20"/>
                <w:szCs w:val="24"/>
              </w:rPr>
            </w:pPr>
            <w:r>
              <w:rPr>
                <w:rStyle w:val="DefaultParagraphFont"/>
                <w:rFonts w:ascii="Times New Roman" w:hAnsi="Times New Roman" w:cs="Times New Roman"/>
                <w:color w:val="000000"/>
                <w:sz w:val="20"/>
                <w:szCs w:val="24"/>
              </w:rPr>
              <w:t xml:space="preserve">určeným zamestnancom zamestnávateľ poskytne ochranný odev a osobné ochranné pracovné prostriedky na osobnú ochranu dýchacích ciest, ktoré musia použiť. Expozícia zamestnancov </w:t>
            </w:r>
            <w:r>
              <w:rPr>
                <w:rStyle w:val="DefaultParagraphFont"/>
                <w:rFonts w:ascii="Times New Roman" w:hAnsi="Times New Roman" w:cs="Times New Roman"/>
                <w:sz w:val="20"/>
                <w:szCs w:val="24"/>
              </w:rPr>
              <w:t>karcinogénom a mutagénom</w:t>
            </w:r>
            <w:r>
              <w:rPr>
                <w:rStyle w:val="DefaultParagraphFont"/>
                <w:rFonts w:ascii="Times New Roman" w:hAnsi="Times New Roman" w:cs="Times New Roman"/>
                <w:color w:val="000000"/>
                <w:sz w:val="20"/>
                <w:szCs w:val="24"/>
              </w:rPr>
              <w:t xml:space="preserve"> nemôže byť trvalá, musí byť obmedzená na nevyhnutný minimálny čas pre každého zamestnanca a</w:t>
            </w:r>
          </w:p>
          <w:p w:rsidR="00F1062D">
            <w:pPr>
              <w:numPr>
                <w:ilvl w:val="0"/>
                <w:numId w:val="30"/>
              </w:numPr>
              <w:tabs>
                <w:tab w:val="left" w:pos="360"/>
              </w:tabs>
              <w:jc w:val="both"/>
              <w:rPr>
                <w:rStyle w:val="DefaultParagraphFont"/>
                <w:rFonts w:ascii="Times New Roman" w:hAnsi="Times New Roman" w:cs="Times New Roman"/>
                <w:color w:val="000000"/>
                <w:sz w:val="20"/>
                <w:szCs w:val="24"/>
              </w:rPr>
            </w:pPr>
            <w:r>
              <w:rPr>
                <w:rStyle w:val="DefaultParagraphFont"/>
                <w:rFonts w:ascii="Times New Roman" w:hAnsi="Times New Roman" w:cs="Times New Roman"/>
                <w:color w:val="000000"/>
                <w:sz w:val="20"/>
                <w:szCs w:val="24"/>
              </w:rPr>
              <w:t>zamestnanci bez ochranného vybavenia nesmú pracovať v zasiahnutom priestore.</w:t>
            </w:r>
          </w:p>
          <w:p w:rsidR="00F1062D">
            <w:pPr>
              <w:jc w:val="both"/>
              <w:rPr>
                <w:rStyle w:val="DefaultParagraphFont"/>
                <w:rFonts w:ascii="Times New Roman" w:hAnsi="Times New Roman" w:cs="Times New Roman"/>
                <w:color w:val="000000"/>
                <w:sz w:val="20"/>
                <w:szCs w:val="24"/>
              </w:rPr>
            </w:pP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U</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MZ SR</w:t>
            </w: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suppressAutoHyphens/>
              <w:jc w:val="left"/>
              <w:rPr>
                <w:rStyle w:val="DefaultParagraphFont"/>
                <w:rFonts w:ascii="Times New Roman" w:hAnsi="Times New Roman" w:cs="Times New Roman"/>
                <w:b w:val="0"/>
                <w:sz w:val="20"/>
                <w:szCs w:val="24"/>
              </w:rPr>
            </w:pPr>
          </w:p>
        </w:tc>
        <w:tc>
          <w:tcPr>
            <w:tcW w:w="140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suppressAutoHyphens/>
              <w:jc w:val="both"/>
              <w:rPr>
                <w:rStyle w:val="DefaultParagraphFont"/>
                <w:rFonts w:ascii="Times New Roman" w:hAnsi="Times New Roman" w:cs="Times New Roman"/>
                <w:b w:val="0"/>
                <w:sz w:val="20"/>
                <w:szCs w:val="24"/>
              </w:rPr>
            </w:pPr>
          </w:p>
        </w:tc>
      </w:tr>
      <w:tr>
        <w:tblPrEx>
          <w:tblW w:w="16160" w:type="dxa"/>
          <w:tblInd w:w="-497" w:type="dxa"/>
          <w:tblLayout w:type="fixed"/>
          <w:tblCellMar>
            <w:top w:w="0" w:type="dxa"/>
            <w:left w:w="43" w:type="dxa"/>
            <w:bottom w:w="0" w:type="dxa"/>
            <w:right w:w="43" w:type="dxa"/>
          </w:tblCellMar>
        </w:tblPrEx>
        <w:trPr>
          <w:trHeight w:hRule="auto" w:val="0"/>
        </w:trPr>
        <w:tc>
          <w:tcPr>
            <w:tcW w:w="89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Č:8</w:t>
            </w:r>
          </w:p>
        </w:tc>
        <w:tc>
          <w:tcPr>
            <w:tcW w:w="342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3"/>
              <w:numPr>
                <w:ilvl w:val="0"/>
                <w:numId w:val="0"/>
              </w:numPr>
              <w:tabs>
                <w:tab w:val="clear" w:pos="2160"/>
              </w:tabs>
              <w:jc w:val="both"/>
              <w:rPr>
                <w:rStyle w:val="DefaultParagraphFont"/>
                <w:rFonts w:ascii="Times New Roman" w:hAnsi="Times New Roman" w:cs="Times New Roman"/>
                <w:szCs w:val="24"/>
              </w:rPr>
            </w:pPr>
            <w:r>
              <w:rPr>
                <w:rStyle w:val="DefaultParagraphFont"/>
                <w:rFonts w:ascii="Times New Roman" w:hAnsi="Times New Roman" w:cs="Times New Roman"/>
                <w:szCs w:val="24"/>
              </w:rPr>
              <w:t>Predvídateľná expozícia</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16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 8</w:t>
            </w:r>
          </w:p>
        </w:tc>
        <w:tc>
          <w:tcPr>
            <w:tcW w:w="36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3"/>
              <w:numPr>
                <w:ilvl w:val="0"/>
                <w:numId w:val="0"/>
              </w:numPr>
              <w:tabs>
                <w:tab w:val="clear" w:pos="2160"/>
              </w:tabs>
              <w:jc w:val="both"/>
              <w:rPr>
                <w:rStyle w:val="DefaultParagraphFont"/>
                <w:rFonts w:ascii="Times New Roman" w:hAnsi="Times New Roman" w:cs="Times New Roman"/>
                <w:b w:val="0"/>
                <w:szCs w:val="24"/>
              </w:rPr>
            </w:pPr>
            <w:r>
              <w:rPr>
                <w:rStyle w:val="DefaultParagraphFont"/>
                <w:rFonts w:ascii="Times New Roman" w:hAnsi="Times New Roman" w:cs="Times New Roman"/>
                <w:b w:val="0"/>
                <w:szCs w:val="24"/>
              </w:rPr>
              <w:t>Predvídateľná expozícia</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suppressAutoHyphens/>
              <w:jc w:val="left"/>
              <w:rPr>
                <w:rStyle w:val="DefaultParagraphFont"/>
                <w:rFonts w:ascii="Times New Roman" w:hAnsi="Times New Roman" w:cs="Times New Roman"/>
                <w:b w:val="0"/>
                <w:sz w:val="20"/>
                <w:szCs w:val="24"/>
              </w:rPr>
            </w:pPr>
          </w:p>
        </w:tc>
        <w:tc>
          <w:tcPr>
            <w:tcW w:w="140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suppressAutoHyphens/>
              <w:jc w:val="both"/>
              <w:rPr>
                <w:rStyle w:val="DefaultParagraphFont"/>
                <w:rFonts w:ascii="Times New Roman" w:hAnsi="Times New Roman" w:cs="Times New Roman"/>
                <w:b w:val="0"/>
                <w:sz w:val="20"/>
                <w:szCs w:val="24"/>
              </w:rPr>
            </w:pPr>
          </w:p>
        </w:tc>
      </w:tr>
      <w:tr>
        <w:tblPrEx>
          <w:tblW w:w="16160" w:type="dxa"/>
          <w:tblInd w:w="-497" w:type="dxa"/>
          <w:tblLayout w:type="fixed"/>
          <w:tblCellMar>
            <w:top w:w="0" w:type="dxa"/>
            <w:left w:w="43" w:type="dxa"/>
            <w:bottom w:w="0" w:type="dxa"/>
            <w:right w:w="43" w:type="dxa"/>
          </w:tblCellMar>
        </w:tblPrEx>
        <w:trPr>
          <w:trHeight w:hRule="auto" w:val="0"/>
        </w:trPr>
        <w:tc>
          <w:tcPr>
            <w:tcW w:w="89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Č:8</w:t>
            </w:r>
          </w:p>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O:1</w:t>
            </w:r>
          </w:p>
        </w:tc>
        <w:tc>
          <w:tcPr>
            <w:tcW w:w="342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Pri určitých činnostiach, napríklad údržbárskych prácach, pri ktorých je predvídateľná možnosť značného zvýšenia expozície pracovníkov a vzhľadom na ktoré bol vyčerpaný celý rozsah ďalších technických preventívnych opatrení na obmedzenie expozície pracovníkov, zamestnávateľ určí po konzultácii s pracovníkmi a/alebo ich zástupcami v podniku alebo v prevádzkarni s rešpektovaním zodpovednosti zamestnávateľa, potrebné opatrenia na skrátenie trvania expozície pracovníkov na minimum a na zabezpečenie ochrany pracovníkov počas týchto činností.</w:t>
            </w:r>
          </w:p>
          <w:p w:rsidR="00F1062D">
            <w:pPr>
              <w:pStyle w:val="BodyTextIndent"/>
              <w:spacing w:after="0"/>
              <w:ind w:left="0"/>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Podľa prvého podoseku príslušným pracovníkom bude poskytnutý ochranný odev a prostriedky na osobnú ochranu dýchacích ciest, ktoré musia nosiť počas celého trvania mimoriadnej expozície, expozícia nemôže byť trvalá a bude obmedzená na prísne minimálny čas potrebný pre každého p</w:t>
            </w:r>
            <w:r>
              <w:rPr>
                <w:rStyle w:val="DefaultParagraphFont"/>
                <w:rFonts w:ascii="Times New Roman" w:hAnsi="Times New Roman" w:cs="Times New Roman"/>
                <w:sz w:val="20"/>
                <w:szCs w:val="24"/>
              </w:rPr>
              <w:t xml:space="preserve">racovníka.  </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16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Nariadenie vlády</w:t>
            </w:r>
          </w:p>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SR č. 356/2006 Z.z.</w:t>
            </w: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 8</w:t>
            </w:r>
          </w:p>
          <w:p w:rsidR="00F1062D">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 1</w:t>
            </w: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 xml:space="preserve">§ 8 </w:t>
            </w:r>
          </w:p>
          <w:p w:rsidR="00F1062D">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 2</w:t>
            </w: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 8</w:t>
            </w:r>
          </w:p>
          <w:p w:rsidR="00F1062D">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 1</w:t>
            </w:r>
          </w:p>
        </w:tc>
        <w:tc>
          <w:tcPr>
            <w:tcW w:w="36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Pri určitých činnostiach, ako je údržba a opravy, pri ktorých je možné predvídať významné zvýšenie expozície zamestnancov karcinogénom a mutagénom, aj za predpokladu, že boli vykonané všetky dostupné technické preventívne opatrenia, zamestnávateľ vykoná ďalšie potrebné opatrenia na skrátenie trvania expozície na minimum a na zabezpečenie ochrany zdravia a bezpečnosti zamestnancov počas týchto činností; expozícia nemôže byť trvalá; pri tom prihliada na vyjadrenie zamestnancov a zástupcov zamestnancov pre bezpečnosť a ochranu zdravia pri práci.</w:t>
            </w:r>
          </w:p>
          <w:p w:rsidR="00F1062D">
            <w:pPr>
              <w:jc w:val="both"/>
              <w:rPr>
                <w:rStyle w:val="DefaultParagraphFont"/>
                <w:rFonts w:ascii="Times New Roman" w:hAnsi="Times New Roman" w:cs="Times New Roman"/>
                <w:sz w:val="20"/>
                <w:szCs w:val="24"/>
              </w:rPr>
            </w:pPr>
          </w:p>
          <w:p w:rsidR="00F1062D">
            <w:pPr>
              <w:ind w:right="-2"/>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Pre činnostiach podľa odseku 1 zamestnávateľ poskytne zamestnancom  ochranný odev a osobné ochranné pracovné prostriedky na osobnú ochranu dýchacích ciest, ktoré musia používať počas celého trvania mimoriadnej expozície karcinogénom a mutagénom.</w:t>
            </w:r>
          </w:p>
          <w:p w:rsidR="00F1062D">
            <w:pPr>
              <w:ind w:right="-2"/>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Pri určitých činnostiach, ako je údržba a opravy, pri ktorých je možné predvídať významné zvýšenie expozície zamestnancov karcinogénom a mutagénom aj za predpokladu, že boli vykonané všetky dostupné technické preventívne opatrenia, zamestnávateľ vykoná ďalšie potrebné opatrenia na skrátenie trvania expozície na minimum a na zabezpečenie ochrany zdravia a bezpečnosti zamestnancov počas týchto činností; expozícia nemôže byť trvalá; pri tom prihliada na vyjadrenie zamestnancov a zástupcov zamestnancov. </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U</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MZ SR</w:t>
            </w: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suppressAutoHyphens/>
              <w:jc w:val="left"/>
              <w:rPr>
                <w:rStyle w:val="DefaultParagraphFont"/>
                <w:rFonts w:ascii="Times New Roman" w:hAnsi="Times New Roman" w:cs="Times New Roman"/>
                <w:b w:val="0"/>
                <w:sz w:val="20"/>
                <w:szCs w:val="24"/>
              </w:rPr>
            </w:pPr>
          </w:p>
        </w:tc>
        <w:tc>
          <w:tcPr>
            <w:tcW w:w="140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suppressAutoHyphens/>
              <w:jc w:val="both"/>
              <w:rPr>
                <w:rStyle w:val="DefaultParagraphFont"/>
                <w:rFonts w:ascii="Times New Roman" w:hAnsi="Times New Roman" w:cs="Times New Roman"/>
                <w:b w:val="0"/>
                <w:sz w:val="20"/>
                <w:szCs w:val="24"/>
              </w:rPr>
            </w:pPr>
          </w:p>
        </w:tc>
      </w:tr>
      <w:tr>
        <w:tblPrEx>
          <w:tblW w:w="16160" w:type="dxa"/>
          <w:tblInd w:w="-497" w:type="dxa"/>
          <w:tblLayout w:type="fixed"/>
          <w:tblCellMar>
            <w:top w:w="0" w:type="dxa"/>
            <w:left w:w="43" w:type="dxa"/>
            <w:bottom w:w="0" w:type="dxa"/>
            <w:right w:w="43" w:type="dxa"/>
          </w:tblCellMar>
        </w:tblPrEx>
        <w:trPr>
          <w:trHeight w:hRule="auto" w:val="0"/>
        </w:trPr>
        <w:tc>
          <w:tcPr>
            <w:tcW w:w="89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Č:8</w:t>
            </w:r>
          </w:p>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O:2</w:t>
            </w:r>
          </w:p>
        </w:tc>
        <w:tc>
          <w:tcPr>
            <w:tcW w:w="342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abc"/>
              <w:tabs>
                <w:tab w:val="clear" w:pos="360"/>
                <w:tab w:val="clear" w:pos="680"/>
              </w:tabs>
              <w:rPr>
                <w:rStyle w:val="WW8Num59z0"/>
                <w:rFonts w:ascii="Times New Roman" w:hAnsi="Times New Roman" w:cs="Times New Roman"/>
                <w:szCs w:val="24"/>
              </w:rPr>
            </w:pPr>
            <w:r>
              <w:rPr>
                <w:rStyle w:val="WW8Num59z0"/>
                <w:rFonts w:ascii="Times New Roman" w:hAnsi="Times New Roman" w:cs="Times New Roman"/>
                <w:sz w:val="20"/>
                <w:szCs w:val="24"/>
              </w:rPr>
              <w:t>Budú vykonané vhodné opatrenia, aby oblasti, v ktorých sa budú vykonávať činnosti uvedené v prvom pododseku 1, boli zreteľne ohraničené a vyznačené, alebo aby sa iným spôsobom zabránilo vstupu neoprávnených osôb do týchto oblastí</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16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Nariadenie vlády</w:t>
            </w:r>
          </w:p>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SR č. 356/2006 Z.z.</w:t>
            </w: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WW-Znakyprepoznmkupodiarou"/>
                <w:rFonts w:ascii="Times New Roman" w:hAnsi="Times New Roman" w:cs="Times New Roman"/>
                <w:sz w:val="20"/>
                <w:szCs w:val="24"/>
                <w:vertAlign w:val="baseline"/>
              </w:rPr>
            </w:pPr>
            <w:r>
              <w:rPr>
                <w:rStyle w:val="WW-Znakyprepoznmkupodiarou"/>
                <w:rFonts w:ascii="Times New Roman" w:hAnsi="Times New Roman" w:cs="Times New Roman"/>
                <w:sz w:val="20"/>
                <w:szCs w:val="24"/>
                <w:vertAlign w:val="baseline"/>
              </w:rPr>
              <w:t>§ 9</w:t>
            </w:r>
          </w:p>
          <w:p w:rsidR="00F1062D">
            <w:pPr>
              <w:jc w:val="center"/>
              <w:rPr>
                <w:rStyle w:val="WW-Znakyprepoznmkupodiarou"/>
                <w:rFonts w:ascii="Times New Roman" w:hAnsi="Times New Roman" w:cs="Times New Roman"/>
                <w:sz w:val="20"/>
                <w:szCs w:val="24"/>
                <w:vertAlign w:val="baseline"/>
              </w:rPr>
            </w:pPr>
          </w:p>
        </w:tc>
        <w:tc>
          <w:tcPr>
            <w:tcW w:w="36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abc"/>
              <w:tabs>
                <w:tab w:val="clear" w:pos="360"/>
                <w:tab w:val="clear" w:pos="680"/>
              </w:tabs>
              <w:rPr>
                <w:rStyle w:val="DefaultParagraphFont"/>
                <w:rFonts w:ascii="Times New Roman" w:hAnsi="Times New Roman" w:cs="Times New Roman"/>
                <w:szCs w:val="24"/>
              </w:rPr>
            </w:pPr>
            <w:r>
              <w:rPr>
                <w:rStyle w:val="DefaultParagraphFont"/>
                <w:rFonts w:ascii="Times New Roman" w:hAnsi="Times New Roman" w:cs="Times New Roman"/>
                <w:szCs w:val="24"/>
              </w:rPr>
              <w:t>Kontrolované pásmo je vymedzený, zreteľne a viditeľne označený</w:t>
            </w:r>
            <w:r>
              <w:rPr>
                <w:rStyle w:val="DefaultParagraphFont"/>
                <w:rFonts w:ascii="Times New Roman" w:hAnsi="Times New Roman" w:cs="Times New Roman"/>
                <w:szCs w:val="24"/>
                <w:vertAlign w:val="superscript"/>
              </w:rPr>
              <w:t>11)</w:t>
            </w:r>
            <w:r>
              <w:rPr>
                <w:rStyle w:val="DefaultParagraphFont"/>
                <w:rFonts w:ascii="Times New Roman" w:hAnsi="Times New Roman" w:cs="Times New Roman"/>
                <w:szCs w:val="24"/>
              </w:rPr>
              <w:t xml:space="preserve"> priestor pracoviska, kde sa vykonávajú činnosti uvedené v § 8 ods. 1 alebo činnosti, ktoré na základe posúdenia rizika podľa § 3 ods. 2 a 3 predstavujú riziko pre zdravie a bezpečnosť  zamestnancov z expozície karcinogénom a mutagénom. Do kontrolovaného pásma majú prístup len zamestnávateľom určení zamestnanci za účelom vykonania práce alebo úloh. O vymedzení kontrolovaného pásma rozhodne na návrh zamestnávateľa orgán verejného zdravotníctva.</w:t>
            </w:r>
            <w:r>
              <w:rPr>
                <w:rStyle w:val="DefaultParagraphFont"/>
                <w:rFonts w:ascii="Times New Roman" w:hAnsi="Times New Roman" w:cs="Times New Roman"/>
                <w:szCs w:val="24"/>
                <w:vertAlign w:val="superscript"/>
              </w:rPr>
              <w:t>12)</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U</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MZ SR</w:t>
            </w: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suppressAutoHyphens/>
              <w:jc w:val="left"/>
              <w:rPr>
                <w:rStyle w:val="DefaultParagraphFont"/>
                <w:rFonts w:ascii="Times New Roman" w:hAnsi="Times New Roman" w:cs="Times New Roman"/>
                <w:b w:val="0"/>
                <w:sz w:val="20"/>
                <w:szCs w:val="24"/>
              </w:rPr>
            </w:pPr>
          </w:p>
        </w:tc>
        <w:tc>
          <w:tcPr>
            <w:tcW w:w="140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suppressAutoHyphens/>
              <w:jc w:val="both"/>
              <w:rPr>
                <w:rStyle w:val="DefaultParagraphFont"/>
                <w:rFonts w:ascii="Times New Roman" w:hAnsi="Times New Roman" w:cs="Times New Roman"/>
                <w:b w:val="0"/>
                <w:sz w:val="20"/>
                <w:szCs w:val="24"/>
              </w:rPr>
            </w:pPr>
          </w:p>
        </w:tc>
      </w:tr>
      <w:tr>
        <w:tblPrEx>
          <w:tblW w:w="16160" w:type="dxa"/>
          <w:tblInd w:w="-497" w:type="dxa"/>
          <w:tblLayout w:type="fixed"/>
          <w:tblCellMar>
            <w:top w:w="0" w:type="dxa"/>
            <w:left w:w="43" w:type="dxa"/>
            <w:bottom w:w="0" w:type="dxa"/>
            <w:right w:w="43" w:type="dxa"/>
          </w:tblCellMar>
        </w:tblPrEx>
        <w:trPr>
          <w:trHeight w:hRule="auto" w:val="0"/>
        </w:trPr>
        <w:tc>
          <w:tcPr>
            <w:tcW w:w="89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Č:9</w:t>
            </w:r>
          </w:p>
        </w:tc>
        <w:tc>
          <w:tcPr>
            <w:tcW w:w="342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both"/>
              <w:rPr>
                <w:rStyle w:val="DefaultParagraphFont"/>
                <w:rFonts w:ascii="Times New Roman" w:hAnsi="Times New Roman" w:cs="Times New Roman"/>
                <w:b/>
                <w:sz w:val="20"/>
                <w:szCs w:val="24"/>
              </w:rPr>
            </w:pPr>
            <w:r>
              <w:rPr>
                <w:rStyle w:val="DefaultParagraphFont"/>
                <w:rFonts w:ascii="Times New Roman" w:hAnsi="Times New Roman" w:cs="Times New Roman"/>
                <w:b/>
                <w:sz w:val="20"/>
                <w:szCs w:val="24"/>
              </w:rPr>
              <w:t xml:space="preserve">Prístup do nebezpečných oblastí </w:t>
            </w:r>
            <w:r>
              <w:rPr>
                <w:rStyle w:val="DefaultParagraphFont"/>
                <w:rFonts w:ascii="Times New Roman" w:hAnsi="Times New Roman" w:cs="Times New Roman"/>
                <w:sz w:val="20"/>
                <w:szCs w:val="24"/>
              </w:rPr>
              <w:t>Zamestnáva</w:t>
            </w:r>
            <w:r>
              <w:rPr>
                <w:rStyle w:val="DefaultParagraphFont"/>
                <w:rFonts w:ascii="Times New Roman" w:hAnsi="Times New Roman" w:cs="Times New Roman"/>
                <w:sz w:val="20"/>
                <w:szCs w:val="24"/>
              </w:rPr>
              <w:t>telia vykonajú vhodné opatrenia na zabezpečenie, že oblasti, v ktorých sa vykonajú činnosti, pri ktorých výsledky posudzovania uvedeného v článku 3 (2) poukazujú na riziko pre bezpečnosť alebo zdravie pracovníkov, budú prístupné iba tým pracovníkom, ktorí do nich vstupujú  za účelom vykonania  práce alebo úloh.</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16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Nariadenia vlády</w:t>
            </w:r>
          </w:p>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SR č. 356/2006 Z.z.</w:t>
            </w: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WW-Znakyprepoznmkupodiarou"/>
                <w:rFonts w:ascii="Times New Roman" w:hAnsi="Times New Roman" w:cs="Times New Roman"/>
                <w:sz w:val="20"/>
                <w:szCs w:val="24"/>
                <w:vertAlign w:val="baseline"/>
              </w:rPr>
            </w:pPr>
            <w:r>
              <w:rPr>
                <w:rStyle w:val="WW-Znakyprepoznmkupodiarou"/>
                <w:rFonts w:ascii="Times New Roman" w:hAnsi="Times New Roman" w:cs="Times New Roman"/>
                <w:sz w:val="20"/>
                <w:szCs w:val="24"/>
                <w:vertAlign w:val="baseline"/>
              </w:rPr>
              <w:t>§ 9</w:t>
            </w:r>
          </w:p>
          <w:p w:rsidR="00F1062D">
            <w:pPr>
              <w:jc w:val="center"/>
              <w:rPr>
                <w:rStyle w:val="WW-Znakyprepoznmkupodiarou"/>
                <w:rFonts w:ascii="Times New Roman" w:hAnsi="Times New Roman" w:cs="Times New Roman"/>
                <w:sz w:val="20"/>
                <w:szCs w:val="24"/>
                <w:vertAlign w:val="baseline"/>
              </w:rPr>
            </w:pPr>
          </w:p>
        </w:tc>
        <w:tc>
          <w:tcPr>
            <w:tcW w:w="36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ind w:right="-2"/>
              <w:jc w:val="both"/>
              <w:rPr>
                <w:rStyle w:val="DefaultParagraphFont"/>
                <w:rFonts w:ascii="Times New Roman" w:hAnsi="Times New Roman" w:cs="Times New Roman"/>
                <w:sz w:val="20"/>
                <w:szCs w:val="24"/>
              </w:rPr>
            </w:pPr>
            <w:r>
              <w:rPr>
                <w:rStyle w:val="DefaultParagraphFont"/>
                <w:rFonts w:ascii="Times New Roman" w:hAnsi="Times New Roman" w:cs="Times New Roman"/>
                <w:b/>
                <w:sz w:val="20"/>
                <w:szCs w:val="24"/>
              </w:rPr>
              <w:t>Kontrolované pásmo</w:t>
            </w:r>
            <w:r>
              <w:rPr>
                <w:rStyle w:val="DefaultParagraphFont"/>
                <w:rFonts w:ascii="Times New Roman" w:hAnsi="Times New Roman" w:cs="Times New Roman"/>
                <w:sz w:val="20"/>
                <w:szCs w:val="24"/>
              </w:rPr>
              <w:t xml:space="preserve"> </w:t>
            </w:r>
          </w:p>
          <w:p w:rsidR="00F1062D">
            <w:pPr>
              <w:ind w:right="-2"/>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Kontrolované pásmo je vymedzený, zreteľne a viditeľne označený</w:t>
            </w:r>
            <w:r>
              <w:rPr>
                <w:rStyle w:val="DefaultParagraphFont"/>
                <w:rFonts w:ascii="Times New Roman" w:hAnsi="Times New Roman" w:cs="Times New Roman"/>
                <w:sz w:val="20"/>
                <w:szCs w:val="24"/>
                <w:vertAlign w:val="superscript"/>
              </w:rPr>
              <w:t>11)</w:t>
            </w:r>
            <w:r>
              <w:rPr>
                <w:rStyle w:val="DefaultParagraphFont"/>
                <w:rFonts w:ascii="Times New Roman" w:hAnsi="Times New Roman" w:cs="Times New Roman"/>
                <w:sz w:val="20"/>
                <w:szCs w:val="24"/>
              </w:rPr>
              <w:t xml:space="preserve"> priestor pracoviska, kde sa vykonávajú činnosti uvedené v § 8 ods. 1 alebo činnosti, ktoré na základe posúdenia rizika podľa § 3 ods. 2 a 3 predstavujú riziko pre zdravie a bezpečnosť zamestnancov z expozície karcinogénom a mutagénom. Do kontrolovaného pásma majú prístup len zamestnávateľom určení zamestnanci za účelom vykonania práce alebo úloh. O vymedzení kontrolovaného pásma rozhodne na návrh zamestnávateľa orgán verejného zdravotníctva.</w:t>
            </w:r>
            <w:r>
              <w:rPr>
                <w:rStyle w:val="DefaultParagraphFont"/>
                <w:rFonts w:ascii="Times New Roman" w:hAnsi="Times New Roman" w:cs="Times New Roman"/>
                <w:sz w:val="20"/>
                <w:szCs w:val="24"/>
                <w:vertAlign w:val="superscript"/>
              </w:rPr>
              <w:t>12)</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U</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MZ SR</w:t>
            </w: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suppressAutoHyphens/>
              <w:jc w:val="left"/>
              <w:rPr>
                <w:rStyle w:val="DefaultParagraphFont"/>
                <w:rFonts w:ascii="Times New Roman" w:hAnsi="Times New Roman" w:cs="Times New Roman"/>
                <w:b w:val="0"/>
                <w:sz w:val="20"/>
                <w:szCs w:val="24"/>
              </w:rPr>
            </w:pPr>
          </w:p>
        </w:tc>
        <w:tc>
          <w:tcPr>
            <w:tcW w:w="140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suppressAutoHyphens/>
              <w:jc w:val="both"/>
              <w:rPr>
                <w:rStyle w:val="DefaultParagraphFont"/>
                <w:rFonts w:ascii="Times New Roman" w:hAnsi="Times New Roman" w:cs="Times New Roman"/>
                <w:b w:val="0"/>
                <w:sz w:val="20"/>
                <w:szCs w:val="24"/>
              </w:rPr>
            </w:pPr>
          </w:p>
        </w:tc>
      </w:tr>
      <w:tr>
        <w:tblPrEx>
          <w:tblW w:w="16160" w:type="dxa"/>
          <w:tblInd w:w="-497" w:type="dxa"/>
          <w:tblLayout w:type="fixed"/>
          <w:tblCellMar>
            <w:top w:w="0" w:type="dxa"/>
            <w:left w:w="43" w:type="dxa"/>
            <w:bottom w:w="0" w:type="dxa"/>
            <w:right w:w="43" w:type="dxa"/>
          </w:tblCellMar>
        </w:tblPrEx>
        <w:trPr>
          <w:trHeight w:hRule="auto" w:val="0"/>
        </w:trPr>
        <w:tc>
          <w:tcPr>
            <w:tcW w:w="89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Č:10</w:t>
            </w:r>
          </w:p>
        </w:tc>
        <w:tc>
          <w:tcPr>
            <w:tcW w:w="342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both"/>
              <w:rPr>
                <w:rStyle w:val="DefaultParagraphFont"/>
                <w:rFonts w:ascii="Times New Roman" w:hAnsi="Times New Roman" w:cs="Times New Roman"/>
                <w:b/>
                <w:sz w:val="20"/>
                <w:szCs w:val="24"/>
              </w:rPr>
            </w:pPr>
            <w:r>
              <w:rPr>
                <w:rStyle w:val="DefaultParagraphFont"/>
                <w:rFonts w:ascii="Times New Roman" w:hAnsi="Times New Roman" w:cs="Times New Roman"/>
                <w:b/>
                <w:sz w:val="20"/>
                <w:szCs w:val="24"/>
              </w:rPr>
              <w:t>Hygienické a individuálne ochranné opatrenia</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16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WW-Znakyprepoznmkupodiarou"/>
                <w:rFonts w:ascii="Times New Roman" w:hAnsi="Times New Roman" w:cs="Times New Roman"/>
                <w:sz w:val="20"/>
                <w:szCs w:val="24"/>
                <w:vertAlign w:val="baseline"/>
              </w:rPr>
            </w:pPr>
            <w:r>
              <w:rPr>
                <w:rStyle w:val="WW-Znakyprepoznmkupodiarou"/>
                <w:rFonts w:ascii="Times New Roman" w:hAnsi="Times New Roman" w:cs="Times New Roman"/>
                <w:sz w:val="20"/>
                <w:szCs w:val="24"/>
                <w:vertAlign w:val="baseline"/>
              </w:rPr>
              <w:t>§ 10</w:t>
            </w:r>
          </w:p>
        </w:tc>
        <w:tc>
          <w:tcPr>
            <w:tcW w:w="36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both"/>
              <w:rPr>
                <w:rStyle w:val="DefaultParagraphFont"/>
                <w:rFonts w:ascii="Times New Roman" w:hAnsi="Times New Roman" w:cs="Times New Roman"/>
                <w:b/>
                <w:sz w:val="20"/>
                <w:szCs w:val="24"/>
              </w:rPr>
            </w:pPr>
            <w:r>
              <w:rPr>
                <w:rStyle w:val="DefaultParagraphFont"/>
                <w:rFonts w:ascii="Times New Roman" w:hAnsi="Times New Roman" w:cs="Times New Roman"/>
                <w:b/>
                <w:sz w:val="20"/>
                <w:szCs w:val="24"/>
              </w:rPr>
              <w:t>Individuálne ochranné opatrenia</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suppressAutoHyphens/>
              <w:jc w:val="left"/>
              <w:rPr>
                <w:rStyle w:val="DefaultParagraphFont"/>
                <w:rFonts w:ascii="Times New Roman" w:hAnsi="Times New Roman" w:cs="Times New Roman"/>
                <w:b w:val="0"/>
                <w:sz w:val="20"/>
                <w:szCs w:val="24"/>
              </w:rPr>
            </w:pPr>
          </w:p>
        </w:tc>
        <w:tc>
          <w:tcPr>
            <w:tcW w:w="140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suppressAutoHyphens/>
              <w:jc w:val="both"/>
              <w:rPr>
                <w:rStyle w:val="DefaultParagraphFont"/>
                <w:rFonts w:ascii="Times New Roman" w:hAnsi="Times New Roman" w:cs="Times New Roman"/>
                <w:b w:val="0"/>
                <w:sz w:val="20"/>
                <w:szCs w:val="24"/>
              </w:rPr>
            </w:pPr>
          </w:p>
        </w:tc>
      </w:tr>
      <w:tr>
        <w:tblPrEx>
          <w:tblW w:w="16160" w:type="dxa"/>
          <w:tblInd w:w="-497" w:type="dxa"/>
          <w:tblLayout w:type="fixed"/>
          <w:tblCellMar>
            <w:top w:w="0" w:type="dxa"/>
            <w:left w:w="43" w:type="dxa"/>
            <w:bottom w:w="0" w:type="dxa"/>
            <w:right w:w="43" w:type="dxa"/>
          </w:tblCellMar>
        </w:tblPrEx>
        <w:trPr>
          <w:trHeight w:hRule="auto" w:val="0"/>
        </w:trPr>
        <w:tc>
          <w:tcPr>
            <w:tcW w:w="89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Č:10</w:t>
            </w:r>
          </w:p>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O:1</w:t>
            </w:r>
          </w:p>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P:a) až f)</w:t>
            </w:r>
          </w:p>
        </w:tc>
        <w:tc>
          <w:tcPr>
            <w:tcW w:w="342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Zamestnávatelia sú povinní vykonávať vhodné opatrenia pre všetky činnosti, pri ktorých je nebezpečenstvo kontaminácie karcinogénmi alebo mutagénmi, aby zabezpečili, že</w:t>
            </w:r>
          </w:p>
          <w:p w:rsidR="00F1062D">
            <w:pPr>
              <w:suppressAutoHyphens/>
              <w:ind w:left="24"/>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a)pracovníci  nebudú jesť, piť, ani fajčiť v pracovných oblastiach, v ktorých je nebezpečenstvo kontaminácie karcinogénmi alebo mutagénmi; </w:t>
            </w:r>
          </w:p>
          <w:p w:rsidR="00F1062D">
            <w:pPr>
              <w:suppressAutoHyphens/>
              <w:ind w:left="24"/>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b)pracovníkom bude poskytnutý vhodný       ochranný odev alebo iné vhodné špeciálne        oblečenie; bude poskytnuté miesto na oddelené odkladanie  pracovných  alebo ochranných odevov a na  civilné oblečenie; </w:t>
            </w:r>
          </w:p>
          <w:p w:rsidR="00F1062D">
            <w:pPr>
              <w:suppressAutoHyphens/>
              <w:ind w:left="24"/>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c)pracovníkom budú poskytnuté vhodné a zodpovedajúce umývarne a záchody;</w:t>
            </w:r>
          </w:p>
          <w:p w:rsidR="00F1062D">
            <w:pPr>
              <w:suppressAutoHyphens/>
              <w:ind w:left="24"/>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d)ochranné prostriedky sa budú vhodným spôsobom odkladať na určenom  mieste;</w:t>
            </w:r>
          </w:p>
          <w:p w:rsidR="00F1062D">
            <w:pPr>
              <w:ind w:left="24"/>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e)ochranné prostriedky budú skontrolované a očistené podľa možnosti pred použitím a v každom pr</w:t>
            </w:r>
            <w:r>
              <w:rPr>
                <w:rStyle w:val="DefaultParagraphFont"/>
                <w:rFonts w:ascii="Times New Roman" w:hAnsi="Times New Roman" w:cs="Times New Roman"/>
                <w:sz w:val="20"/>
                <w:szCs w:val="24"/>
              </w:rPr>
              <w:t>ípade po každom použití;</w:t>
            </w:r>
          </w:p>
          <w:p w:rsidR="00F1062D">
            <w:pPr>
              <w:ind w:left="24"/>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f)poškodené prostriedky budú pred opätovným použitím opravené alebo vymenené.</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16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Nariadenie vlády</w:t>
            </w:r>
          </w:p>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SR č. 356/2006 Z.z.</w:t>
            </w: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WW-Znakyprepoznmkupodiarou"/>
                <w:rFonts w:ascii="Times New Roman" w:hAnsi="Times New Roman" w:cs="Times New Roman"/>
                <w:sz w:val="20"/>
                <w:szCs w:val="24"/>
                <w:vertAlign w:val="baseline"/>
              </w:rPr>
            </w:pPr>
            <w:r>
              <w:rPr>
                <w:rStyle w:val="WW-Znakyprepoznmkupodiarou"/>
                <w:rFonts w:ascii="Times New Roman" w:hAnsi="Times New Roman" w:cs="Times New Roman"/>
                <w:sz w:val="20"/>
                <w:szCs w:val="24"/>
                <w:vertAlign w:val="baseline"/>
              </w:rPr>
              <w:t>§ 10</w:t>
            </w:r>
          </w:p>
          <w:p w:rsidR="00F1062D">
            <w:pPr>
              <w:jc w:val="center"/>
              <w:rPr>
                <w:rStyle w:val="WW-Znakyprepoznmkupodiarou"/>
                <w:rFonts w:ascii="Times New Roman" w:hAnsi="Times New Roman" w:cs="Times New Roman"/>
                <w:sz w:val="20"/>
                <w:szCs w:val="24"/>
                <w:vertAlign w:val="baseline"/>
              </w:rPr>
            </w:pPr>
          </w:p>
          <w:p w:rsidR="00F1062D">
            <w:pPr>
              <w:jc w:val="center"/>
              <w:rPr>
                <w:rStyle w:val="WW-Znakyprepoznmkupodiarou"/>
                <w:rFonts w:ascii="Times New Roman" w:hAnsi="Times New Roman" w:cs="Times New Roman"/>
                <w:sz w:val="20"/>
                <w:szCs w:val="24"/>
                <w:vertAlign w:val="baseline"/>
              </w:rPr>
            </w:pPr>
          </w:p>
          <w:p w:rsidR="00F1062D">
            <w:pPr>
              <w:jc w:val="center"/>
              <w:rPr>
                <w:rStyle w:val="WW-Znakyprepoznmkupodiarou"/>
                <w:rFonts w:ascii="Times New Roman" w:hAnsi="Times New Roman" w:cs="Times New Roman"/>
                <w:sz w:val="20"/>
                <w:szCs w:val="24"/>
                <w:vertAlign w:val="baseline"/>
              </w:rPr>
            </w:pPr>
          </w:p>
          <w:p w:rsidR="00F1062D">
            <w:pPr>
              <w:jc w:val="center"/>
              <w:rPr>
                <w:rStyle w:val="WW-Znakyprepoznmkupodiarou"/>
                <w:rFonts w:ascii="Times New Roman" w:hAnsi="Times New Roman" w:cs="Times New Roman"/>
                <w:sz w:val="20"/>
                <w:szCs w:val="24"/>
                <w:vertAlign w:val="baseline"/>
              </w:rPr>
            </w:pPr>
          </w:p>
          <w:p w:rsidR="00F1062D">
            <w:pPr>
              <w:jc w:val="center"/>
              <w:rPr>
                <w:rStyle w:val="WW-Znakyprepoznmkupodiarou"/>
                <w:rFonts w:ascii="Times New Roman" w:hAnsi="Times New Roman" w:cs="Times New Roman"/>
                <w:sz w:val="20"/>
                <w:szCs w:val="24"/>
                <w:vertAlign w:val="baseline"/>
              </w:rPr>
            </w:pPr>
            <w:r>
              <w:rPr>
                <w:rStyle w:val="WW-Znakyprepoznmkupodiarou"/>
                <w:rFonts w:ascii="Times New Roman" w:hAnsi="Times New Roman" w:cs="Times New Roman"/>
                <w:sz w:val="20"/>
                <w:szCs w:val="24"/>
                <w:vertAlign w:val="baseline"/>
              </w:rPr>
              <w:t>P: a</w:t>
            </w:r>
          </w:p>
          <w:p w:rsidR="00F1062D">
            <w:pPr>
              <w:jc w:val="center"/>
              <w:rPr>
                <w:rStyle w:val="WW-Znakyprepoznmkupodiarou"/>
                <w:rFonts w:ascii="Times New Roman" w:hAnsi="Times New Roman" w:cs="Times New Roman"/>
                <w:sz w:val="20"/>
                <w:szCs w:val="24"/>
                <w:vertAlign w:val="baseline"/>
              </w:rPr>
            </w:pPr>
          </w:p>
          <w:p w:rsidR="00F1062D">
            <w:pPr>
              <w:jc w:val="center"/>
              <w:rPr>
                <w:rStyle w:val="WW-Znakyprepoznmkupodiarou"/>
                <w:rFonts w:ascii="Times New Roman" w:hAnsi="Times New Roman" w:cs="Times New Roman"/>
                <w:sz w:val="20"/>
                <w:szCs w:val="24"/>
                <w:vertAlign w:val="baseline"/>
              </w:rPr>
            </w:pPr>
          </w:p>
          <w:p w:rsidR="00F1062D">
            <w:pPr>
              <w:jc w:val="center"/>
              <w:rPr>
                <w:rStyle w:val="WW-Znakyprepoznmkupodiarou"/>
                <w:rFonts w:ascii="Times New Roman" w:hAnsi="Times New Roman" w:cs="Times New Roman"/>
                <w:sz w:val="20"/>
                <w:szCs w:val="24"/>
                <w:vertAlign w:val="baseline"/>
              </w:rPr>
            </w:pPr>
          </w:p>
          <w:p w:rsidR="00F1062D">
            <w:pPr>
              <w:jc w:val="center"/>
              <w:rPr>
                <w:rStyle w:val="WW-Znakyprepoznmkupodiarou"/>
                <w:rFonts w:ascii="Times New Roman" w:hAnsi="Times New Roman" w:cs="Times New Roman"/>
                <w:sz w:val="20"/>
                <w:szCs w:val="24"/>
                <w:vertAlign w:val="baseline"/>
              </w:rPr>
            </w:pPr>
            <w:r>
              <w:rPr>
                <w:rStyle w:val="WW-Znakyprepoznmkupodiarou"/>
                <w:rFonts w:ascii="Times New Roman" w:hAnsi="Times New Roman" w:cs="Times New Roman"/>
                <w:sz w:val="20"/>
                <w:szCs w:val="24"/>
                <w:vertAlign w:val="baseline"/>
              </w:rPr>
              <w:t xml:space="preserve">P: b </w:t>
            </w:r>
          </w:p>
          <w:p w:rsidR="00F1062D">
            <w:pPr>
              <w:jc w:val="center"/>
              <w:rPr>
                <w:rStyle w:val="WW-Znakyprepoznmkupodiarou"/>
                <w:rFonts w:ascii="Times New Roman" w:hAnsi="Times New Roman" w:cs="Times New Roman"/>
                <w:sz w:val="20"/>
                <w:szCs w:val="24"/>
                <w:vertAlign w:val="baseline"/>
              </w:rPr>
            </w:pPr>
          </w:p>
          <w:p w:rsidR="00F1062D">
            <w:pPr>
              <w:jc w:val="center"/>
              <w:rPr>
                <w:rStyle w:val="WW-Znakyprepoznmkupodiarou"/>
                <w:rFonts w:ascii="Times New Roman" w:hAnsi="Times New Roman" w:cs="Times New Roman"/>
                <w:sz w:val="20"/>
                <w:szCs w:val="24"/>
                <w:vertAlign w:val="baseline"/>
              </w:rPr>
            </w:pPr>
          </w:p>
          <w:p w:rsidR="00F1062D">
            <w:pPr>
              <w:jc w:val="center"/>
              <w:rPr>
                <w:rStyle w:val="WW-Znakyprepoznmkupodiarou"/>
                <w:rFonts w:ascii="Times New Roman" w:hAnsi="Times New Roman" w:cs="Times New Roman"/>
                <w:sz w:val="20"/>
                <w:szCs w:val="24"/>
                <w:vertAlign w:val="baseline"/>
              </w:rPr>
            </w:pPr>
          </w:p>
          <w:p w:rsidR="00F1062D">
            <w:pPr>
              <w:jc w:val="center"/>
              <w:rPr>
                <w:rStyle w:val="WW-Znakyprepoznmkupodiarou"/>
                <w:rFonts w:ascii="Times New Roman" w:hAnsi="Times New Roman" w:cs="Times New Roman"/>
                <w:sz w:val="20"/>
                <w:szCs w:val="24"/>
                <w:vertAlign w:val="baseline"/>
              </w:rPr>
            </w:pPr>
          </w:p>
          <w:p w:rsidR="00F1062D">
            <w:pPr>
              <w:jc w:val="center"/>
              <w:rPr>
                <w:rStyle w:val="WW-Znakyprepoznmkupodiarou"/>
                <w:rFonts w:ascii="Times New Roman" w:hAnsi="Times New Roman" w:cs="Times New Roman"/>
                <w:sz w:val="20"/>
                <w:szCs w:val="24"/>
                <w:vertAlign w:val="baseline"/>
              </w:rPr>
            </w:pPr>
          </w:p>
          <w:p w:rsidR="00F1062D">
            <w:pPr>
              <w:jc w:val="center"/>
              <w:rPr>
                <w:rStyle w:val="WW-Znakyprepoznmkupodiarou"/>
                <w:rFonts w:ascii="Times New Roman" w:hAnsi="Times New Roman" w:cs="Times New Roman"/>
                <w:sz w:val="20"/>
                <w:szCs w:val="24"/>
                <w:vertAlign w:val="baseline"/>
              </w:rPr>
            </w:pPr>
            <w:r>
              <w:rPr>
                <w:rStyle w:val="WW-Znakyprepoznmkupodiarou"/>
                <w:rFonts w:ascii="Times New Roman" w:hAnsi="Times New Roman" w:cs="Times New Roman"/>
                <w:sz w:val="20"/>
                <w:szCs w:val="24"/>
                <w:vertAlign w:val="baseline"/>
              </w:rPr>
              <w:t>P: c</w:t>
            </w:r>
          </w:p>
          <w:p w:rsidR="00F1062D">
            <w:pPr>
              <w:jc w:val="center"/>
              <w:rPr>
                <w:rStyle w:val="WW-Znakyprepoznmkupodiarou"/>
                <w:rFonts w:ascii="Times New Roman" w:hAnsi="Times New Roman" w:cs="Times New Roman"/>
                <w:sz w:val="20"/>
                <w:szCs w:val="24"/>
                <w:vertAlign w:val="baseline"/>
              </w:rPr>
            </w:pPr>
          </w:p>
          <w:p w:rsidR="00F1062D">
            <w:pPr>
              <w:jc w:val="center"/>
              <w:rPr>
                <w:rStyle w:val="WW-Znakyprepoznmkupodiarou"/>
                <w:rFonts w:ascii="Times New Roman" w:hAnsi="Times New Roman" w:cs="Times New Roman"/>
                <w:sz w:val="20"/>
                <w:szCs w:val="24"/>
                <w:vertAlign w:val="baseline"/>
              </w:rPr>
            </w:pPr>
          </w:p>
          <w:p w:rsidR="00F1062D">
            <w:pPr>
              <w:jc w:val="center"/>
              <w:rPr>
                <w:rStyle w:val="WW-Znakyprepoznmkupodiarou"/>
                <w:rFonts w:ascii="Times New Roman" w:hAnsi="Times New Roman" w:cs="Times New Roman"/>
                <w:sz w:val="20"/>
                <w:szCs w:val="24"/>
                <w:vertAlign w:val="baseline"/>
              </w:rPr>
            </w:pPr>
            <w:r>
              <w:rPr>
                <w:rStyle w:val="WW-Znakyprepoznmkupodiarou"/>
                <w:rFonts w:ascii="Times New Roman" w:hAnsi="Times New Roman" w:cs="Times New Roman"/>
                <w:sz w:val="20"/>
                <w:szCs w:val="24"/>
                <w:vertAlign w:val="baseline"/>
              </w:rPr>
              <w:t>P: d</w:t>
            </w:r>
          </w:p>
          <w:p w:rsidR="00F1062D">
            <w:pPr>
              <w:jc w:val="center"/>
              <w:rPr>
                <w:rStyle w:val="WW-Znakyprepoznmkupodiarou"/>
                <w:rFonts w:ascii="Times New Roman" w:hAnsi="Times New Roman" w:cs="Times New Roman"/>
                <w:sz w:val="20"/>
                <w:szCs w:val="24"/>
                <w:vertAlign w:val="baseline"/>
              </w:rPr>
            </w:pPr>
          </w:p>
          <w:p w:rsidR="00F1062D">
            <w:pPr>
              <w:jc w:val="center"/>
              <w:rPr>
                <w:rStyle w:val="WW-Znakyprepoznmkupodiarou"/>
                <w:rFonts w:ascii="Times New Roman" w:hAnsi="Times New Roman" w:cs="Times New Roman"/>
                <w:sz w:val="20"/>
                <w:szCs w:val="24"/>
                <w:vertAlign w:val="baseline"/>
              </w:rPr>
            </w:pPr>
          </w:p>
          <w:p w:rsidR="00F1062D">
            <w:pPr>
              <w:jc w:val="center"/>
              <w:rPr>
                <w:rStyle w:val="WW-Znakyprepoznmkupodiarou"/>
                <w:rFonts w:ascii="Times New Roman" w:hAnsi="Times New Roman" w:cs="Times New Roman"/>
                <w:sz w:val="20"/>
                <w:szCs w:val="24"/>
                <w:vertAlign w:val="baseline"/>
              </w:rPr>
            </w:pPr>
          </w:p>
          <w:p w:rsidR="00F1062D">
            <w:pPr>
              <w:jc w:val="center"/>
              <w:rPr>
                <w:rStyle w:val="WW-Znakyprepoznmkupodiarou"/>
                <w:rFonts w:ascii="Times New Roman" w:hAnsi="Times New Roman" w:cs="Times New Roman"/>
                <w:sz w:val="20"/>
                <w:szCs w:val="24"/>
                <w:vertAlign w:val="baseline"/>
              </w:rPr>
            </w:pPr>
            <w:r>
              <w:rPr>
                <w:rStyle w:val="WW-Znakyprepoznmkupodiarou"/>
                <w:rFonts w:ascii="Times New Roman" w:hAnsi="Times New Roman" w:cs="Times New Roman"/>
                <w:sz w:val="20"/>
                <w:szCs w:val="24"/>
                <w:vertAlign w:val="baseline"/>
              </w:rPr>
              <w:t>P: e</w:t>
            </w:r>
          </w:p>
          <w:p w:rsidR="00F1062D">
            <w:pPr>
              <w:jc w:val="center"/>
              <w:rPr>
                <w:rStyle w:val="WW-Znakyprepoznmkupodiarou"/>
                <w:rFonts w:ascii="Times New Roman" w:hAnsi="Times New Roman" w:cs="Times New Roman"/>
                <w:sz w:val="20"/>
                <w:szCs w:val="24"/>
                <w:vertAlign w:val="baseline"/>
              </w:rPr>
            </w:pPr>
          </w:p>
          <w:p w:rsidR="00F1062D">
            <w:pPr>
              <w:jc w:val="center"/>
              <w:rPr>
                <w:rStyle w:val="WW-Znakyprepoznmkupodiarou"/>
                <w:rFonts w:ascii="Times New Roman" w:hAnsi="Times New Roman" w:cs="Times New Roman"/>
                <w:sz w:val="20"/>
                <w:szCs w:val="24"/>
                <w:vertAlign w:val="baseline"/>
              </w:rPr>
            </w:pPr>
          </w:p>
          <w:p w:rsidR="00F1062D">
            <w:pPr>
              <w:jc w:val="center"/>
              <w:rPr>
                <w:rStyle w:val="WW-Znakyprepoznmkupodiarou"/>
                <w:rFonts w:ascii="Times New Roman" w:hAnsi="Times New Roman" w:cs="Times New Roman"/>
                <w:sz w:val="20"/>
                <w:szCs w:val="24"/>
                <w:vertAlign w:val="baseline"/>
              </w:rPr>
            </w:pPr>
          </w:p>
          <w:p w:rsidR="00F1062D">
            <w:pPr>
              <w:jc w:val="center"/>
              <w:rPr>
                <w:rStyle w:val="WW-Znakyprepoznmkupodiarou"/>
                <w:rFonts w:ascii="Times New Roman" w:hAnsi="Times New Roman" w:cs="Times New Roman"/>
                <w:sz w:val="20"/>
                <w:szCs w:val="24"/>
                <w:vertAlign w:val="baseline"/>
              </w:rPr>
            </w:pPr>
            <w:r>
              <w:rPr>
                <w:rStyle w:val="WW-Znakyprepoznmkupodiarou"/>
                <w:rFonts w:ascii="Times New Roman" w:hAnsi="Times New Roman" w:cs="Times New Roman"/>
                <w:sz w:val="20"/>
                <w:szCs w:val="24"/>
                <w:vertAlign w:val="baseline"/>
              </w:rPr>
              <w:t>P: f</w:t>
            </w:r>
          </w:p>
        </w:tc>
        <w:tc>
          <w:tcPr>
            <w:tcW w:w="36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Zamestnávateľ na svoje náklady zabezpečí pre všetky č</w:t>
            </w:r>
            <w:r>
              <w:rPr>
                <w:rStyle w:val="DefaultParagraphFont"/>
                <w:rFonts w:ascii="Times New Roman" w:hAnsi="Times New Roman" w:cs="Times New Roman"/>
                <w:sz w:val="20"/>
                <w:szCs w:val="24"/>
              </w:rPr>
              <w:t>innosti, pri  ktorých je riziko kontaminácie karcinogénmi alebo mutagénmi,</w:t>
            </w:r>
          </w:p>
          <w:p w:rsidR="00F1062D">
            <w:pPr>
              <w:jc w:val="both"/>
              <w:rPr>
                <w:rStyle w:val="DefaultParagraphFont"/>
                <w:rFonts w:ascii="Times New Roman" w:hAnsi="Times New Roman" w:cs="Times New Roman"/>
                <w:sz w:val="20"/>
                <w:szCs w:val="24"/>
              </w:rPr>
            </w:pPr>
          </w:p>
          <w:p w:rsidR="00F1062D">
            <w:pPr>
              <w:numPr>
                <w:ilvl w:val="0"/>
                <w:numId w:val="31"/>
              </w:numPr>
              <w:tabs>
                <w:tab w:val="left" w:pos="360"/>
              </w:tab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zákaz jedenia, pitia a fajčenia v pracovných priestoroch, kde je riziko kontaminácie karcinogénmi alebo mutagénmi, </w:t>
            </w:r>
          </w:p>
          <w:p w:rsidR="00F1062D">
            <w:pPr>
              <w:numPr>
                <w:ilvl w:val="0"/>
                <w:numId w:val="31"/>
              </w:numPr>
              <w:tabs>
                <w:tab w:val="left" w:pos="360"/>
              </w:tab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vhodné osobné ochranné pracovné prostriedky podľa osobit</w:t>
            </w:r>
            <w:r>
              <w:rPr>
                <w:rStyle w:val="DefaultParagraphFont"/>
                <w:rFonts w:ascii="Times New Roman" w:hAnsi="Times New Roman" w:cs="Times New Roman"/>
                <w:sz w:val="20"/>
                <w:szCs w:val="24"/>
              </w:rPr>
              <w:t>ných predpisov</w:t>
            </w:r>
            <w:r>
              <w:rPr>
                <w:rStyle w:val="FootnoteReference"/>
                <w:rFonts w:ascii="Times New Roman" w:hAnsi="Times New Roman" w:cs="Times New Roman"/>
                <w:sz w:val="20"/>
                <w:szCs w:val="24"/>
                <w:rtl w:val="0"/>
              </w:rPr>
              <w:footnoteReference w:customMarkFollows="1" w:id="18"/>
              <w:t xml:space="preserve">1</w:t>
            </w:r>
            <w:r>
              <w:rPr>
                <w:rStyle w:val="FootnoteReference"/>
                <w:rFonts w:ascii="Times New Roman" w:hAnsi="Times New Roman" w:cs="Times New Roman"/>
                <w:sz w:val="20"/>
                <w:szCs w:val="24"/>
              </w:rPr>
              <w:t>3)</w:t>
            </w:r>
            <w:r>
              <w:rPr>
                <w:rStyle w:val="DefaultParagraphFont"/>
                <w:rFonts w:ascii="Times New Roman" w:hAnsi="Times New Roman" w:cs="Times New Roman"/>
                <w:sz w:val="20"/>
                <w:szCs w:val="24"/>
              </w:rPr>
              <w:t xml:space="preserve"> a ich používanie,</w:t>
            </w:r>
          </w:p>
          <w:p w:rsidR="00F1062D">
            <w:pPr>
              <w:numPr>
                <w:ilvl w:val="0"/>
                <w:numId w:val="73"/>
              </w:numPr>
              <w:jc w:val="both"/>
              <w:rPr>
                <w:rStyle w:val="DefaultParagraphFont"/>
                <w:rFonts w:ascii="Times New Roman" w:hAnsi="Times New Roman" w:cs="Times New Roman"/>
                <w:sz w:val="20"/>
                <w:szCs w:val="24"/>
              </w:rPr>
            </w:pPr>
          </w:p>
          <w:p w:rsidR="00F1062D">
            <w:pPr>
              <w:numPr>
                <w:ilvl w:val="0"/>
                <w:numId w:val="73"/>
              </w:numPr>
              <w:jc w:val="both"/>
              <w:rPr>
                <w:rStyle w:val="DefaultParagraphFont"/>
                <w:rFonts w:ascii="Times New Roman" w:hAnsi="Times New Roman" w:cs="Times New Roman"/>
                <w:sz w:val="20"/>
                <w:szCs w:val="24"/>
              </w:rPr>
            </w:pPr>
          </w:p>
          <w:p w:rsidR="00F1062D">
            <w:pPr>
              <w:numPr>
                <w:ilvl w:val="0"/>
                <w:numId w:val="73"/>
              </w:numPr>
              <w:jc w:val="both"/>
              <w:rPr>
                <w:rStyle w:val="DefaultParagraphFont"/>
                <w:rFonts w:ascii="Times New Roman" w:hAnsi="Times New Roman" w:cs="Times New Roman"/>
                <w:sz w:val="20"/>
                <w:szCs w:val="24"/>
              </w:rPr>
            </w:pPr>
          </w:p>
          <w:p w:rsidR="00F1062D">
            <w:pPr>
              <w:numPr>
                <w:ilvl w:val="0"/>
                <w:numId w:val="31"/>
              </w:numPr>
              <w:tabs>
                <w:tab w:val="left" w:pos="360"/>
              </w:tab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oddelené odkladanie pracovných alebo ochranných odev</w:t>
            </w:r>
            <w:r>
              <w:rPr>
                <w:rStyle w:val="DefaultParagraphFont"/>
                <w:rFonts w:ascii="Times New Roman" w:hAnsi="Times New Roman" w:cs="Times New Roman"/>
                <w:sz w:val="20"/>
                <w:szCs w:val="24"/>
              </w:rPr>
              <w:t>ov a civilného oblečenia,</w:t>
            </w:r>
          </w:p>
          <w:p w:rsidR="00F1062D">
            <w:pPr>
              <w:numPr>
                <w:ilvl w:val="0"/>
                <w:numId w:val="31"/>
              </w:numPr>
              <w:tabs>
                <w:tab w:val="left" w:pos="360"/>
              </w:tab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správne skladovanie  osobných ochranných pracovných prostriedkov na určenom mieste, kontrolu a čistenie pred, ale najmä po každom použití,</w:t>
            </w:r>
          </w:p>
          <w:p w:rsidR="00F1062D">
            <w:pPr>
              <w:numPr>
                <w:ilvl w:val="0"/>
                <w:numId w:val="31"/>
              </w:numPr>
              <w:tabs>
                <w:tab w:val="left" w:pos="360"/>
              </w:tab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opravu alebo výmenu poškodených osobných ochranných pracovných prostriedkov pred ďa</w:t>
            </w:r>
            <w:r>
              <w:rPr>
                <w:rStyle w:val="DefaultParagraphFont"/>
                <w:rFonts w:ascii="Times New Roman" w:hAnsi="Times New Roman" w:cs="Times New Roman"/>
                <w:sz w:val="20"/>
                <w:szCs w:val="24"/>
              </w:rPr>
              <w:t>lším použitím a</w:t>
            </w:r>
          </w:p>
          <w:p w:rsidR="00F1062D">
            <w:pPr>
              <w:jc w:val="both"/>
              <w:rPr>
                <w:rStyle w:val="DefaultParagraphFont"/>
                <w:rFonts w:ascii="Times New Roman" w:hAnsi="Times New Roman" w:cs="Times New Roman"/>
                <w:sz w:val="20"/>
                <w:szCs w:val="24"/>
              </w:rPr>
            </w:pPr>
          </w:p>
          <w:p w:rsidR="00F1062D">
            <w:pPr>
              <w:ind w:left="374" w:hanging="374"/>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f)   zodpovedajúce zariadenia na osobnú hygienu a oddychovú miestnosť</w:t>
            </w:r>
            <w:r>
              <w:rPr>
                <w:rStyle w:val="FootnoteReference"/>
                <w:rFonts w:ascii="Times New Roman" w:hAnsi="Times New Roman" w:cs="Times New Roman"/>
                <w:sz w:val="20"/>
                <w:szCs w:val="24"/>
                <w:rtl w:val="0"/>
              </w:rPr>
              <w:footnoteReference w:customMarkFollows="1" w:id="19"/>
              <w:t xml:space="preserve">1</w:t>
            </w:r>
            <w:r>
              <w:rPr>
                <w:rStyle w:val="FootnoteReference"/>
                <w:rFonts w:ascii="Times New Roman" w:hAnsi="Times New Roman" w:cs="Times New Roman"/>
                <w:sz w:val="20"/>
                <w:szCs w:val="24"/>
              </w:rPr>
              <w:t>4)</w:t>
            </w:r>
            <w:r>
              <w:rPr>
                <w:rStyle w:val="DefaultParagraphFont"/>
                <w:rFonts w:ascii="Times New Roman" w:hAnsi="Times New Roman" w:cs="Times New Roman"/>
                <w:sz w:val="20"/>
                <w:szCs w:val="24"/>
              </w:rPr>
              <w:t>.</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U</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MZ SR</w:t>
            </w: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suppressAutoHyphens/>
              <w:jc w:val="left"/>
              <w:rPr>
                <w:rStyle w:val="DefaultParagraphFont"/>
                <w:rFonts w:ascii="Times New Roman" w:hAnsi="Times New Roman" w:cs="Times New Roman"/>
                <w:b w:val="0"/>
                <w:sz w:val="20"/>
                <w:szCs w:val="24"/>
              </w:rPr>
            </w:pPr>
          </w:p>
        </w:tc>
        <w:tc>
          <w:tcPr>
            <w:tcW w:w="140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suppressAutoHyphens/>
              <w:jc w:val="both"/>
              <w:rPr>
                <w:rStyle w:val="DefaultParagraphFont"/>
                <w:rFonts w:ascii="Times New Roman" w:hAnsi="Times New Roman" w:cs="Times New Roman"/>
                <w:b w:val="0"/>
                <w:sz w:val="20"/>
                <w:szCs w:val="24"/>
              </w:rPr>
            </w:pPr>
          </w:p>
        </w:tc>
      </w:tr>
      <w:tr>
        <w:tblPrEx>
          <w:tblW w:w="16160" w:type="dxa"/>
          <w:tblInd w:w="-497" w:type="dxa"/>
          <w:tblLayout w:type="fixed"/>
          <w:tblCellMar>
            <w:top w:w="0" w:type="dxa"/>
            <w:left w:w="43" w:type="dxa"/>
            <w:bottom w:w="0" w:type="dxa"/>
            <w:right w:w="43" w:type="dxa"/>
          </w:tblCellMar>
        </w:tblPrEx>
        <w:trPr>
          <w:trHeight w:hRule="auto" w:val="0"/>
        </w:trPr>
        <w:tc>
          <w:tcPr>
            <w:tcW w:w="89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Č:10</w:t>
            </w:r>
          </w:p>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O:2</w:t>
            </w:r>
          </w:p>
        </w:tc>
        <w:tc>
          <w:tcPr>
            <w:tcW w:w="342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Ná</w:t>
            </w:r>
            <w:r>
              <w:rPr>
                <w:rStyle w:val="DefaultParagraphFont"/>
                <w:rFonts w:ascii="Times New Roman" w:hAnsi="Times New Roman" w:cs="Times New Roman"/>
                <w:sz w:val="20"/>
                <w:szCs w:val="24"/>
              </w:rPr>
              <w:t>klady na tieto opatrenia nemôžu  ísť na ťarchu pracovníkov.</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16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Nariadenie vlády</w:t>
            </w:r>
          </w:p>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SR č. 356/2006 Z.z.</w:t>
            </w: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WW-Znakyprepoznmkupodiarou"/>
                <w:rFonts w:ascii="Times New Roman" w:hAnsi="Times New Roman" w:cs="Times New Roman"/>
                <w:sz w:val="20"/>
                <w:szCs w:val="24"/>
                <w:vertAlign w:val="baseline"/>
              </w:rPr>
            </w:pPr>
            <w:r>
              <w:rPr>
                <w:rStyle w:val="WW-Znakyprepoznmkupodiarou"/>
                <w:rFonts w:ascii="Times New Roman" w:hAnsi="Times New Roman" w:cs="Times New Roman"/>
                <w:sz w:val="20"/>
                <w:szCs w:val="24"/>
                <w:vertAlign w:val="baseline"/>
              </w:rPr>
              <w:t>§ 10</w:t>
            </w:r>
          </w:p>
          <w:p w:rsidR="00F1062D">
            <w:pPr>
              <w:rPr>
                <w:rStyle w:val="WW-Znakyprepoznmkupodiarou"/>
                <w:rFonts w:ascii="Times New Roman" w:hAnsi="Times New Roman" w:cs="Times New Roman"/>
                <w:szCs w:val="24"/>
                <w:vertAlign w:val="baseline"/>
              </w:rPr>
            </w:pPr>
          </w:p>
        </w:tc>
        <w:tc>
          <w:tcPr>
            <w:tcW w:w="36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Zamestnávateľ na svoje náklady zabezpečí pre všetky činnosti, pri ktorých je riziko kontaminácie karcinogénmi alebo mutagénmi.</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U</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MZ SR</w:t>
            </w: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suppressAutoHyphens/>
              <w:jc w:val="left"/>
              <w:rPr>
                <w:rStyle w:val="DefaultParagraphFont"/>
                <w:rFonts w:ascii="Times New Roman" w:hAnsi="Times New Roman" w:cs="Times New Roman"/>
                <w:b w:val="0"/>
                <w:sz w:val="20"/>
                <w:szCs w:val="24"/>
              </w:rPr>
            </w:pPr>
          </w:p>
        </w:tc>
        <w:tc>
          <w:tcPr>
            <w:tcW w:w="140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suppressAutoHyphens/>
              <w:jc w:val="both"/>
              <w:rPr>
                <w:rStyle w:val="DefaultParagraphFont"/>
                <w:rFonts w:ascii="Times New Roman" w:hAnsi="Times New Roman" w:cs="Times New Roman"/>
                <w:b w:val="0"/>
                <w:sz w:val="20"/>
                <w:szCs w:val="24"/>
              </w:rPr>
            </w:pPr>
          </w:p>
        </w:tc>
      </w:tr>
      <w:tr>
        <w:tblPrEx>
          <w:tblW w:w="16160" w:type="dxa"/>
          <w:tblInd w:w="-497" w:type="dxa"/>
          <w:tblLayout w:type="fixed"/>
          <w:tblCellMar>
            <w:top w:w="0" w:type="dxa"/>
            <w:left w:w="43" w:type="dxa"/>
            <w:bottom w:w="0" w:type="dxa"/>
            <w:right w:w="43" w:type="dxa"/>
          </w:tblCellMar>
        </w:tblPrEx>
        <w:trPr>
          <w:trHeight w:hRule="auto" w:val="0"/>
        </w:trPr>
        <w:tc>
          <w:tcPr>
            <w:tcW w:w="89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Č:11</w:t>
            </w:r>
          </w:p>
        </w:tc>
        <w:tc>
          <w:tcPr>
            <w:tcW w:w="342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both"/>
              <w:rPr>
                <w:rStyle w:val="DefaultParagraphFont"/>
                <w:rFonts w:ascii="Times New Roman" w:hAnsi="Times New Roman" w:cs="Times New Roman"/>
                <w:b/>
                <w:sz w:val="20"/>
                <w:szCs w:val="24"/>
              </w:rPr>
            </w:pPr>
            <w:r>
              <w:rPr>
                <w:rStyle w:val="DefaultParagraphFont"/>
                <w:rFonts w:ascii="Times New Roman" w:hAnsi="Times New Roman" w:cs="Times New Roman"/>
                <w:b/>
                <w:sz w:val="20"/>
                <w:szCs w:val="24"/>
              </w:rPr>
              <w:t>Informovanie a školenie pracovníkov</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16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 11</w:t>
            </w:r>
          </w:p>
        </w:tc>
        <w:tc>
          <w:tcPr>
            <w:tcW w:w="36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both"/>
              <w:rPr>
                <w:rStyle w:val="DefaultParagraphFont"/>
                <w:rFonts w:ascii="Times New Roman" w:hAnsi="Times New Roman" w:cs="Times New Roman"/>
                <w:b/>
                <w:sz w:val="20"/>
                <w:szCs w:val="24"/>
              </w:rPr>
            </w:pPr>
            <w:r>
              <w:rPr>
                <w:rStyle w:val="DefaultParagraphFont"/>
                <w:rFonts w:ascii="Times New Roman" w:hAnsi="Times New Roman" w:cs="Times New Roman"/>
                <w:b/>
                <w:sz w:val="20"/>
                <w:szCs w:val="24"/>
              </w:rPr>
              <w:t>Školenie zamestnancov</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suppressAutoHyphens/>
              <w:jc w:val="left"/>
              <w:rPr>
                <w:rStyle w:val="DefaultParagraphFont"/>
                <w:rFonts w:ascii="Times New Roman" w:hAnsi="Times New Roman" w:cs="Times New Roman"/>
                <w:b w:val="0"/>
                <w:sz w:val="20"/>
                <w:szCs w:val="24"/>
              </w:rPr>
            </w:pPr>
          </w:p>
        </w:tc>
        <w:tc>
          <w:tcPr>
            <w:tcW w:w="140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suppressAutoHyphens/>
              <w:jc w:val="both"/>
              <w:rPr>
                <w:rStyle w:val="DefaultParagraphFont"/>
                <w:rFonts w:ascii="Times New Roman" w:hAnsi="Times New Roman" w:cs="Times New Roman"/>
                <w:b w:val="0"/>
                <w:sz w:val="20"/>
                <w:szCs w:val="24"/>
              </w:rPr>
            </w:pPr>
          </w:p>
        </w:tc>
      </w:tr>
      <w:tr>
        <w:tblPrEx>
          <w:tblW w:w="16160" w:type="dxa"/>
          <w:tblInd w:w="-497" w:type="dxa"/>
          <w:tblLayout w:type="fixed"/>
          <w:tblCellMar>
            <w:top w:w="0" w:type="dxa"/>
            <w:left w:w="43" w:type="dxa"/>
            <w:bottom w:w="0" w:type="dxa"/>
            <w:right w:w="43" w:type="dxa"/>
          </w:tblCellMar>
        </w:tblPrEx>
        <w:trPr>
          <w:trHeight w:hRule="auto" w:val="0"/>
        </w:trPr>
        <w:tc>
          <w:tcPr>
            <w:tcW w:w="89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Č:11</w:t>
            </w:r>
          </w:p>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O:1</w:t>
            </w:r>
          </w:p>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P:a) až d)</w:t>
            </w:r>
          </w:p>
        </w:tc>
        <w:tc>
          <w:tcPr>
            <w:tcW w:w="342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WW-Prosttext"/>
              <w:ind w:left="24"/>
              <w:rPr>
                <w:rStyle w:val="DefaultParagraphFont"/>
                <w:rFonts w:ascii="Times New Roman" w:hAnsi="Times New Roman" w:cs="Times New Roman"/>
                <w:szCs w:val="24"/>
              </w:rPr>
            </w:pPr>
            <w:r>
              <w:rPr>
                <w:rStyle w:val="DefaultParagraphFont"/>
                <w:rFonts w:ascii="Times New Roman" w:hAnsi="Times New Roman" w:cs="Times New Roman"/>
                <w:szCs w:val="24"/>
              </w:rPr>
              <w:t>Zamestnávateľ vykoná vhodné opatrenia na zabezpečenie, že pracovníkom a/alebo zástupcom pracovníkov  v podniku alebo v prevádzkárni bude poskytnuté dostatočné</w:t>
            </w:r>
            <w:r>
              <w:rPr>
                <w:rStyle w:val="DefaultParagraphFont"/>
                <w:rFonts w:ascii="Times New Roman" w:hAnsi="Times New Roman" w:cs="Times New Roman"/>
                <w:szCs w:val="24"/>
              </w:rPr>
              <w:t xml:space="preserve"> a primerané školenie na základe všetkých dostpných  informácií, najmä vo forme informácií a inštrukcií o: </w:t>
            </w:r>
          </w:p>
          <w:p w:rsidR="00F1062D">
            <w:pPr>
              <w:pStyle w:val="WW-Prosttext"/>
              <w:ind w:left="24"/>
              <w:rPr>
                <w:rStyle w:val="DefaultParagraphFont"/>
                <w:rFonts w:ascii="Times New Roman" w:hAnsi="Times New Roman" w:cs="Times New Roman"/>
                <w:szCs w:val="24"/>
              </w:rPr>
            </w:pPr>
          </w:p>
          <w:p w:rsidR="00F1062D">
            <w:pPr>
              <w:pStyle w:val="WW-Prosttext"/>
              <w:ind w:left="24"/>
              <w:rPr>
                <w:rStyle w:val="DefaultParagraphFont"/>
                <w:rFonts w:ascii="Times New Roman" w:hAnsi="Times New Roman" w:cs="Times New Roman"/>
                <w:szCs w:val="24"/>
              </w:rPr>
            </w:pPr>
            <w:r>
              <w:rPr>
                <w:rStyle w:val="DefaultParagraphFont"/>
                <w:rFonts w:ascii="Times New Roman" w:hAnsi="Times New Roman" w:cs="Times New Roman"/>
                <w:szCs w:val="24"/>
              </w:rPr>
              <w:t>a) možných rizikách pre zdravie, vrátane ďalších rizík z konzumácie tabaku;</w:t>
            </w:r>
          </w:p>
          <w:p w:rsidR="00F1062D">
            <w:pPr>
              <w:pStyle w:val="WW-Prosttext"/>
              <w:ind w:left="24"/>
              <w:rPr>
                <w:rStyle w:val="DefaultParagraphFont"/>
                <w:rFonts w:ascii="Times New Roman" w:hAnsi="Times New Roman" w:cs="Times New Roman"/>
                <w:szCs w:val="24"/>
              </w:rPr>
            </w:pPr>
          </w:p>
          <w:p w:rsidR="00F1062D">
            <w:pPr>
              <w:pStyle w:val="WW-Prosttext"/>
              <w:ind w:left="24"/>
              <w:rPr>
                <w:rStyle w:val="DefaultParagraphFont"/>
                <w:rFonts w:ascii="Times New Roman" w:hAnsi="Times New Roman" w:cs="Times New Roman"/>
                <w:szCs w:val="24"/>
              </w:rPr>
            </w:pPr>
          </w:p>
          <w:p w:rsidR="00F1062D">
            <w:pPr>
              <w:pStyle w:val="WW-Prosttext"/>
              <w:ind w:left="24"/>
              <w:rPr>
                <w:rStyle w:val="DefaultParagraphFont"/>
                <w:rFonts w:ascii="Times New Roman" w:hAnsi="Times New Roman" w:cs="Times New Roman"/>
                <w:szCs w:val="24"/>
              </w:rPr>
            </w:pPr>
          </w:p>
          <w:p w:rsidR="00F1062D">
            <w:pPr>
              <w:ind w:left="24"/>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b)opatreniach, ktoré je potrebné vykonať na predchádzanie expozícii;</w:t>
            </w:r>
          </w:p>
          <w:p w:rsidR="00F1062D">
            <w:pPr>
              <w:ind w:left="24"/>
              <w:jc w:val="both"/>
              <w:rPr>
                <w:rStyle w:val="DefaultParagraphFont"/>
                <w:rFonts w:ascii="Times New Roman" w:hAnsi="Times New Roman" w:cs="Times New Roman"/>
                <w:sz w:val="20"/>
                <w:szCs w:val="24"/>
              </w:rPr>
            </w:pPr>
          </w:p>
          <w:p w:rsidR="00F1062D">
            <w:pPr>
              <w:ind w:left="24"/>
              <w:jc w:val="both"/>
              <w:rPr>
                <w:rStyle w:val="DefaultParagraphFont"/>
                <w:rFonts w:ascii="Times New Roman" w:hAnsi="Times New Roman" w:cs="Times New Roman"/>
                <w:sz w:val="20"/>
                <w:szCs w:val="24"/>
              </w:rPr>
            </w:pPr>
          </w:p>
          <w:p w:rsidR="00F1062D">
            <w:pPr>
              <w:ind w:left="24"/>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c) hygienických požiadavkách;</w:t>
            </w:r>
          </w:p>
          <w:p w:rsidR="00F1062D">
            <w:pPr>
              <w:ind w:left="24"/>
              <w:jc w:val="both"/>
              <w:rPr>
                <w:rStyle w:val="DefaultParagraphFont"/>
                <w:rFonts w:ascii="Times New Roman" w:hAnsi="Times New Roman" w:cs="Times New Roman"/>
                <w:sz w:val="20"/>
                <w:szCs w:val="24"/>
              </w:rPr>
            </w:pPr>
          </w:p>
          <w:p w:rsidR="00F1062D">
            <w:pPr>
              <w:ind w:left="24"/>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d)nosení a používaní ochranných prostriedkov a odevov;</w:t>
            </w:r>
          </w:p>
          <w:p w:rsidR="00F1062D">
            <w:pPr>
              <w:suppressAutoHyphens/>
              <w:ind w:left="24"/>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e)opatreniach, ktoré majú vykonať pracovníci, vrátane záchranných pracovníkov, v prípade nehôd a na predchádzanie nehodám.</w:t>
            </w:r>
          </w:p>
          <w:p w:rsidR="00F1062D">
            <w:pPr>
              <w:suppressAutoHyphens/>
              <w:ind w:left="24"/>
              <w:jc w:val="both"/>
              <w:rPr>
                <w:rStyle w:val="DefaultParagraphFont"/>
                <w:rFonts w:ascii="Times New Roman" w:hAnsi="Times New Roman" w:cs="Times New Roman"/>
                <w:sz w:val="20"/>
                <w:szCs w:val="24"/>
              </w:rPr>
            </w:pPr>
          </w:p>
          <w:p w:rsidR="00F1062D">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Toto školenie:</w:t>
            </w:r>
          </w:p>
          <w:p w:rsidR="00F1062D">
            <w:pPr>
              <w:suppressAutoHyphen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je prispôsobené novým rizikám alebo ich zmenám  a</w:t>
            </w:r>
          </w:p>
          <w:p w:rsidR="00F1062D">
            <w:pPr>
              <w:suppressAutoHyphen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v prípade potreby sa pravidelne opakuje.</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16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Nariadenie vlády</w:t>
            </w:r>
          </w:p>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SR č. 356/2006 Z.z.</w:t>
            </w: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 11</w:t>
            </w:r>
          </w:p>
          <w:p w:rsidR="00F1062D">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 1</w:t>
            </w: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 a</w:t>
            </w: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 b</w:t>
            </w: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 c</w:t>
            </w: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 d</w:t>
            </w: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 e</w:t>
            </w: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 11</w:t>
            </w:r>
          </w:p>
          <w:p w:rsidR="00F1062D">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 2</w:t>
            </w:r>
          </w:p>
        </w:tc>
        <w:tc>
          <w:tcPr>
            <w:tcW w:w="36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ind w:right="-2"/>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Zamestnávateľ poskytuje zamestnancom a zástupcom zamestnancov pre bezpečnosť a ochranu zdravia pri práci dostatočné a primerané školenie, ktoré  obsahuje informácie o</w:t>
            </w:r>
          </w:p>
          <w:p w:rsidR="00F1062D">
            <w:pPr>
              <w:ind w:right="-2"/>
              <w:jc w:val="both"/>
              <w:rPr>
                <w:rStyle w:val="DefaultParagraphFont"/>
                <w:rFonts w:ascii="Times New Roman" w:hAnsi="Times New Roman" w:cs="Times New Roman"/>
                <w:sz w:val="20"/>
                <w:szCs w:val="24"/>
              </w:rPr>
            </w:pPr>
          </w:p>
          <w:p w:rsidR="00F1062D">
            <w:pPr>
              <w:ind w:right="-2"/>
              <w:jc w:val="both"/>
              <w:rPr>
                <w:rStyle w:val="DefaultParagraphFont"/>
                <w:rFonts w:ascii="Times New Roman" w:hAnsi="Times New Roman" w:cs="Times New Roman"/>
                <w:sz w:val="20"/>
                <w:szCs w:val="24"/>
              </w:rPr>
            </w:pPr>
          </w:p>
          <w:p w:rsidR="00F1062D">
            <w:pPr>
              <w:ind w:right="-2"/>
              <w:jc w:val="both"/>
              <w:rPr>
                <w:rStyle w:val="DefaultParagraphFont"/>
                <w:rFonts w:ascii="Times New Roman" w:hAnsi="Times New Roman" w:cs="Times New Roman"/>
                <w:sz w:val="20"/>
                <w:szCs w:val="24"/>
              </w:rPr>
            </w:pPr>
          </w:p>
          <w:p w:rsidR="00F1062D">
            <w:pPr>
              <w:pStyle w:val="WW-Prosttext"/>
              <w:numPr>
                <w:ilvl w:val="0"/>
                <w:numId w:val="32"/>
              </w:numPr>
              <w:tabs>
                <w:tab w:val="left" w:pos="465"/>
              </w:tabs>
              <w:rPr>
                <w:rStyle w:val="DefaultParagraphFont"/>
                <w:rFonts w:ascii="Times New Roman" w:hAnsi="Times New Roman" w:cs="Times New Roman"/>
                <w:szCs w:val="24"/>
              </w:rPr>
            </w:pPr>
            <w:r>
              <w:rPr>
                <w:rStyle w:val="DefaultParagraphFont"/>
                <w:rFonts w:ascii="Times New Roman" w:hAnsi="Times New Roman" w:cs="Times New Roman"/>
                <w:szCs w:val="24"/>
              </w:rPr>
              <w:t>možných zdravotných rizikách spojených s používaním karcinogénov a mutagénov, vrátane spolupôsobiaceho účinku fajčenia,</w:t>
            </w:r>
          </w:p>
          <w:p w:rsidR="00F1062D">
            <w:pPr>
              <w:pStyle w:val="WW-Prosttext"/>
              <w:numPr>
                <w:ilvl w:val="0"/>
                <w:numId w:val="78"/>
              </w:numPr>
              <w:rPr>
                <w:rStyle w:val="DefaultParagraphFont"/>
                <w:rFonts w:ascii="Times New Roman" w:hAnsi="Times New Roman" w:cs="Times New Roman"/>
                <w:szCs w:val="24"/>
              </w:rPr>
            </w:pPr>
          </w:p>
          <w:p w:rsidR="00F1062D">
            <w:pPr>
              <w:pStyle w:val="WW-Prosttext"/>
              <w:numPr>
                <w:ilvl w:val="0"/>
                <w:numId w:val="78"/>
              </w:numPr>
              <w:rPr>
                <w:rStyle w:val="DefaultParagraphFont"/>
                <w:rFonts w:ascii="Times New Roman" w:hAnsi="Times New Roman" w:cs="Times New Roman"/>
                <w:szCs w:val="24"/>
              </w:rPr>
            </w:pPr>
          </w:p>
          <w:p w:rsidR="00F1062D">
            <w:pPr>
              <w:pStyle w:val="WW-Prosttext"/>
              <w:numPr>
                <w:ilvl w:val="0"/>
                <w:numId w:val="32"/>
              </w:numPr>
              <w:tabs>
                <w:tab w:val="left" w:pos="465"/>
              </w:tabs>
              <w:rPr>
                <w:rStyle w:val="DefaultParagraphFont"/>
                <w:rFonts w:ascii="Times New Roman" w:hAnsi="Times New Roman" w:cs="Times New Roman"/>
                <w:szCs w:val="24"/>
              </w:rPr>
            </w:pPr>
            <w:r>
              <w:rPr>
                <w:rStyle w:val="DefaultParagraphFont"/>
                <w:rFonts w:ascii="Times New Roman" w:hAnsi="Times New Roman" w:cs="Times New Roman"/>
                <w:szCs w:val="24"/>
              </w:rPr>
              <w:t>opatreniach, ktoré je potrebné</w:t>
            </w:r>
            <w:r>
              <w:rPr>
                <w:rStyle w:val="DefaultParagraphFont"/>
                <w:rFonts w:ascii="Times New Roman" w:hAnsi="Times New Roman" w:cs="Times New Roman"/>
                <w:szCs w:val="24"/>
              </w:rPr>
              <w:t xml:space="preserve"> vykonať na predchádzanie expozície</w:t>
            </w:r>
            <w:r>
              <w:rPr>
                <w:rStyle w:val="DefaultParagraphFont"/>
                <w:rFonts w:cs="Times New Roman"/>
                <w:szCs w:val="24"/>
              </w:rPr>
              <w:t xml:space="preserve"> </w:t>
            </w:r>
            <w:r>
              <w:rPr>
                <w:rStyle w:val="DefaultParagraphFont"/>
                <w:rFonts w:ascii="Times New Roman" w:hAnsi="Times New Roman" w:cs="Times New Roman"/>
                <w:szCs w:val="24"/>
              </w:rPr>
              <w:t>karcinogénom a mutagénom,</w:t>
            </w:r>
          </w:p>
          <w:p w:rsidR="00F1062D">
            <w:pPr>
              <w:pStyle w:val="WW-Prosttext"/>
              <w:numPr>
                <w:ilvl w:val="0"/>
                <w:numId w:val="80"/>
              </w:numPr>
              <w:rPr>
                <w:rStyle w:val="DefaultParagraphFont"/>
                <w:rFonts w:ascii="Times New Roman" w:hAnsi="Times New Roman" w:cs="Times New Roman"/>
                <w:szCs w:val="24"/>
              </w:rPr>
            </w:pPr>
          </w:p>
          <w:p w:rsidR="00F1062D">
            <w:pPr>
              <w:pStyle w:val="WW-Prosttext"/>
              <w:numPr>
                <w:ilvl w:val="0"/>
                <w:numId w:val="32"/>
              </w:numPr>
              <w:tabs>
                <w:tab w:val="left" w:pos="465"/>
              </w:tabs>
              <w:rPr>
                <w:rStyle w:val="DefaultParagraphFont"/>
                <w:rFonts w:ascii="Times New Roman" w:hAnsi="Times New Roman" w:cs="Times New Roman"/>
                <w:szCs w:val="24"/>
              </w:rPr>
            </w:pPr>
            <w:r>
              <w:rPr>
                <w:rStyle w:val="DefaultParagraphFont"/>
                <w:rFonts w:ascii="Times New Roman" w:hAnsi="Times New Roman" w:cs="Times New Roman"/>
                <w:szCs w:val="24"/>
              </w:rPr>
              <w:t>hygienických požiadavkách,</w:t>
            </w:r>
          </w:p>
          <w:p w:rsidR="00F1062D">
            <w:pPr>
              <w:pStyle w:val="WW-Prosttext"/>
              <w:numPr>
                <w:ilvl w:val="0"/>
                <w:numId w:val="82"/>
              </w:numPr>
              <w:rPr>
                <w:rStyle w:val="DefaultParagraphFont"/>
                <w:rFonts w:ascii="Times New Roman" w:hAnsi="Times New Roman" w:cs="Times New Roman"/>
                <w:szCs w:val="24"/>
              </w:rPr>
            </w:pPr>
          </w:p>
          <w:p w:rsidR="00F1062D">
            <w:pPr>
              <w:pStyle w:val="WW-Prosttext"/>
              <w:numPr>
                <w:ilvl w:val="0"/>
                <w:numId w:val="32"/>
              </w:numPr>
              <w:tabs>
                <w:tab w:val="left" w:pos="465"/>
              </w:tabs>
              <w:rPr>
                <w:rStyle w:val="DefaultParagraphFont"/>
                <w:rFonts w:ascii="Times New Roman" w:hAnsi="Times New Roman" w:cs="Times New Roman"/>
                <w:szCs w:val="24"/>
              </w:rPr>
            </w:pPr>
            <w:r>
              <w:rPr>
                <w:rStyle w:val="DefaultParagraphFont"/>
                <w:rFonts w:ascii="Times New Roman" w:hAnsi="Times New Roman" w:cs="Times New Roman"/>
                <w:szCs w:val="24"/>
              </w:rPr>
              <w:t>používaní osobných ochranných  pracovných prostriedkov a</w:t>
            </w:r>
          </w:p>
          <w:p w:rsidR="00F1062D">
            <w:pPr>
              <w:pStyle w:val="WW-Prosttext"/>
              <w:numPr>
                <w:ilvl w:val="0"/>
                <w:numId w:val="32"/>
              </w:numPr>
              <w:tabs>
                <w:tab w:val="left" w:pos="465"/>
              </w:tabs>
              <w:rPr>
                <w:rStyle w:val="DefaultParagraphFont"/>
                <w:rFonts w:cs="Times New Roman"/>
                <w:szCs w:val="24"/>
              </w:rPr>
            </w:pPr>
            <w:r>
              <w:rPr>
                <w:rStyle w:val="DefaultParagraphFont"/>
                <w:rFonts w:ascii="Times New Roman" w:hAnsi="Times New Roman" w:cs="Times New Roman"/>
                <w:szCs w:val="24"/>
              </w:rPr>
              <w:t>opatreniach, ktoré majú vykonať zamestnanci, vrátane zamestnancov, ktorí vykonávajú záchrannú činnosť, v prípade nehôd a na predchádzanie nehodám.</w:t>
            </w:r>
          </w:p>
          <w:p w:rsidR="00F1062D">
            <w:pPr>
              <w:jc w:val="both"/>
              <w:rPr>
                <w:rStyle w:val="DefaultParagraphFont"/>
                <w:rFonts w:ascii="Times New Roman" w:hAnsi="Times New Roman" w:cs="Times New Roman"/>
                <w:sz w:val="20"/>
                <w:szCs w:val="24"/>
              </w:rPr>
            </w:pPr>
          </w:p>
          <w:p w:rsidR="00F1062D">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Školenie musí byť prispôsobené novým rizikám alebo ich zmenám a pravidelne opakované</w:t>
            </w:r>
            <w:r>
              <w:rPr>
                <w:rStyle w:val="DefaultParagraphFont"/>
                <w:rFonts w:ascii="Times New Roman" w:hAnsi="Times New Roman" w:cs="Times New Roman"/>
                <w:sz w:val="20"/>
                <w:szCs w:val="24"/>
                <w:vertAlign w:val="superscript"/>
              </w:rPr>
              <w:t>2)</w:t>
            </w:r>
            <w:r>
              <w:rPr>
                <w:rStyle w:val="DefaultParagraphFont"/>
                <w:rFonts w:ascii="Times New Roman" w:hAnsi="Times New Roman" w:cs="Times New Roman"/>
                <w:sz w:val="20"/>
                <w:szCs w:val="24"/>
              </w:rPr>
              <w:t>.</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U</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MZ SR</w:t>
            </w: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suppressAutoHyphens/>
              <w:jc w:val="left"/>
              <w:rPr>
                <w:rStyle w:val="DefaultParagraphFont"/>
                <w:rFonts w:ascii="Times New Roman" w:hAnsi="Times New Roman" w:cs="Times New Roman"/>
                <w:b w:val="0"/>
                <w:sz w:val="20"/>
                <w:szCs w:val="24"/>
              </w:rPr>
            </w:pPr>
          </w:p>
        </w:tc>
        <w:tc>
          <w:tcPr>
            <w:tcW w:w="140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suppressAutoHyphens/>
              <w:jc w:val="both"/>
              <w:rPr>
                <w:rStyle w:val="DefaultParagraphFont"/>
                <w:rFonts w:ascii="Times New Roman" w:hAnsi="Times New Roman" w:cs="Times New Roman"/>
                <w:b w:val="0"/>
                <w:sz w:val="20"/>
                <w:szCs w:val="24"/>
              </w:rPr>
            </w:pPr>
          </w:p>
        </w:tc>
      </w:tr>
      <w:tr>
        <w:tblPrEx>
          <w:tblW w:w="16160" w:type="dxa"/>
          <w:tblInd w:w="-497" w:type="dxa"/>
          <w:tblLayout w:type="fixed"/>
          <w:tblCellMar>
            <w:top w:w="0" w:type="dxa"/>
            <w:left w:w="43" w:type="dxa"/>
            <w:bottom w:w="0" w:type="dxa"/>
            <w:right w:w="43" w:type="dxa"/>
          </w:tblCellMar>
        </w:tblPrEx>
        <w:trPr>
          <w:trHeight w:hRule="auto" w:val="0"/>
        </w:trPr>
        <w:tc>
          <w:tcPr>
            <w:tcW w:w="89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Č:11</w:t>
            </w:r>
          </w:p>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O:2</w:t>
            </w:r>
          </w:p>
        </w:tc>
        <w:tc>
          <w:tcPr>
            <w:tcW w:w="342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Zamestnávatelia informujú pracovníkov o zariadeniach a príslušných kontajneroch, ktoré obsahujú</w:t>
            </w:r>
            <w:r>
              <w:rPr>
                <w:rStyle w:val="DefaultParagraphFont"/>
                <w:rFonts w:ascii="Times New Roman" w:hAnsi="Times New Roman" w:cs="Times New Roman"/>
                <w:sz w:val="20"/>
                <w:szCs w:val="24"/>
              </w:rPr>
              <w:t xml:space="preserve"> karcinogény alebo mutagény, zabezpečia, aby všetky kontajnery, balenia a zariadenia, ktoré obsahujú karcinogény alebo mutagény, boli zreteľne a čitateľne ozančené a umiestnia zreteľne viditeľné výstražné a bezpečnostné značky.</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16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Nariadenie vlády</w:t>
            </w:r>
          </w:p>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SR č. 356</w:t>
            </w:r>
            <w:r>
              <w:rPr>
                <w:rStyle w:val="DefaultParagraphFont"/>
                <w:rFonts w:ascii="Times New Roman" w:hAnsi="Times New Roman" w:cs="Times New Roman"/>
                <w:sz w:val="20"/>
                <w:szCs w:val="24"/>
              </w:rPr>
              <w:t>/2006 Z.z.</w:t>
            </w: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 12</w:t>
            </w:r>
          </w:p>
          <w:p w:rsidR="00F1062D">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 5</w:t>
            </w: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tc>
        <w:tc>
          <w:tcPr>
            <w:tcW w:w="36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Zamestnávateľ informuje zamestnancov o zariadeniach a  prepravných obaloch a nádobách, ktoré obsahujú karcinogény alebo mutagény a zabezpečí, aby boli zreteľne a čitateľne označené výstražnými a bezpečnostnými značkami podľa osobitné</w:t>
            </w:r>
            <w:r>
              <w:rPr>
                <w:rStyle w:val="DefaultParagraphFont"/>
                <w:rFonts w:ascii="Times New Roman" w:hAnsi="Times New Roman" w:cs="Times New Roman"/>
                <w:sz w:val="20"/>
                <w:szCs w:val="24"/>
              </w:rPr>
              <w:t>ho predpisu</w:t>
            </w:r>
            <w:r>
              <w:rPr>
                <w:rStyle w:val="FootnoteReference"/>
                <w:rFonts w:ascii="Times New Roman" w:hAnsi="Times New Roman" w:cs="Times New Roman"/>
                <w:sz w:val="20"/>
                <w:szCs w:val="24"/>
                <w:rtl w:val="0"/>
              </w:rPr>
              <w:footnoteReference w:customMarkFollows="1" w:id="20"/>
              <w:t xml:space="preserve">1</w:t>
            </w:r>
            <w:r>
              <w:rPr>
                <w:rStyle w:val="FootnoteReference"/>
                <w:rFonts w:ascii="Times New Roman" w:hAnsi="Times New Roman" w:cs="Times New Roman"/>
                <w:sz w:val="20"/>
                <w:szCs w:val="24"/>
              </w:rPr>
              <w:t>1)</w:t>
            </w:r>
            <w:r>
              <w:rPr>
                <w:rStyle w:val="DefaultParagraphFont"/>
                <w:rFonts w:ascii="Times New Roman" w:hAnsi="Times New Roman" w:cs="Times New Roman"/>
                <w:sz w:val="20"/>
                <w:szCs w:val="24"/>
              </w:rPr>
              <w:t xml:space="preserve">. </w:t>
            </w:r>
          </w:p>
          <w:p w:rsidR="00F1062D">
            <w:pPr>
              <w:pStyle w:val="Normlny"/>
              <w:jc w:val="both"/>
              <w:rPr>
                <w:rStyle w:val="DefaultParagraphFont"/>
                <w:rFonts w:ascii="Times New Roman" w:hAnsi="Times New Roman" w:cs="Times New Roman"/>
                <w:szCs w:val="24"/>
              </w:rPr>
            </w:pP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U</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MZ SR</w:t>
            </w: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suppressAutoHyphens/>
              <w:jc w:val="left"/>
              <w:rPr>
                <w:rStyle w:val="DefaultParagraphFont"/>
                <w:rFonts w:ascii="Times New Roman" w:hAnsi="Times New Roman" w:cs="Times New Roman"/>
                <w:b w:val="0"/>
                <w:sz w:val="20"/>
                <w:szCs w:val="24"/>
              </w:rPr>
            </w:pPr>
          </w:p>
        </w:tc>
        <w:tc>
          <w:tcPr>
            <w:tcW w:w="140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suppressAutoHyphens/>
              <w:jc w:val="both"/>
              <w:rPr>
                <w:rStyle w:val="DefaultParagraphFont"/>
                <w:rFonts w:ascii="Times New Roman" w:hAnsi="Times New Roman" w:cs="Times New Roman"/>
                <w:b w:val="0"/>
                <w:sz w:val="20"/>
                <w:szCs w:val="24"/>
              </w:rPr>
            </w:pPr>
          </w:p>
        </w:tc>
      </w:tr>
      <w:tr>
        <w:tblPrEx>
          <w:tblW w:w="16160" w:type="dxa"/>
          <w:tblInd w:w="-497" w:type="dxa"/>
          <w:tblLayout w:type="fixed"/>
          <w:tblCellMar>
            <w:top w:w="0" w:type="dxa"/>
            <w:left w:w="43" w:type="dxa"/>
            <w:bottom w:w="0" w:type="dxa"/>
            <w:right w:w="43" w:type="dxa"/>
          </w:tblCellMar>
        </w:tblPrEx>
        <w:trPr>
          <w:trHeight w:hRule="auto" w:val="0"/>
        </w:trPr>
        <w:tc>
          <w:tcPr>
            <w:tcW w:w="89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Č:12</w:t>
            </w:r>
          </w:p>
        </w:tc>
        <w:tc>
          <w:tcPr>
            <w:tcW w:w="342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both"/>
              <w:rPr>
                <w:rStyle w:val="DefaultParagraphFont"/>
                <w:rFonts w:ascii="Times New Roman" w:hAnsi="Times New Roman" w:cs="Times New Roman"/>
                <w:b/>
                <w:sz w:val="20"/>
                <w:szCs w:val="24"/>
              </w:rPr>
            </w:pPr>
            <w:r>
              <w:rPr>
                <w:rStyle w:val="DefaultParagraphFont"/>
                <w:rFonts w:ascii="Times New Roman" w:hAnsi="Times New Roman" w:cs="Times New Roman"/>
                <w:b/>
                <w:sz w:val="20"/>
                <w:szCs w:val="24"/>
              </w:rPr>
              <w:t>Informovanie pracovníkov</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16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 12</w:t>
            </w:r>
          </w:p>
        </w:tc>
        <w:tc>
          <w:tcPr>
            <w:tcW w:w="36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both"/>
              <w:rPr>
                <w:rStyle w:val="DefaultParagraphFont"/>
                <w:rFonts w:ascii="Times New Roman" w:hAnsi="Times New Roman" w:cs="Times New Roman"/>
                <w:b/>
                <w:sz w:val="20"/>
                <w:szCs w:val="24"/>
              </w:rPr>
            </w:pPr>
            <w:r>
              <w:rPr>
                <w:rStyle w:val="DefaultParagraphFont"/>
                <w:rFonts w:ascii="Times New Roman" w:hAnsi="Times New Roman" w:cs="Times New Roman"/>
                <w:b/>
                <w:sz w:val="20"/>
                <w:szCs w:val="24"/>
              </w:rPr>
              <w:t>Informovanie, konzultácie a účasť zamestnancov</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suppressAutoHyphens/>
              <w:jc w:val="left"/>
              <w:rPr>
                <w:rStyle w:val="DefaultParagraphFont"/>
                <w:rFonts w:ascii="Times New Roman" w:hAnsi="Times New Roman" w:cs="Times New Roman"/>
                <w:b w:val="0"/>
                <w:sz w:val="20"/>
                <w:szCs w:val="24"/>
              </w:rPr>
            </w:pPr>
          </w:p>
        </w:tc>
        <w:tc>
          <w:tcPr>
            <w:tcW w:w="140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suppressAutoHyphens/>
              <w:jc w:val="both"/>
              <w:rPr>
                <w:rStyle w:val="DefaultParagraphFont"/>
                <w:rFonts w:ascii="Times New Roman" w:hAnsi="Times New Roman" w:cs="Times New Roman"/>
                <w:b w:val="0"/>
                <w:sz w:val="20"/>
                <w:szCs w:val="24"/>
              </w:rPr>
            </w:pPr>
          </w:p>
        </w:tc>
      </w:tr>
      <w:tr>
        <w:tblPrEx>
          <w:tblW w:w="16160" w:type="dxa"/>
          <w:tblInd w:w="-497" w:type="dxa"/>
          <w:tblLayout w:type="fixed"/>
          <w:tblCellMar>
            <w:top w:w="0" w:type="dxa"/>
            <w:left w:w="43" w:type="dxa"/>
            <w:bottom w:w="0" w:type="dxa"/>
            <w:right w:w="43" w:type="dxa"/>
          </w:tblCellMar>
        </w:tblPrEx>
        <w:trPr>
          <w:trHeight w:hRule="auto" w:val="0"/>
        </w:trPr>
        <w:tc>
          <w:tcPr>
            <w:tcW w:w="89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Č:12</w:t>
            </w:r>
          </w:p>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P:a) až f)</w:t>
            </w:r>
          </w:p>
        </w:tc>
        <w:tc>
          <w:tcPr>
            <w:tcW w:w="342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Budú vykonané vhodné opatrenia na zabezpečenie,  že:</w:t>
            </w:r>
          </w:p>
          <w:p w:rsidR="00F1062D">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a) pracovníci a/alebo zástupcovia pracovníkov v podniku alebo v prev</w:t>
            </w:r>
            <w:r>
              <w:rPr>
                <w:rStyle w:val="DefaultParagraphFont"/>
                <w:rFonts w:ascii="Times New Roman" w:hAnsi="Times New Roman" w:cs="Times New Roman"/>
                <w:sz w:val="20"/>
                <w:szCs w:val="24"/>
              </w:rPr>
              <w:t>ádzkárni môžu kontrolovať, či sa uplaťňuje táto smernica alebo môžu byť zainteresovaní najmä vo vzťahu k</w:t>
            </w:r>
          </w:p>
          <w:p w:rsidR="00F1062D">
            <w:pPr>
              <w:pStyle w:val="FootnoteText"/>
              <w:ind w:left="307"/>
              <w:jc w:val="both"/>
              <w:rPr>
                <w:rStyle w:val="DefaultParagraphFont"/>
                <w:rFonts w:ascii="Times New Roman" w:hAnsi="Times New Roman" w:cs="Times New Roman"/>
                <w:szCs w:val="24"/>
              </w:rPr>
            </w:pPr>
            <w:r>
              <w:rPr>
                <w:rStyle w:val="DefaultParagraphFont"/>
                <w:rFonts w:ascii="Times New Roman" w:hAnsi="Times New Roman" w:cs="Times New Roman"/>
                <w:szCs w:val="24"/>
              </w:rPr>
              <w:t xml:space="preserve"> (i ) následkom pre bezpečnosť a zdravie pracovníkov spojeným s výberom, nosením a používaním ochranných odevov a prostriedkov  s rešpektovaním zodpovednosti zamestnávateľa za určenie účinnosti ochranných  odevov  a  prostriedkov,</w:t>
            </w:r>
          </w:p>
          <w:p w:rsidR="00F1062D">
            <w:pPr>
              <w:ind w:left="307"/>
              <w:jc w:val="both"/>
              <w:rPr>
                <w:rStyle w:val="DefaultParagraphFont"/>
                <w:rFonts w:ascii="Times New Roman" w:hAnsi="Times New Roman" w:cs="Times New Roman"/>
                <w:sz w:val="20"/>
                <w:szCs w:val="24"/>
              </w:rPr>
            </w:pPr>
          </w:p>
          <w:p w:rsidR="00F1062D">
            <w:pPr>
              <w:ind w:left="307"/>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(ii) opatreniam, ktoré určí zamestnávateľ           podľa prvého pododseku článku 8 (1), s rešpektovaním zodpovednosti zamestnávateľa        za  určenie týchto opatrení;</w:t>
            </w:r>
          </w:p>
          <w:p w:rsidR="00F1062D">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b) pracovníci  a/alebo zástupcovia pracovníkov v podnikoch alebo v prevádzkárni budú čo najrýchlejšie informovaní o mimoriadnej expozícii vrátane prípadov uvedených v článku 8, o jej príčinách a o opatreniach, ktoré boli vykonané alebo sa majú vykonať na n</w:t>
            </w:r>
            <w:r>
              <w:rPr>
                <w:rStyle w:val="DefaultParagraphFont"/>
                <w:rFonts w:ascii="Times New Roman" w:hAnsi="Times New Roman" w:cs="Times New Roman"/>
                <w:sz w:val="20"/>
                <w:szCs w:val="24"/>
              </w:rPr>
              <w:t>ápravu situácie;</w:t>
            </w:r>
          </w:p>
          <w:p w:rsidR="00F1062D">
            <w:pPr>
              <w:jc w:val="both"/>
              <w:rPr>
                <w:rStyle w:val="DefaultParagraphFont"/>
                <w:rFonts w:ascii="Times New Roman" w:hAnsi="Times New Roman" w:cs="Times New Roman"/>
                <w:sz w:val="20"/>
                <w:szCs w:val="24"/>
              </w:rPr>
            </w:pPr>
          </w:p>
          <w:p w:rsidR="00F1062D">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c)zamestnávateľ vedie aktualizovaný zoznam pracovníkov, ktorí vykonávajú činnosi, pri ktorých výsledky posudzovania uvedeného v článku 3 (2) poukazujú na riziko pre bezpečnosť alebo zdravie pracovníkov, a uvádza, ak je taká informácia dos</w:t>
            </w:r>
            <w:r>
              <w:rPr>
                <w:rStyle w:val="DefaultParagraphFont"/>
                <w:rFonts w:ascii="Times New Roman" w:hAnsi="Times New Roman" w:cs="Times New Roman"/>
                <w:sz w:val="20"/>
                <w:szCs w:val="24"/>
              </w:rPr>
              <w:t>tupná, expozíciu, ktorej boli pracovníci vystavení;</w:t>
            </w:r>
          </w:p>
          <w:p w:rsidR="00F1062D">
            <w:pPr>
              <w:jc w:val="both"/>
              <w:rPr>
                <w:rStyle w:val="DefaultParagraphFont"/>
                <w:rFonts w:ascii="Times New Roman" w:hAnsi="Times New Roman" w:cs="Times New Roman"/>
                <w:sz w:val="20"/>
                <w:szCs w:val="24"/>
              </w:rPr>
            </w:pPr>
          </w:p>
          <w:p w:rsidR="00F1062D">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d)lekár a/alebo kompetentný úrad ako aj všetky ostatné osoby zodpovedné za bezpečnosť a zdravie pri práci budú mať prístup k zoznamu uvedenému v pododseku c);</w:t>
            </w:r>
          </w:p>
          <w:p w:rsidR="00F1062D">
            <w:pPr>
              <w:jc w:val="both"/>
              <w:rPr>
                <w:rStyle w:val="DefaultParagraphFont"/>
                <w:rFonts w:ascii="Times New Roman" w:hAnsi="Times New Roman" w:cs="Times New Roman"/>
                <w:sz w:val="20"/>
                <w:szCs w:val="24"/>
              </w:rPr>
            </w:pPr>
          </w:p>
          <w:p w:rsidR="00F1062D">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e)každý pracovník bude mať prístup k tým in</w:t>
            </w:r>
            <w:r>
              <w:rPr>
                <w:rStyle w:val="DefaultParagraphFont"/>
                <w:rFonts w:ascii="Times New Roman" w:hAnsi="Times New Roman" w:cs="Times New Roman"/>
                <w:sz w:val="20"/>
                <w:szCs w:val="24"/>
              </w:rPr>
              <w:t>formáciám v zozname, ktoré sa ho osobne týkajú;</w:t>
            </w:r>
          </w:p>
          <w:p w:rsidR="00F1062D">
            <w:pPr>
              <w:jc w:val="both"/>
              <w:rPr>
                <w:rStyle w:val="DefaultParagraphFont"/>
                <w:rFonts w:ascii="Times New Roman" w:hAnsi="Times New Roman" w:cs="Times New Roman"/>
                <w:b/>
                <w:sz w:val="20"/>
                <w:szCs w:val="24"/>
              </w:rPr>
            </w:pPr>
            <w:r>
              <w:rPr>
                <w:rStyle w:val="DefaultParagraphFont"/>
                <w:rFonts w:ascii="Times New Roman" w:hAnsi="Times New Roman" w:cs="Times New Roman"/>
                <w:sz w:val="20"/>
                <w:szCs w:val="24"/>
              </w:rPr>
              <w:t>f)pracovníci a/alebo zástupcovia pracovníkov v       podniku   alebo v prevádzkárni  budú maťprístup k   anonymným kolektívnym       informáciám.</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16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Nariadenie vlády</w:t>
            </w:r>
          </w:p>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SR č. 356/2006 Z.z.</w:t>
            </w: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 12</w:t>
            </w:r>
          </w:p>
          <w:p w:rsidR="00F1062D">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 1</w:t>
            </w: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 a</w:t>
            </w: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P:b</w:t>
            </w: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 xml:space="preserve">          </w:t>
            </w: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 2</w:t>
            </w: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 3</w:t>
            </w: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r>
              <w:rPr>
                <w:rStyle w:val="DefaultParagraphFont"/>
                <w:rFonts w:ascii="Times New Roman" w:hAnsi="Times New Roman" w:cs="Times New Roman"/>
                <w:szCs w:val="24"/>
              </w:rPr>
              <w:t>O: 4</w:t>
            </w: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jc w:val="center"/>
              <w:rPr>
                <w:rStyle w:val="DefaultParagraphFont"/>
                <w:rFonts w:ascii="Times New Roman" w:hAnsi="Times New Roman" w:cs="Times New Roman"/>
                <w:szCs w:val="24"/>
              </w:rPr>
            </w:pPr>
          </w:p>
          <w:p w:rsidR="00F1062D">
            <w:pPr>
              <w:pStyle w:val="Normlny"/>
              <w:rPr>
                <w:rStyle w:val="DefaultParagraphFont"/>
                <w:rFonts w:ascii="Times New Roman" w:hAnsi="Times New Roman" w:cs="Times New Roman"/>
                <w:szCs w:val="24"/>
              </w:rPr>
            </w:pPr>
          </w:p>
        </w:tc>
        <w:tc>
          <w:tcPr>
            <w:tcW w:w="36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Zamestnávateľ umožní zamestnancom a zástupcom zamestnancov pre bezpečnosť a ochranu zdravia pri práci kontrolu uplatňovania tohoto nariadenia a zúčastňovať sa na jeho uplatňovaní, najmä s ohľadom na</w:t>
            </w:r>
          </w:p>
          <w:p w:rsidR="00F1062D">
            <w:pPr>
              <w:jc w:val="both"/>
              <w:rPr>
                <w:rStyle w:val="DefaultParagraphFont"/>
                <w:rFonts w:ascii="Times New Roman" w:hAnsi="Times New Roman" w:cs="Times New Roman"/>
                <w:sz w:val="20"/>
                <w:szCs w:val="24"/>
              </w:rPr>
            </w:pPr>
          </w:p>
          <w:p w:rsidR="00F1062D">
            <w:pPr>
              <w:numPr>
                <w:ilvl w:val="0"/>
                <w:numId w:val="33"/>
              </w:numPr>
              <w:tabs>
                <w:tab w:val="left" w:pos="405"/>
              </w:tab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následky pre zdravie a bezpečnosť zamestnancov spojené s výberom a používaním osobných ochranných pracovných prostriedkov; za zabezpečenie účinných osobných ochranných pracovných prostriedkov pre zamestnancov je zodpovedný zamestnávateľ,</w:t>
            </w:r>
          </w:p>
          <w:p w:rsidR="00F1062D">
            <w:pPr>
              <w:numPr>
                <w:ilvl w:val="0"/>
                <w:numId w:val="33"/>
              </w:numPr>
              <w:tabs>
                <w:tab w:val="left" w:pos="405"/>
              </w:tab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opatrenia, ktoré je povinný realizovať zamestnávateľ pri činnostiach, pri ktorých je možné predvídať zvýšenie expozície karcinogénom a mutagénom podľa § 7 odseku 1.</w:t>
            </w:r>
          </w:p>
          <w:p w:rsidR="00F1062D">
            <w:pPr>
              <w:jc w:val="both"/>
              <w:rPr>
                <w:rStyle w:val="DefaultParagraphFont"/>
                <w:rFonts w:ascii="Times New Roman" w:hAnsi="Times New Roman" w:cs="Times New Roman"/>
                <w:sz w:val="20"/>
                <w:szCs w:val="24"/>
              </w:rPr>
            </w:pPr>
          </w:p>
          <w:p w:rsidR="00F1062D">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Zamestnávateľ bezodkladne informuje zamestnancov a zástupcov zamestnancov o všetkých prípadoch mimoriadnej expozície zamestnancov karcinogénom a mutagénom, jej príčinách a o uskutočnených  a pripravovaných opatreniach.</w:t>
            </w:r>
          </w:p>
          <w:p w:rsidR="00F1062D">
            <w:pPr>
              <w:ind w:right="-2"/>
              <w:jc w:val="both"/>
              <w:rPr>
                <w:rStyle w:val="DefaultParagraphFont"/>
                <w:rFonts w:ascii="Times New Roman" w:hAnsi="Times New Roman" w:cs="Times New Roman"/>
                <w:sz w:val="20"/>
                <w:szCs w:val="24"/>
              </w:rPr>
            </w:pPr>
          </w:p>
          <w:p w:rsidR="00F1062D">
            <w:pPr>
              <w:ind w:right="-2"/>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Zamestnávateľ vedie zoznam zamestnancov exponovaných konkrétnym karcinogénom a mutagénom, spolu so záznamom o výsledkoch expozície, ak sú dostupné a so záznamom o každej mimoriadnej udalosti, ktorá by mohla zvýšiť mieru expozície karcinogénom a mutagénom; uchováva ich najmenej 40 rokov od skončenia práce. K zoznamu má prístup lekár vykonávajúci zdravotný dohľad, orgán verejného zdravotníctva, inšpekcia práce, ako aj všetky osoby zodpovedné za ochranu zdravia a bezpečnosť pri práci u zamestnávateľa.</w:t>
            </w:r>
          </w:p>
          <w:p w:rsidR="00F1062D">
            <w:pPr>
              <w:ind w:right="-2"/>
              <w:jc w:val="both"/>
              <w:rPr>
                <w:rStyle w:val="DefaultParagraphFont"/>
                <w:rFonts w:ascii="Times New Roman" w:hAnsi="Times New Roman" w:cs="Times New Roman"/>
                <w:sz w:val="20"/>
                <w:szCs w:val="24"/>
              </w:rPr>
            </w:pPr>
          </w:p>
          <w:p w:rsidR="00F1062D">
            <w:pPr>
              <w:ind w:right="-2"/>
              <w:jc w:val="both"/>
              <w:rPr>
                <w:rStyle w:val="DefaultParagraphFont"/>
                <w:rFonts w:ascii="Times New Roman" w:hAnsi="Times New Roman" w:cs="Times New Roman"/>
                <w:sz w:val="20"/>
                <w:szCs w:val="24"/>
              </w:rPr>
            </w:pPr>
          </w:p>
          <w:p w:rsidR="00F1062D">
            <w:pPr>
              <w:ind w:right="-2"/>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Každý zamestnanec má prístup k tým informáciám v zozname, ktoré sa ho osobne týkajú; zamestnanci a zástupcovia zamestnancov pre bezp</w:t>
            </w:r>
            <w:r>
              <w:rPr>
                <w:rStyle w:val="DefaultParagraphFont"/>
                <w:rFonts w:ascii="Times New Roman" w:hAnsi="Times New Roman" w:cs="Times New Roman"/>
                <w:sz w:val="20"/>
                <w:szCs w:val="24"/>
              </w:rPr>
              <w:t>ečnosť a ochranu zdravia pri práci majú prístup k anonymným kolektívnym informáciám.</w:t>
            </w:r>
          </w:p>
          <w:p w:rsidR="00F1062D">
            <w:pPr>
              <w:jc w:val="both"/>
              <w:rPr>
                <w:rStyle w:val="DefaultParagraphFont"/>
                <w:rFonts w:ascii="Times New Roman" w:hAnsi="Times New Roman" w:cs="Times New Roman"/>
                <w:b/>
                <w:sz w:val="20"/>
                <w:szCs w:val="24"/>
              </w:rPr>
            </w:pP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U</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MZ SR</w:t>
            </w: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suppressAutoHyphens/>
              <w:jc w:val="left"/>
              <w:rPr>
                <w:rStyle w:val="DefaultParagraphFont"/>
                <w:rFonts w:ascii="Times New Roman" w:hAnsi="Times New Roman" w:cs="Times New Roman"/>
                <w:b w:val="0"/>
                <w:sz w:val="20"/>
                <w:szCs w:val="24"/>
              </w:rPr>
            </w:pPr>
          </w:p>
        </w:tc>
        <w:tc>
          <w:tcPr>
            <w:tcW w:w="140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suppressAutoHyphens/>
              <w:jc w:val="both"/>
              <w:rPr>
                <w:rStyle w:val="DefaultParagraphFont"/>
                <w:rFonts w:ascii="Times New Roman" w:hAnsi="Times New Roman" w:cs="Times New Roman"/>
                <w:b w:val="0"/>
                <w:sz w:val="20"/>
                <w:szCs w:val="24"/>
              </w:rPr>
            </w:pPr>
          </w:p>
        </w:tc>
      </w:tr>
      <w:tr>
        <w:tblPrEx>
          <w:tblW w:w="16160" w:type="dxa"/>
          <w:tblInd w:w="-497" w:type="dxa"/>
          <w:tblLayout w:type="fixed"/>
          <w:tblCellMar>
            <w:top w:w="0" w:type="dxa"/>
            <w:left w:w="43" w:type="dxa"/>
            <w:bottom w:w="0" w:type="dxa"/>
            <w:right w:w="43" w:type="dxa"/>
          </w:tblCellMar>
        </w:tblPrEx>
        <w:trPr>
          <w:trHeight w:hRule="auto" w:val="0"/>
        </w:trPr>
        <w:tc>
          <w:tcPr>
            <w:tcW w:w="89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Č:13</w:t>
            </w:r>
          </w:p>
        </w:tc>
        <w:tc>
          <w:tcPr>
            <w:tcW w:w="342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suppressAutoHyphens/>
              <w:jc w:val="both"/>
              <w:rPr>
                <w:rStyle w:val="DefaultParagraphFont"/>
                <w:rFonts w:ascii="Times New Roman" w:hAnsi="Times New Roman" w:cs="Times New Roman"/>
                <w:sz w:val="20"/>
                <w:szCs w:val="24"/>
              </w:rPr>
            </w:pPr>
            <w:r>
              <w:rPr>
                <w:rStyle w:val="DefaultParagraphFont"/>
                <w:rFonts w:ascii="Times New Roman" w:hAnsi="Times New Roman" w:cs="Times New Roman"/>
                <w:b/>
                <w:sz w:val="20"/>
                <w:szCs w:val="24"/>
              </w:rPr>
              <w:t>Konzultácie a účasť pracovníkov</w:t>
            </w:r>
            <w:r>
              <w:rPr>
                <w:rStyle w:val="DefaultParagraphFont"/>
                <w:rFonts w:ascii="Times New Roman" w:hAnsi="Times New Roman" w:cs="Times New Roman"/>
                <w:sz w:val="20"/>
                <w:szCs w:val="24"/>
              </w:rPr>
              <w:t xml:space="preserve"> Konzultácie a účasť pracovníkov a/alebo ich zástupcov v záležitostiach obsiahnutých v tejto smernici vrátane jej príloh sa uskutočňujú podľa článku 11 smernice 89/391/EHS.</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16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Nariadenie vlády</w:t>
            </w:r>
          </w:p>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SR č. 356/2006 Z.z.</w:t>
            </w: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WW-Znakyprepoznmkupodiarou"/>
                <w:rFonts w:ascii="Times New Roman" w:hAnsi="Times New Roman" w:cs="Times New Roman"/>
                <w:sz w:val="20"/>
                <w:szCs w:val="24"/>
                <w:vertAlign w:val="baseline"/>
              </w:rPr>
            </w:pPr>
            <w:r>
              <w:rPr>
                <w:rStyle w:val="WW-Znakyprepoznmkupodiarou"/>
                <w:rFonts w:ascii="Times New Roman" w:hAnsi="Times New Roman" w:cs="Times New Roman"/>
                <w:sz w:val="20"/>
                <w:szCs w:val="24"/>
                <w:vertAlign w:val="baseline"/>
              </w:rPr>
              <w:t>§ 12</w:t>
            </w:r>
          </w:p>
          <w:p w:rsidR="00F1062D">
            <w:pPr>
              <w:jc w:val="center"/>
              <w:rPr>
                <w:rStyle w:val="WW-Znakyprepoznmkupodiarou"/>
                <w:rFonts w:ascii="Times New Roman" w:hAnsi="Times New Roman" w:cs="Times New Roman"/>
                <w:sz w:val="20"/>
                <w:szCs w:val="24"/>
                <w:vertAlign w:val="baseline"/>
              </w:rPr>
            </w:pPr>
            <w:r>
              <w:rPr>
                <w:rStyle w:val="WW-Znakyprepoznmkupodiarou"/>
                <w:rFonts w:ascii="Times New Roman" w:hAnsi="Times New Roman" w:cs="Times New Roman"/>
                <w:sz w:val="20"/>
                <w:szCs w:val="24"/>
                <w:vertAlign w:val="baseline"/>
              </w:rPr>
              <w:t>O: 6</w:t>
            </w:r>
          </w:p>
        </w:tc>
        <w:tc>
          <w:tcPr>
            <w:tcW w:w="36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both"/>
              <w:rPr>
                <w:rStyle w:val="DefaultParagraphFont"/>
                <w:rFonts w:ascii="Times New Roman" w:hAnsi="Times New Roman" w:cs="Times New Roman"/>
                <w:b/>
                <w:sz w:val="20"/>
                <w:szCs w:val="24"/>
              </w:rPr>
            </w:pPr>
            <w:r>
              <w:rPr>
                <w:rStyle w:val="DefaultParagraphFont"/>
                <w:rFonts w:ascii="Times New Roman" w:hAnsi="Times New Roman" w:cs="Times New Roman"/>
                <w:sz w:val="20"/>
                <w:szCs w:val="24"/>
              </w:rPr>
              <w:t>Konzultácie a účasť zamestnancov a zástupcov zamestnancov pre bezpečnosť a ochranu zdravia pri práci pri riešení problematiky bezpečnosti a ochrany zdravia pri práci v riziku expozície karcinogénom a mutagénom sa vykonávajú podľa ustanovení osobitného predpisu</w:t>
            </w:r>
            <w:r>
              <w:rPr>
                <w:rStyle w:val="FootnoteReference"/>
                <w:rFonts w:ascii="Times New Roman" w:hAnsi="Times New Roman" w:cs="Times New Roman"/>
                <w:sz w:val="20"/>
                <w:szCs w:val="24"/>
                <w:rtl w:val="0"/>
              </w:rPr>
              <w:footnoteReference w:customMarkFollows="1" w:id="21"/>
              <w:t xml:space="preserve">1</w:t>
            </w:r>
            <w:r>
              <w:rPr>
                <w:rStyle w:val="FootnoteReference"/>
                <w:rFonts w:ascii="Times New Roman" w:hAnsi="Times New Roman" w:cs="Times New Roman"/>
                <w:sz w:val="20"/>
                <w:szCs w:val="24"/>
              </w:rPr>
              <w:t>5)</w:t>
            </w:r>
            <w:r>
              <w:rPr>
                <w:rStyle w:val="DefaultParagraphFont"/>
                <w:rFonts w:ascii="Times New Roman" w:hAnsi="Times New Roman" w:cs="Times New Roman"/>
                <w:sz w:val="20"/>
                <w:szCs w:val="24"/>
              </w:rPr>
              <w:t>.</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U</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MZ SR</w:t>
            </w: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suppressAutoHyphens/>
              <w:jc w:val="left"/>
              <w:rPr>
                <w:rStyle w:val="DefaultParagraphFont"/>
                <w:rFonts w:ascii="Times New Roman" w:hAnsi="Times New Roman" w:cs="Times New Roman"/>
                <w:b w:val="0"/>
                <w:sz w:val="20"/>
                <w:szCs w:val="24"/>
              </w:rPr>
            </w:pPr>
          </w:p>
        </w:tc>
        <w:tc>
          <w:tcPr>
            <w:tcW w:w="140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suppressAutoHyphens/>
              <w:jc w:val="both"/>
              <w:rPr>
                <w:rStyle w:val="DefaultParagraphFont"/>
                <w:rFonts w:ascii="Times New Roman" w:hAnsi="Times New Roman" w:cs="Times New Roman"/>
                <w:b w:val="0"/>
                <w:sz w:val="20"/>
                <w:szCs w:val="24"/>
              </w:rPr>
            </w:pPr>
          </w:p>
        </w:tc>
      </w:tr>
      <w:tr>
        <w:tblPrEx>
          <w:tblW w:w="16160" w:type="dxa"/>
          <w:tblInd w:w="-497" w:type="dxa"/>
          <w:tblLayout w:type="fixed"/>
          <w:tblCellMar>
            <w:top w:w="0" w:type="dxa"/>
            <w:left w:w="43" w:type="dxa"/>
            <w:bottom w:w="0" w:type="dxa"/>
            <w:right w:w="43" w:type="dxa"/>
          </w:tblCellMar>
        </w:tblPrEx>
        <w:trPr>
          <w:trHeight w:hRule="auto" w:val="0"/>
        </w:trPr>
        <w:tc>
          <w:tcPr>
            <w:tcW w:w="89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342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both"/>
              <w:rPr>
                <w:rStyle w:val="DefaultParagraphFont"/>
                <w:rFonts w:ascii="Times New Roman" w:hAnsi="Times New Roman" w:cs="Times New Roman"/>
                <w:b/>
                <w:sz w:val="20"/>
                <w:szCs w:val="24"/>
              </w:rPr>
            </w:pPr>
            <w:r>
              <w:rPr>
                <w:rStyle w:val="DefaultParagraphFont"/>
                <w:rFonts w:ascii="Times New Roman" w:hAnsi="Times New Roman" w:cs="Times New Roman"/>
                <w:b/>
                <w:sz w:val="20"/>
                <w:szCs w:val="24"/>
              </w:rPr>
              <w:t>ČASŤ III</w:t>
            </w:r>
          </w:p>
          <w:p w:rsidR="00F1062D">
            <w:pPr>
              <w:jc w:val="both"/>
              <w:rPr>
                <w:rStyle w:val="DefaultParagraphFont"/>
                <w:rFonts w:ascii="Times New Roman" w:hAnsi="Times New Roman" w:cs="Times New Roman"/>
                <w:b/>
                <w:sz w:val="20"/>
                <w:szCs w:val="24"/>
              </w:rPr>
            </w:pPr>
            <w:r>
              <w:rPr>
                <w:rStyle w:val="DefaultParagraphFont"/>
                <w:rFonts w:ascii="Times New Roman" w:hAnsi="Times New Roman" w:cs="Times New Roman"/>
                <w:b/>
                <w:sz w:val="20"/>
                <w:szCs w:val="24"/>
              </w:rPr>
              <w:t>INÉ USTANOVENIA</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16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WW8Num23z0"/>
                <w:rFonts w:ascii="Times New Roman" w:hAnsi="Times New Roman" w:cs="Times New Roman"/>
                <w:szCs w:val="24"/>
              </w:rPr>
            </w:pPr>
          </w:p>
        </w:tc>
        <w:tc>
          <w:tcPr>
            <w:tcW w:w="36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rPr>
                <w:rStyle w:val="DefaultParagraphFont"/>
                <w:rFonts w:ascii="Times New Roman" w:hAnsi="Times New Roman" w:cs="Times New Roman"/>
                <w:b/>
                <w:sz w:val="20"/>
                <w:szCs w:val="24"/>
              </w:rPr>
            </w:pPr>
            <w:r>
              <w:rPr>
                <w:rStyle w:val="DefaultParagraphFont"/>
                <w:rFonts w:ascii="Times New Roman" w:hAnsi="Times New Roman" w:cs="Times New Roman"/>
                <w:b/>
                <w:sz w:val="20"/>
                <w:szCs w:val="24"/>
              </w:rPr>
              <w:t>ČASŤ III</w:t>
            </w:r>
          </w:p>
          <w:p w:rsidR="00F1062D">
            <w:pPr>
              <w:rPr>
                <w:rStyle w:val="DefaultParagraphFont"/>
                <w:rFonts w:ascii="Times New Roman" w:hAnsi="Times New Roman" w:cs="Times New Roman"/>
                <w:b/>
                <w:sz w:val="20"/>
                <w:szCs w:val="24"/>
              </w:rPr>
            </w:pPr>
            <w:r>
              <w:rPr>
                <w:rStyle w:val="DefaultParagraphFont"/>
                <w:rFonts w:ascii="Times New Roman" w:hAnsi="Times New Roman" w:cs="Times New Roman"/>
                <w:b/>
                <w:sz w:val="20"/>
                <w:szCs w:val="24"/>
              </w:rPr>
              <w:t>INÉ USTANOVENIA</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suppressAutoHyphens/>
              <w:jc w:val="left"/>
              <w:rPr>
                <w:rStyle w:val="DefaultParagraphFont"/>
                <w:rFonts w:ascii="Times New Roman" w:hAnsi="Times New Roman" w:cs="Times New Roman"/>
                <w:b w:val="0"/>
                <w:sz w:val="20"/>
                <w:szCs w:val="24"/>
              </w:rPr>
            </w:pPr>
          </w:p>
        </w:tc>
        <w:tc>
          <w:tcPr>
            <w:tcW w:w="140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suppressAutoHyphens/>
              <w:jc w:val="both"/>
              <w:rPr>
                <w:rStyle w:val="DefaultParagraphFont"/>
                <w:rFonts w:ascii="Times New Roman" w:hAnsi="Times New Roman" w:cs="Times New Roman"/>
                <w:b w:val="0"/>
                <w:sz w:val="20"/>
                <w:szCs w:val="24"/>
              </w:rPr>
            </w:pPr>
          </w:p>
        </w:tc>
      </w:tr>
      <w:tr>
        <w:tblPrEx>
          <w:tblW w:w="16160" w:type="dxa"/>
          <w:tblInd w:w="-497" w:type="dxa"/>
          <w:tblLayout w:type="fixed"/>
          <w:tblCellMar>
            <w:top w:w="0" w:type="dxa"/>
            <w:left w:w="43" w:type="dxa"/>
            <w:bottom w:w="0" w:type="dxa"/>
            <w:right w:w="43" w:type="dxa"/>
          </w:tblCellMar>
        </w:tblPrEx>
        <w:trPr>
          <w:trHeight w:hRule="auto" w:val="0"/>
        </w:trPr>
        <w:tc>
          <w:tcPr>
            <w:tcW w:w="89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Č:14</w:t>
            </w:r>
          </w:p>
        </w:tc>
        <w:tc>
          <w:tcPr>
            <w:tcW w:w="342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3"/>
              <w:numPr>
                <w:ilvl w:val="0"/>
                <w:numId w:val="0"/>
              </w:numPr>
              <w:tabs>
                <w:tab w:val="clear" w:pos="2160"/>
              </w:tabs>
              <w:jc w:val="both"/>
              <w:rPr>
                <w:rStyle w:val="DefaultParagraphFont"/>
                <w:rFonts w:ascii="Times New Roman" w:hAnsi="Times New Roman" w:cs="Times New Roman"/>
                <w:szCs w:val="24"/>
              </w:rPr>
            </w:pPr>
            <w:r>
              <w:rPr>
                <w:rStyle w:val="DefaultParagraphFont"/>
                <w:rFonts w:ascii="Times New Roman" w:hAnsi="Times New Roman" w:cs="Times New Roman"/>
                <w:szCs w:val="24"/>
              </w:rPr>
              <w:t>Zdravotný dohľad</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16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WW-Znakyprepoznmkupodiarou"/>
                <w:rFonts w:ascii="Times New Roman" w:hAnsi="Times New Roman" w:cs="Times New Roman"/>
                <w:sz w:val="20"/>
                <w:szCs w:val="24"/>
                <w:vertAlign w:val="baseline"/>
              </w:rPr>
            </w:pPr>
            <w:r>
              <w:rPr>
                <w:rStyle w:val="WW-Znakyprepoznmkupodiarou"/>
                <w:rFonts w:ascii="Times New Roman" w:hAnsi="Times New Roman" w:cs="Times New Roman"/>
                <w:sz w:val="20"/>
                <w:szCs w:val="24"/>
                <w:vertAlign w:val="baseline"/>
              </w:rPr>
              <w:t>§ 13</w:t>
            </w:r>
          </w:p>
        </w:tc>
        <w:tc>
          <w:tcPr>
            <w:tcW w:w="36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rPr>
                <w:rStyle w:val="DefaultParagraphFont"/>
                <w:rFonts w:ascii="Times New Roman" w:hAnsi="Times New Roman" w:cs="Times New Roman"/>
                <w:b/>
                <w:sz w:val="20"/>
                <w:szCs w:val="24"/>
              </w:rPr>
            </w:pPr>
            <w:r>
              <w:rPr>
                <w:rStyle w:val="DefaultParagraphFont"/>
                <w:rFonts w:ascii="Times New Roman" w:hAnsi="Times New Roman" w:cs="Times New Roman"/>
                <w:b/>
                <w:sz w:val="20"/>
                <w:szCs w:val="24"/>
              </w:rPr>
              <w:t>Zdravotný dohľad pri práci</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suppressAutoHyphens/>
              <w:jc w:val="left"/>
              <w:rPr>
                <w:rStyle w:val="DefaultParagraphFont"/>
                <w:rFonts w:ascii="Times New Roman" w:hAnsi="Times New Roman" w:cs="Times New Roman"/>
                <w:b w:val="0"/>
                <w:sz w:val="20"/>
                <w:szCs w:val="24"/>
              </w:rPr>
            </w:pPr>
          </w:p>
        </w:tc>
        <w:tc>
          <w:tcPr>
            <w:tcW w:w="140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suppressAutoHyphens/>
              <w:jc w:val="both"/>
              <w:rPr>
                <w:rStyle w:val="DefaultParagraphFont"/>
                <w:rFonts w:ascii="Times New Roman" w:hAnsi="Times New Roman" w:cs="Times New Roman"/>
                <w:b w:val="0"/>
                <w:sz w:val="20"/>
                <w:szCs w:val="24"/>
              </w:rPr>
            </w:pPr>
          </w:p>
        </w:tc>
      </w:tr>
      <w:tr>
        <w:tblPrEx>
          <w:tblW w:w="16160" w:type="dxa"/>
          <w:tblInd w:w="-497" w:type="dxa"/>
          <w:tblLayout w:type="fixed"/>
          <w:tblCellMar>
            <w:top w:w="0" w:type="dxa"/>
            <w:left w:w="43" w:type="dxa"/>
            <w:bottom w:w="0" w:type="dxa"/>
            <w:right w:w="43" w:type="dxa"/>
          </w:tblCellMar>
        </w:tblPrEx>
        <w:trPr>
          <w:trHeight w:hRule="auto" w:val="0"/>
        </w:trPr>
        <w:tc>
          <w:tcPr>
            <w:tcW w:w="89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Č:14</w:t>
            </w:r>
          </w:p>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O:1</w:t>
            </w:r>
          </w:p>
        </w:tc>
        <w:tc>
          <w:tcPr>
            <w:tcW w:w="342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Členské štáty v súlade s vnútroštátnym právnym poriadkom a/alebo praxou vykonávajú opatrenia na uskutočňovanie príslušného dohľadu nad zdravím pracovníkov,  u ktorých výsledky posudzovania uvedeného v čl.3 (2) poukazujú na riziko pre bezpečnosť alebo zdravie.</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16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Nariadenie vlády</w:t>
            </w:r>
          </w:p>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SR č. 356/2006 Z.z.</w:t>
            </w: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WW-Znakyprepoznmkupodiarou"/>
                <w:rFonts w:ascii="Times New Roman" w:hAnsi="Times New Roman" w:cs="Times New Roman"/>
                <w:sz w:val="20"/>
                <w:szCs w:val="24"/>
                <w:vertAlign w:val="baseline"/>
              </w:rPr>
            </w:pPr>
            <w:r>
              <w:rPr>
                <w:rStyle w:val="WW-Znakyprepoznmkupodiarou"/>
                <w:rFonts w:ascii="Times New Roman" w:hAnsi="Times New Roman" w:cs="Times New Roman"/>
                <w:sz w:val="20"/>
                <w:szCs w:val="24"/>
                <w:vertAlign w:val="baseline"/>
              </w:rPr>
              <w:t>§ 13</w:t>
            </w:r>
          </w:p>
          <w:p w:rsidR="00F1062D">
            <w:pPr>
              <w:jc w:val="center"/>
              <w:rPr>
                <w:rStyle w:val="WW-Znakyprepoznmkupodiarou"/>
                <w:rFonts w:ascii="Times New Roman" w:hAnsi="Times New Roman" w:cs="Times New Roman"/>
                <w:sz w:val="20"/>
                <w:szCs w:val="24"/>
                <w:vertAlign w:val="baseline"/>
              </w:rPr>
            </w:pPr>
            <w:r>
              <w:rPr>
                <w:rStyle w:val="WW-Znakyprepoznmkupodiarou"/>
                <w:rFonts w:ascii="Times New Roman" w:hAnsi="Times New Roman" w:cs="Times New Roman"/>
                <w:sz w:val="20"/>
                <w:szCs w:val="24"/>
                <w:vertAlign w:val="baseline"/>
              </w:rPr>
              <w:t>O: 1</w:t>
            </w:r>
          </w:p>
          <w:p w:rsidR="00F1062D">
            <w:pPr>
              <w:jc w:val="center"/>
              <w:rPr>
                <w:rStyle w:val="WW-Znakyprepoznmkupodiarou"/>
                <w:rFonts w:ascii="Times New Roman" w:hAnsi="Times New Roman" w:cs="Times New Roman"/>
                <w:sz w:val="20"/>
                <w:szCs w:val="24"/>
                <w:vertAlign w:val="baseline"/>
              </w:rPr>
            </w:pPr>
          </w:p>
        </w:tc>
        <w:tc>
          <w:tcPr>
            <w:tcW w:w="36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ind w:right="-2"/>
              <w:jc w:val="both"/>
              <w:rPr>
                <w:rStyle w:val="DefaultParagraphFont"/>
                <w:rFonts w:ascii="Times New Roman" w:hAnsi="Times New Roman" w:cs="Times New Roman"/>
                <w:sz w:val="20"/>
                <w:szCs w:val="24"/>
              </w:rPr>
            </w:pPr>
            <w:r>
              <w:rPr>
                <w:rStyle w:val="DefaultParagraphFont"/>
                <w:rFonts w:ascii="Times New Roman" w:hAnsi="Times New Roman" w:cs="Times New Roman"/>
                <w:vanish/>
                <w:sz w:val="20"/>
                <w:szCs w:val="24"/>
              </w:rPr>
              <w:t>&lt;0}</w:t>
            </w:r>
            <w:r>
              <w:rPr>
                <w:rStyle w:val="DefaultParagraphFont"/>
                <w:rFonts w:ascii="Times New Roman" w:hAnsi="Times New Roman" w:cs="Times New Roman"/>
                <w:sz w:val="20"/>
                <w:szCs w:val="24"/>
              </w:rPr>
              <w:t>Zamestnávateľ je povinný v súlade s osobitným predpisom</w:t>
            </w:r>
            <w:r>
              <w:rPr>
                <w:rStyle w:val="FootnoteReference"/>
                <w:rFonts w:ascii="Times New Roman" w:hAnsi="Times New Roman" w:cs="Times New Roman"/>
                <w:sz w:val="20"/>
                <w:szCs w:val="24"/>
                <w:rtl w:val="0"/>
              </w:rPr>
              <w:footnoteReference w:customMarkFollows="1" w:id="22"/>
              <w:t xml:space="preserve">1</w:t>
            </w:r>
            <w:r>
              <w:rPr>
                <w:rStyle w:val="FootnoteReference"/>
                <w:rFonts w:ascii="Times New Roman" w:hAnsi="Times New Roman" w:cs="Times New Roman"/>
                <w:sz w:val="20"/>
                <w:szCs w:val="24"/>
              </w:rPr>
              <w:t>6)</w:t>
            </w:r>
            <w:r>
              <w:rPr>
                <w:rStyle w:val="DefaultParagraphFont"/>
                <w:rFonts w:ascii="Times New Roman" w:hAnsi="Times New Roman" w:cs="Times New Roman"/>
                <w:sz w:val="20"/>
                <w:szCs w:val="24"/>
              </w:rPr>
              <w:t xml:space="preserve"> zabezpečiť zdravotný dohľad pre zamestnancov pri práci, pri ktorej dochádza k expozícii karcinogénom a mutagénom, ak na základe posúdenia rizík podľa § 3 zistí špecifické riziko pre ich zdravie; súčasťou zdravotného dohľadu sú cielené preventívne prehliadky.</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U</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MZ SR</w:t>
            </w: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suppressAutoHyphens/>
              <w:jc w:val="left"/>
              <w:rPr>
                <w:rStyle w:val="DefaultParagraphFont"/>
                <w:rFonts w:ascii="Times New Roman" w:hAnsi="Times New Roman" w:cs="Times New Roman"/>
                <w:b w:val="0"/>
                <w:sz w:val="20"/>
                <w:szCs w:val="24"/>
              </w:rPr>
            </w:pPr>
          </w:p>
        </w:tc>
        <w:tc>
          <w:tcPr>
            <w:tcW w:w="140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suppressAutoHyphens/>
              <w:jc w:val="both"/>
              <w:rPr>
                <w:rStyle w:val="DefaultParagraphFont"/>
                <w:rFonts w:ascii="Times New Roman" w:hAnsi="Times New Roman" w:cs="Times New Roman"/>
                <w:b w:val="0"/>
                <w:sz w:val="20"/>
                <w:szCs w:val="24"/>
              </w:rPr>
            </w:pPr>
          </w:p>
        </w:tc>
      </w:tr>
      <w:tr>
        <w:tblPrEx>
          <w:tblW w:w="16160" w:type="dxa"/>
          <w:tblInd w:w="-497" w:type="dxa"/>
          <w:tblLayout w:type="fixed"/>
          <w:tblCellMar>
            <w:top w:w="0" w:type="dxa"/>
            <w:left w:w="43" w:type="dxa"/>
            <w:bottom w:w="0" w:type="dxa"/>
            <w:right w:w="43" w:type="dxa"/>
          </w:tblCellMar>
        </w:tblPrEx>
        <w:trPr>
          <w:trHeight w:hRule="auto" w:val="0"/>
        </w:trPr>
        <w:tc>
          <w:tcPr>
            <w:tcW w:w="89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Č:14</w:t>
            </w:r>
          </w:p>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O:2</w:t>
            </w:r>
          </w:p>
        </w:tc>
        <w:tc>
          <w:tcPr>
            <w:tcW w:w="342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Opatrenia uvedené v odseku 1 budú také, že každý pracovník podlieha príslušnému zdravotnému dohľadu, ak je to vhodné:</w:t>
            </w:r>
          </w:p>
          <w:p w:rsidR="00F1062D">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pred expozíciou;</w:t>
            </w:r>
          </w:p>
          <w:p w:rsidR="00F1062D">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neskôr v pravidelných intervaloch.</w:t>
            </w:r>
          </w:p>
          <w:p w:rsidR="00F1062D">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Na základe týchto opatrení bude bezprostredne možné uplatňovať  individuálne a hyg</w:t>
            </w:r>
            <w:r>
              <w:rPr>
                <w:rStyle w:val="DefaultParagraphFont"/>
                <w:rFonts w:ascii="Times New Roman" w:hAnsi="Times New Roman" w:cs="Times New Roman"/>
                <w:sz w:val="20"/>
                <w:szCs w:val="24"/>
              </w:rPr>
              <w:t xml:space="preserve">ienické opatrenia pri práci. </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16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Nariadenie vlády</w:t>
            </w:r>
          </w:p>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SR č. 356/2006 Z.z.</w:t>
            </w: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WW-Znakyprepoznmkupodiarou"/>
                <w:rFonts w:ascii="Times New Roman" w:hAnsi="Times New Roman" w:cs="Times New Roman"/>
                <w:sz w:val="20"/>
                <w:szCs w:val="24"/>
                <w:vertAlign w:val="baseline"/>
              </w:rPr>
            </w:pPr>
            <w:r>
              <w:rPr>
                <w:rStyle w:val="WW-Znakyprepoznmkupodiarou"/>
                <w:rFonts w:ascii="Times New Roman" w:hAnsi="Times New Roman" w:cs="Times New Roman"/>
                <w:sz w:val="20"/>
                <w:szCs w:val="24"/>
                <w:vertAlign w:val="baseline"/>
              </w:rPr>
              <w:t>§ 13</w:t>
            </w:r>
          </w:p>
          <w:p w:rsidR="00F1062D">
            <w:pPr>
              <w:jc w:val="center"/>
              <w:rPr>
                <w:rStyle w:val="WW-Znakyprepoznmkupodiarou"/>
                <w:rFonts w:ascii="Times New Roman" w:hAnsi="Times New Roman" w:cs="Times New Roman"/>
                <w:sz w:val="20"/>
                <w:szCs w:val="24"/>
                <w:vertAlign w:val="baseline"/>
              </w:rPr>
            </w:pPr>
            <w:r>
              <w:rPr>
                <w:rStyle w:val="WW-Znakyprepoznmkupodiarou"/>
                <w:rFonts w:ascii="Times New Roman" w:hAnsi="Times New Roman" w:cs="Times New Roman"/>
                <w:sz w:val="20"/>
                <w:szCs w:val="24"/>
                <w:vertAlign w:val="baseline"/>
              </w:rPr>
              <w:t>O:2</w:t>
            </w:r>
          </w:p>
          <w:p w:rsidR="00F1062D">
            <w:pPr>
              <w:jc w:val="center"/>
              <w:rPr>
                <w:rStyle w:val="WW-Znakyprepoznmkupodiarou"/>
                <w:rFonts w:ascii="Times New Roman" w:hAnsi="Times New Roman" w:cs="Times New Roman"/>
                <w:sz w:val="20"/>
                <w:szCs w:val="24"/>
                <w:vertAlign w:val="baseline"/>
              </w:rPr>
            </w:pPr>
          </w:p>
          <w:p w:rsidR="00F1062D">
            <w:pPr>
              <w:jc w:val="center"/>
              <w:rPr>
                <w:rStyle w:val="WW-Znakyprepoznmkupodiarou"/>
                <w:rFonts w:ascii="Times New Roman" w:hAnsi="Times New Roman" w:cs="Times New Roman"/>
                <w:sz w:val="20"/>
                <w:szCs w:val="24"/>
                <w:vertAlign w:val="baseline"/>
              </w:rPr>
            </w:pPr>
          </w:p>
          <w:p w:rsidR="00F1062D">
            <w:pPr>
              <w:jc w:val="center"/>
              <w:rPr>
                <w:rStyle w:val="WW-Znakyprepoznmkupodiarou"/>
                <w:rFonts w:ascii="Times New Roman" w:hAnsi="Times New Roman" w:cs="Times New Roman"/>
                <w:sz w:val="20"/>
                <w:szCs w:val="24"/>
                <w:vertAlign w:val="baseline"/>
              </w:rPr>
            </w:pPr>
          </w:p>
          <w:p w:rsidR="00F1062D">
            <w:pPr>
              <w:jc w:val="center"/>
              <w:rPr>
                <w:rStyle w:val="WW-Znakyprepoznmkupodiarou"/>
                <w:rFonts w:ascii="Times New Roman" w:hAnsi="Times New Roman" w:cs="Times New Roman"/>
                <w:szCs w:val="24"/>
                <w:vertAlign w:val="baseline"/>
              </w:rPr>
            </w:pPr>
          </w:p>
        </w:tc>
        <w:tc>
          <w:tcPr>
            <w:tcW w:w="36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Zdravotný dohľad sa musí zabezpečiť pred expozíciou a v pravidelných intervaloch počas expozície tak, aby bolo možné priamo uplatňovať individuálne ochranné a preventí</w:t>
            </w:r>
            <w:r>
              <w:rPr>
                <w:rStyle w:val="DefaultParagraphFont"/>
                <w:rFonts w:ascii="Times New Roman" w:hAnsi="Times New Roman" w:cs="Times New Roman"/>
                <w:sz w:val="20"/>
                <w:szCs w:val="24"/>
              </w:rPr>
              <w:t>vne opatrenia.</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U</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MZ SR</w:t>
            </w: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suppressAutoHyphens/>
              <w:jc w:val="left"/>
              <w:rPr>
                <w:rStyle w:val="DefaultParagraphFont"/>
                <w:rFonts w:ascii="Times New Roman" w:hAnsi="Times New Roman" w:cs="Times New Roman"/>
                <w:b w:val="0"/>
                <w:sz w:val="20"/>
                <w:szCs w:val="24"/>
              </w:rPr>
            </w:pPr>
          </w:p>
        </w:tc>
        <w:tc>
          <w:tcPr>
            <w:tcW w:w="140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suppressAutoHyphens/>
              <w:jc w:val="both"/>
              <w:rPr>
                <w:rStyle w:val="DefaultParagraphFont"/>
                <w:rFonts w:ascii="Times New Roman" w:hAnsi="Times New Roman" w:cs="Times New Roman"/>
                <w:b w:val="0"/>
                <w:sz w:val="20"/>
                <w:szCs w:val="24"/>
              </w:rPr>
            </w:pPr>
          </w:p>
        </w:tc>
      </w:tr>
      <w:tr>
        <w:tblPrEx>
          <w:tblW w:w="16160" w:type="dxa"/>
          <w:tblInd w:w="-497" w:type="dxa"/>
          <w:tblLayout w:type="fixed"/>
          <w:tblCellMar>
            <w:top w:w="0" w:type="dxa"/>
            <w:left w:w="43" w:type="dxa"/>
            <w:bottom w:w="0" w:type="dxa"/>
            <w:right w:w="43" w:type="dxa"/>
          </w:tblCellMar>
        </w:tblPrEx>
        <w:trPr>
          <w:trHeight w:hRule="auto" w:val="0"/>
        </w:trPr>
        <w:tc>
          <w:tcPr>
            <w:tcW w:w="89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Č:14</w:t>
            </w:r>
          </w:p>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O:3</w:t>
            </w:r>
          </w:p>
        </w:tc>
        <w:tc>
          <w:tcPr>
            <w:tcW w:w="342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Ak sa zistí, že nejaký pracovník trpí odchýlkou, ktorú možno zdôvodniť expozíciou karcinogénom alebo mutagénom, môže lekár alebo úrad zodpovedný za dohľad nad zdravím pracovníkov požadovať, aby ďalší pracovníci, ktorí boli podobne exponovaní, boli podrobení zdravotnému dohľadu. </w:t>
            </w:r>
          </w:p>
          <w:p w:rsidR="00F1062D">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 takomto prípade sa vykoná opätovné posúdenie rizika expozície podľa článku 3 (2).</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16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Nariadenie vlády</w:t>
            </w:r>
          </w:p>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SR č. 356/2006 Z.z.</w:t>
            </w: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WW-Znakyprepoznmkupodiarou"/>
                <w:rFonts w:ascii="Times New Roman" w:hAnsi="Times New Roman" w:cs="Times New Roman"/>
                <w:sz w:val="20"/>
                <w:szCs w:val="24"/>
                <w:vertAlign w:val="baseline"/>
              </w:rPr>
            </w:pPr>
            <w:r>
              <w:rPr>
                <w:rStyle w:val="WW-Znakyprepoznmkupodiarou"/>
                <w:rFonts w:ascii="Times New Roman" w:hAnsi="Times New Roman" w:cs="Times New Roman"/>
                <w:sz w:val="20"/>
                <w:szCs w:val="24"/>
                <w:vertAlign w:val="baseline"/>
              </w:rPr>
              <w:t>§ 13</w:t>
            </w:r>
          </w:p>
          <w:p w:rsidR="00F1062D">
            <w:pPr>
              <w:jc w:val="center"/>
              <w:rPr>
                <w:rStyle w:val="WW-Znakyprepoznmkupodiarou"/>
                <w:rFonts w:ascii="Times New Roman" w:hAnsi="Times New Roman" w:cs="Times New Roman"/>
                <w:sz w:val="20"/>
                <w:szCs w:val="24"/>
                <w:vertAlign w:val="baseline"/>
              </w:rPr>
            </w:pPr>
            <w:r>
              <w:rPr>
                <w:rStyle w:val="WW-Znakyprepoznmkupodiarou"/>
                <w:rFonts w:ascii="Times New Roman" w:hAnsi="Times New Roman" w:cs="Times New Roman"/>
                <w:sz w:val="20"/>
                <w:szCs w:val="24"/>
                <w:vertAlign w:val="baseline"/>
              </w:rPr>
              <w:t>O: 6</w:t>
            </w:r>
          </w:p>
          <w:p w:rsidR="00F1062D">
            <w:pPr>
              <w:jc w:val="center"/>
              <w:rPr>
                <w:rStyle w:val="WW-Znakyprepoznmkupodiarou"/>
                <w:rFonts w:ascii="Times New Roman" w:hAnsi="Times New Roman" w:cs="Times New Roman"/>
                <w:sz w:val="20"/>
                <w:szCs w:val="24"/>
                <w:vertAlign w:val="baseline"/>
              </w:rPr>
            </w:pPr>
          </w:p>
          <w:p w:rsidR="00F1062D">
            <w:pPr>
              <w:jc w:val="center"/>
              <w:rPr>
                <w:rStyle w:val="WW-Znakyprepoznmkupodiarou"/>
                <w:rFonts w:ascii="Times New Roman" w:hAnsi="Times New Roman" w:cs="Times New Roman"/>
                <w:sz w:val="20"/>
                <w:szCs w:val="24"/>
                <w:vertAlign w:val="baseline"/>
              </w:rPr>
            </w:pPr>
          </w:p>
          <w:p w:rsidR="00F1062D">
            <w:pPr>
              <w:jc w:val="center"/>
              <w:rPr>
                <w:rStyle w:val="WW-Znakyprepoznmkupodiarou"/>
                <w:rFonts w:ascii="Times New Roman" w:hAnsi="Times New Roman" w:cs="Times New Roman"/>
                <w:sz w:val="20"/>
                <w:szCs w:val="24"/>
                <w:vertAlign w:val="baseline"/>
              </w:rPr>
            </w:pPr>
          </w:p>
          <w:p w:rsidR="00F1062D">
            <w:pPr>
              <w:jc w:val="center"/>
              <w:rPr>
                <w:rStyle w:val="WW-Znakyprepoznmkupodiarou"/>
                <w:rFonts w:ascii="Times New Roman" w:hAnsi="Times New Roman" w:cs="Times New Roman"/>
                <w:sz w:val="20"/>
                <w:szCs w:val="24"/>
                <w:vertAlign w:val="baseline"/>
              </w:rPr>
            </w:pPr>
          </w:p>
          <w:p w:rsidR="00F1062D">
            <w:pPr>
              <w:jc w:val="center"/>
              <w:rPr>
                <w:rStyle w:val="WW-Znakyprepoznmkupodiarou"/>
                <w:rFonts w:ascii="Times New Roman" w:hAnsi="Times New Roman" w:cs="Times New Roman"/>
                <w:sz w:val="20"/>
                <w:szCs w:val="24"/>
                <w:vertAlign w:val="baseline"/>
              </w:rPr>
            </w:pPr>
          </w:p>
          <w:p w:rsidR="00F1062D">
            <w:pPr>
              <w:jc w:val="center"/>
              <w:rPr>
                <w:rStyle w:val="WW-Znakyprepoznmkupodiarou"/>
                <w:rFonts w:ascii="Times New Roman" w:hAnsi="Times New Roman" w:cs="Times New Roman"/>
                <w:sz w:val="20"/>
                <w:szCs w:val="24"/>
                <w:vertAlign w:val="baseline"/>
              </w:rPr>
            </w:pPr>
          </w:p>
          <w:p w:rsidR="00F1062D">
            <w:pPr>
              <w:jc w:val="center"/>
              <w:rPr>
                <w:rStyle w:val="WW-Znakyprepoznmkupodiarou"/>
                <w:rFonts w:ascii="Times New Roman" w:hAnsi="Times New Roman" w:cs="Times New Roman"/>
                <w:sz w:val="20"/>
                <w:szCs w:val="24"/>
                <w:vertAlign w:val="baseline"/>
              </w:rPr>
            </w:pPr>
          </w:p>
          <w:p w:rsidR="00F1062D">
            <w:pPr>
              <w:jc w:val="center"/>
              <w:rPr>
                <w:rStyle w:val="WW-Znakyprepoznmkupodiarou"/>
                <w:rFonts w:ascii="Times New Roman" w:hAnsi="Times New Roman" w:cs="Times New Roman"/>
                <w:sz w:val="20"/>
                <w:szCs w:val="24"/>
                <w:vertAlign w:val="baseline"/>
              </w:rPr>
            </w:pPr>
          </w:p>
          <w:p w:rsidR="00F1062D">
            <w:pPr>
              <w:jc w:val="center"/>
              <w:rPr>
                <w:rStyle w:val="WW-Znakyprepoznmkupodiarou"/>
                <w:rFonts w:ascii="Times New Roman" w:hAnsi="Times New Roman" w:cs="Times New Roman"/>
                <w:sz w:val="20"/>
                <w:szCs w:val="24"/>
                <w:vertAlign w:val="baseline"/>
              </w:rPr>
            </w:pPr>
          </w:p>
          <w:p w:rsidR="00F1062D">
            <w:pPr>
              <w:jc w:val="center"/>
              <w:rPr>
                <w:rStyle w:val="WW-Znakyprepoznmkupodiarou"/>
                <w:rFonts w:ascii="Times New Roman" w:hAnsi="Times New Roman" w:cs="Times New Roman"/>
                <w:sz w:val="20"/>
                <w:szCs w:val="24"/>
                <w:vertAlign w:val="baseline"/>
              </w:rPr>
            </w:pPr>
          </w:p>
          <w:p w:rsidR="00F1062D">
            <w:pPr>
              <w:jc w:val="center"/>
              <w:rPr>
                <w:rStyle w:val="WW-Znakyprepoznmkupodiarou"/>
                <w:rFonts w:ascii="Times New Roman" w:hAnsi="Times New Roman" w:cs="Times New Roman"/>
                <w:sz w:val="20"/>
                <w:szCs w:val="24"/>
                <w:vertAlign w:val="baseline"/>
              </w:rPr>
            </w:pPr>
          </w:p>
          <w:p w:rsidR="00F1062D">
            <w:pPr>
              <w:jc w:val="center"/>
              <w:rPr>
                <w:rStyle w:val="WW-Znakyprepoznmkupodiarou"/>
                <w:rFonts w:ascii="Times New Roman" w:hAnsi="Times New Roman" w:cs="Times New Roman"/>
                <w:sz w:val="20"/>
                <w:szCs w:val="24"/>
                <w:vertAlign w:val="baseline"/>
              </w:rPr>
            </w:pPr>
          </w:p>
          <w:p w:rsidR="00F1062D">
            <w:pPr>
              <w:jc w:val="center"/>
              <w:rPr>
                <w:rStyle w:val="WW-Znakyprepoznmkupodiarou"/>
                <w:rFonts w:ascii="Times New Roman" w:hAnsi="Times New Roman" w:cs="Times New Roman"/>
                <w:sz w:val="20"/>
                <w:szCs w:val="24"/>
                <w:vertAlign w:val="baseline"/>
              </w:rPr>
            </w:pPr>
            <w:r>
              <w:rPr>
                <w:rStyle w:val="WW-Znakyprepoznmkupodiarou"/>
                <w:rFonts w:ascii="Times New Roman" w:hAnsi="Times New Roman" w:cs="Times New Roman"/>
                <w:sz w:val="20"/>
                <w:szCs w:val="24"/>
                <w:vertAlign w:val="baseline"/>
              </w:rPr>
              <w:t>§ 13</w:t>
            </w:r>
          </w:p>
          <w:p w:rsidR="00F1062D">
            <w:pPr>
              <w:jc w:val="center"/>
              <w:rPr>
                <w:rStyle w:val="WW-Znakyprepoznmkupodiarou"/>
                <w:rFonts w:ascii="Times New Roman" w:hAnsi="Times New Roman" w:cs="Times New Roman"/>
                <w:sz w:val="20"/>
                <w:szCs w:val="24"/>
                <w:vertAlign w:val="baseline"/>
              </w:rPr>
            </w:pPr>
            <w:r>
              <w:rPr>
                <w:rStyle w:val="WW-Znakyprepoznmkupodiarou"/>
                <w:rFonts w:ascii="Times New Roman" w:hAnsi="Times New Roman" w:cs="Times New Roman"/>
                <w:sz w:val="20"/>
                <w:szCs w:val="24"/>
                <w:vertAlign w:val="baseline"/>
              </w:rPr>
              <w:t>O:7</w:t>
            </w:r>
          </w:p>
          <w:p w:rsidR="00F1062D">
            <w:pPr>
              <w:jc w:val="center"/>
              <w:rPr>
                <w:rStyle w:val="WW-Znakyprepoznmkupodiarou"/>
                <w:rFonts w:ascii="Times New Roman" w:hAnsi="Times New Roman" w:cs="Times New Roman"/>
                <w:szCs w:val="24"/>
                <w:vertAlign w:val="baseline"/>
              </w:rPr>
            </w:pPr>
          </w:p>
        </w:tc>
        <w:tc>
          <w:tcPr>
            <w:tcW w:w="36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Ak sa na základe zdravotného dohľadu u zamestnanca preukáže ochorenie alebo škodlivé zdravotné účinky, ktoré lekár vykonávajúci zdravotný dohľad považuje za následok expozície karcinogénom a mutagénom, lekár alebo príslušne kvalifikovaná osoba informuje zamestnanca o výsledkoch, vrátane odporúčania týkajúceho sa zdravotného dohľadu, ktorému by sa mal zamestnanec podrobiť po skončení práce v riziku expozície karcinogénom a mutagénom.</w:t>
            </w:r>
          </w:p>
          <w:p w:rsidR="00F1062D">
            <w:pPr>
              <w:jc w:val="both"/>
              <w:rPr>
                <w:rStyle w:val="DefaultParagraphFont"/>
                <w:rFonts w:ascii="Times New Roman" w:hAnsi="Times New Roman" w:cs="Times New Roman"/>
                <w:sz w:val="20"/>
                <w:szCs w:val="24"/>
              </w:rPr>
            </w:pPr>
          </w:p>
          <w:p w:rsidR="00F1062D">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Zamestnávateľ na základe zistení podľa ods.6 následne vykoná:</w:t>
            </w:r>
          </w:p>
          <w:p w:rsidR="00F1062D">
            <w:pPr>
              <w:numPr>
                <w:ilvl w:val="0"/>
                <w:numId w:val="44"/>
              </w:numPr>
              <w:tabs>
                <w:tab w:val="left" w:pos="360"/>
              </w:tab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revíziu posúdenia rizika vypracovaného podľa §</w:t>
            </w:r>
            <w:r>
              <w:rPr>
                <w:rStyle w:val="DefaultParagraphFont"/>
                <w:rFonts w:ascii="Times New Roman" w:hAnsi="Times New Roman" w:cs="Times New Roman"/>
                <w:sz w:val="20"/>
                <w:szCs w:val="24"/>
              </w:rPr>
              <w:t xml:space="preserve">3, </w:t>
            </w:r>
          </w:p>
          <w:p w:rsidR="00F1062D">
            <w:pPr>
              <w:numPr>
                <w:ilvl w:val="0"/>
                <w:numId w:val="44"/>
              </w:numPr>
              <w:tabs>
                <w:tab w:val="left" w:pos="360"/>
              </w:tab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revíziu opatrení prijatých podľa § 4 a 5 s cieľom vylúčiť alebo znížiť riziká,</w:t>
            </w:r>
          </w:p>
          <w:p w:rsidR="00F1062D">
            <w:pPr>
              <w:numPr>
                <w:ilvl w:val="0"/>
                <w:numId w:val="44"/>
              </w:numPr>
              <w:tabs>
                <w:tab w:val="left" w:pos="360"/>
              </w:tab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zohľadní odporúčanie lekára vykonávajúceho zdravotný dohľad alebo inej príslušne kvalifikovanej osoby alebo príslušného orgánu verejného zdravotníctva pri uplatňovaní akýchkoľvek ochranných alebo preventívnych opatrení, vrátane možnosti preložiť zamestnanca na inú práce, pri ktorej nie je riziko ďalšej expozície, </w:t>
            </w:r>
          </w:p>
          <w:p w:rsidR="00F1062D">
            <w:pPr>
              <w:numPr>
                <w:ilvl w:val="0"/>
                <w:numId w:val="44"/>
              </w:numPr>
              <w:tabs>
                <w:tab w:val="left" w:pos="360"/>
              </w:tab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zabezpečí zdravotný dohľad u všetkých zamestnancov, ktorí boli podobne exponovaní;</w:t>
            </w:r>
          </w:p>
          <w:p w:rsidR="00F1062D">
            <w:pPr>
              <w:pStyle w:val="BodyText2"/>
              <w:jc w:val="both"/>
              <w:rPr>
                <w:rStyle w:val="DefaultParagraphFont"/>
                <w:rFonts w:ascii="Times New Roman" w:hAnsi="Times New Roman" w:cs="Times New Roman"/>
                <w:szCs w:val="24"/>
              </w:rPr>
            </w:pPr>
            <w:r>
              <w:rPr>
                <w:rStyle w:val="DefaultParagraphFont"/>
                <w:rFonts w:ascii="Times New Roman" w:hAnsi="Times New Roman" w:cs="Times New Roman"/>
                <w:szCs w:val="24"/>
              </w:rPr>
              <w:t>v takých prípadoch</w:t>
            </w:r>
            <w:r>
              <w:rPr>
                <w:rStyle w:val="DefaultParagraphFont"/>
                <w:rFonts w:ascii="Times New Roman" w:hAnsi="Times New Roman" w:cs="Times New Roman"/>
                <w:szCs w:val="24"/>
              </w:rPr>
              <w:t xml:space="preserve"> lekár vykonávajúci zdravotný dohľad môže navrhnúť, aby sa exponovaní zamestnanci podrobili zdravotnému dohľadu, ak ho už nenariadil príslušný orgán verejného zdravotníctva.</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U</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MZ SR</w:t>
            </w: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suppressAutoHyphens/>
              <w:jc w:val="left"/>
              <w:rPr>
                <w:rStyle w:val="DefaultParagraphFont"/>
                <w:rFonts w:ascii="Times New Roman" w:hAnsi="Times New Roman" w:cs="Times New Roman"/>
                <w:b w:val="0"/>
                <w:sz w:val="20"/>
                <w:szCs w:val="24"/>
              </w:rPr>
            </w:pPr>
          </w:p>
        </w:tc>
        <w:tc>
          <w:tcPr>
            <w:tcW w:w="140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suppressAutoHyphens/>
              <w:jc w:val="both"/>
              <w:rPr>
                <w:rStyle w:val="DefaultParagraphFont"/>
                <w:rFonts w:ascii="Times New Roman" w:hAnsi="Times New Roman" w:cs="Times New Roman"/>
                <w:b w:val="0"/>
                <w:sz w:val="20"/>
                <w:szCs w:val="24"/>
              </w:rPr>
            </w:pPr>
          </w:p>
        </w:tc>
      </w:tr>
      <w:tr>
        <w:tblPrEx>
          <w:tblW w:w="16160" w:type="dxa"/>
          <w:tblInd w:w="-497" w:type="dxa"/>
          <w:tblLayout w:type="fixed"/>
          <w:tblCellMar>
            <w:top w:w="0" w:type="dxa"/>
            <w:left w:w="43" w:type="dxa"/>
            <w:bottom w:w="0" w:type="dxa"/>
            <w:right w:w="43" w:type="dxa"/>
          </w:tblCellMar>
        </w:tblPrEx>
        <w:trPr>
          <w:trHeight w:hRule="auto" w:val="0"/>
        </w:trPr>
        <w:tc>
          <w:tcPr>
            <w:tcW w:w="89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Č:14</w:t>
            </w:r>
          </w:p>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O:4</w:t>
            </w:r>
          </w:p>
        </w:tc>
        <w:tc>
          <w:tcPr>
            <w:tcW w:w="342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 prípadoch, keď sa uskutočňuje zdravotný dohľad, bude založený  osobný zdravotný spis, a lekár alebo úrad zodpovedný za zdravotný dohľad navrhne všetky ochranné alebo preventívne opatrenia, ktoré je potrebné vykonať pre všetkých jednotlivých pracovníkov.</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16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Nariadenie vlády</w:t>
            </w:r>
          </w:p>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SR č. 356/2006 Z.z.</w:t>
            </w: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WW-Znakyprepoznmkupodiarou"/>
                <w:rFonts w:ascii="Times New Roman" w:hAnsi="Times New Roman" w:cs="Times New Roman"/>
                <w:sz w:val="20"/>
                <w:szCs w:val="24"/>
                <w:vertAlign w:val="baseline"/>
              </w:rPr>
            </w:pPr>
            <w:r>
              <w:rPr>
                <w:rStyle w:val="WW-Znakyprepoznmkupodiarou"/>
                <w:rFonts w:ascii="Times New Roman" w:hAnsi="Times New Roman" w:cs="Times New Roman"/>
                <w:sz w:val="20"/>
                <w:szCs w:val="24"/>
                <w:vertAlign w:val="baseline"/>
              </w:rPr>
              <w:t>§ 13</w:t>
            </w:r>
          </w:p>
          <w:p w:rsidR="00F1062D">
            <w:pPr>
              <w:jc w:val="center"/>
              <w:rPr>
                <w:rStyle w:val="WW-Znakyprepoznmkupodiarou"/>
                <w:rFonts w:ascii="Times New Roman" w:hAnsi="Times New Roman" w:cs="Times New Roman"/>
                <w:szCs w:val="24"/>
                <w:vertAlign w:val="baseline"/>
              </w:rPr>
            </w:pPr>
            <w:r>
              <w:rPr>
                <w:rStyle w:val="WW-Znakyprepoznmkupodiarou"/>
                <w:rFonts w:ascii="Times New Roman" w:hAnsi="Times New Roman" w:cs="Times New Roman"/>
                <w:sz w:val="20"/>
                <w:szCs w:val="24"/>
                <w:vertAlign w:val="baseline"/>
              </w:rPr>
              <w:t>O: 4</w:t>
            </w:r>
          </w:p>
        </w:tc>
        <w:tc>
          <w:tcPr>
            <w:tcW w:w="36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ind w:right="-2"/>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Každý</w:t>
            </w:r>
            <w:r>
              <w:rPr>
                <w:rStyle w:val="DefaultParagraphFont"/>
                <w:rFonts w:ascii="Times New Roman" w:hAnsi="Times New Roman" w:cs="Times New Roman"/>
                <w:sz w:val="20"/>
                <w:szCs w:val="24"/>
              </w:rPr>
              <w:t xml:space="preserve"> zamestnanec, u ktorého sa vykonáva zdravotný dohľad musí mať založený a aktualizovaný osobný zdravotný záznam a záznam o expozícii</w:t>
            </w:r>
            <w:r>
              <w:rPr>
                <w:rStyle w:val="FootnoteReference"/>
                <w:rFonts w:ascii="Times New Roman" w:hAnsi="Times New Roman" w:cs="Times New Roman"/>
                <w:sz w:val="20"/>
                <w:szCs w:val="24"/>
                <w:rtl w:val="0"/>
              </w:rPr>
              <w:footnoteReference w:customMarkFollows="1" w:id="23"/>
              <w:t xml:space="preserve">1</w:t>
            </w:r>
            <w:r>
              <w:rPr>
                <w:rStyle w:val="FootnoteReference"/>
                <w:rFonts w:ascii="Times New Roman" w:hAnsi="Times New Roman" w:cs="Times New Roman"/>
                <w:sz w:val="20"/>
                <w:szCs w:val="24"/>
              </w:rPr>
              <w:t>7)</w:t>
            </w:r>
            <w:r>
              <w:rPr>
                <w:rStyle w:val="DefaultParagraphFont"/>
                <w:rFonts w:ascii="Times New Roman" w:hAnsi="Times New Roman" w:cs="Times New Roman"/>
                <w:sz w:val="20"/>
                <w:szCs w:val="24"/>
              </w:rPr>
              <w:t>. Zdravotné záznamy a záznamy o expozícii obsahujú súhrn výsledkov z vykonanej cielenej preventívnej prehliadky, všetkých reprezentatívnych údajov o expozícii, biologického monitorovania a skutočností dôležitých na posúdenie</w:t>
            </w:r>
            <w:r>
              <w:rPr>
                <w:rStyle w:val="DefaultParagraphFont"/>
                <w:rFonts w:ascii="Times New Roman" w:hAnsi="Times New Roman" w:cs="Times New Roman"/>
                <w:sz w:val="20"/>
                <w:szCs w:val="24"/>
              </w:rPr>
              <w:t xml:space="preserve"> zdravotnej spôsobilosti na výkon práce.</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U</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MZ SR</w:t>
            </w: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suppressAutoHyphens/>
              <w:jc w:val="left"/>
              <w:rPr>
                <w:rStyle w:val="DefaultParagraphFont"/>
                <w:rFonts w:ascii="Times New Roman" w:hAnsi="Times New Roman" w:cs="Times New Roman"/>
                <w:b w:val="0"/>
                <w:sz w:val="20"/>
                <w:szCs w:val="24"/>
              </w:rPr>
            </w:pPr>
          </w:p>
        </w:tc>
        <w:tc>
          <w:tcPr>
            <w:tcW w:w="140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suppressAutoHyphens/>
              <w:jc w:val="both"/>
              <w:rPr>
                <w:rStyle w:val="DefaultParagraphFont"/>
                <w:rFonts w:ascii="Times New Roman" w:hAnsi="Times New Roman" w:cs="Times New Roman"/>
                <w:b w:val="0"/>
                <w:sz w:val="20"/>
                <w:szCs w:val="24"/>
              </w:rPr>
            </w:pPr>
          </w:p>
        </w:tc>
      </w:tr>
      <w:tr>
        <w:tblPrEx>
          <w:tblW w:w="16160" w:type="dxa"/>
          <w:tblInd w:w="-497" w:type="dxa"/>
          <w:tblLayout w:type="fixed"/>
          <w:tblCellMar>
            <w:top w:w="0" w:type="dxa"/>
            <w:left w:w="43" w:type="dxa"/>
            <w:bottom w:w="0" w:type="dxa"/>
            <w:right w:w="43" w:type="dxa"/>
          </w:tblCellMar>
        </w:tblPrEx>
        <w:trPr>
          <w:trHeight w:hRule="auto" w:val="0"/>
        </w:trPr>
        <w:tc>
          <w:tcPr>
            <w:tcW w:w="89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Č:14</w:t>
            </w:r>
          </w:p>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O:5</w:t>
            </w:r>
          </w:p>
        </w:tc>
        <w:tc>
          <w:tcPr>
            <w:tcW w:w="342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Pracovníkom musia byť poskytnuté informácie a poradenstvo vo vzťahu k zdravotnému dohľadu, ktorému môžu podliehať po ukončení expozície.</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16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Nariadenie vlády</w:t>
            </w:r>
          </w:p>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SR č. 356/2006 Z.z.</w:t>
            </w: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WW-Znakyprepoznmkupodiarou"/>
                <w:rFonts w:ascii="Times New Roman" w:hAnsi="Times New Roman" w:cs="Times New Roman"/>
                <w:sz w:val="20"/>
                <w:szCs w:val="24"/>
                <w:vertAlign w:val="baseline"/>
              </w:rPr>
            </w:pPr>
            <w:r>
              <w:rPr>
                <w:rStyle w:val="WW-Znakyprepoznmkupodiarou"/>
                <w:rFonts w:ascii="Times New Roman" w:hAnsi="Times New Roman" w:cs="Times New Roman"/>
                <w:sz w:val="20"/>
                <w:szCs w:val="24"/>
                <w:vertAlign w:val="baseline"/>
              </w:rPr>
              <w:t>§ 13</w:t>
            </w:r>
          </w:p>
          <w:p w:rsidR="00F1062D">
            <w:pPr>
              <w:jc w:val="center"/>
              <w:rPr>
                <w:rStyle w:val="WW-Znakyprepoznmkupodiarou"/>
                <w:rFonts w:ascii="Times New Roman" w:hAnsi="Times New Roman" w:cs="Times New Roman"/>
                <w:sz w:val="20"/>
                <w:szCs w:val="24"/>
                <w:vertAlign w:val="baseline"/>
              </w:rPr>
            </w:pPr>
            <w:r>
              <w:rPr>
                <w:rStyle w:val="WW-Znakyprepoznmkupodiarou"/>
                <w:rFonts w:ascii="Times New Roman" w:hAnsi="Times New Roman" w:cs="Times New Roman"/>
                <w:sz w:val="20"/>
                <w:szCs w:val="24"/>
                <w:vertAlign w:val="baseline"/>
              </w:rPr>
              <w:t>O: 6</w:t>
            </w:r>
          </w:p>
          <w:p w:rsidR="00F1062D">
            <w:pPr>
              <w:jc w:val="center"/>
              <w:rPr>
                <w:rStyle w:val="WW-Znakyprepoznmkupodiarou"/>
                <w:rFonts w:ascii="Times New Roman" w:hAnsi="Times New Roman" w:cs="Times New Roman"/>
                <w:szCs w:val="24"/>
                <w:vertAlign w:val="baseline"/>
              </w:rPr>
            </w:pPr>
          </w:p>
        </w:tc>
        <w:tc>
          <w:tcPr>
            <w:tcW w:w="36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ind w:right="-2"/>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Ak</w:t>
            </w:r>
            <w:r>
              <w:rPr>
                <w:rStyle w:val="DefaultParagraphFont"/>
                <w:rFonts w:ascii="Times New Roman" w:hAnsi="Times New Roman" w:cs="Times New Roman"/>
                <w:sz w:val="20"/>
                <w:szCs w:val="24"/>
              </w:rPr>
              <w:t xml:space="preserve"> sa na základe zdravotného dohľadu u zamestnanca preukáže ochorenie alebo škodlivé zdravotné účinky, ktoré lekár vykonávajúci zdravotný dohľad považuje za následok expozície karcinogénom a mutagénom, lekár alebo príslušne kvalifikovaná osoba informuje zamestnanca o výsledkoch, vrátane odporúčania týkajúceho sa zdravotného dohľadu, ktorému by sa mal zamestnanec podrobiť po skončení práce v riziku expozície karcinogénom a mutagénom.</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U</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MZ SR</w:t>
            </w: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suppressAutoHyphens/>
              <w:jc w:val="left"/>
              <w:rPr>
                <w:rStyle w:val="DefaultParagraphFont"/>
                <w:rFonts w:ascii="Times New Roman" w:hAnsi="Times New Roman" w:cs="Times New Roman"/>
                <w:b w:val="0"/>
                <w:sz w:val="20"/>
                <w:szCs w:val="24"/>
              </w:rPr>
            </w:pPr>
          </w:p>
        </w:tc>
        <w:tc>
          <w:tcPr>
            <w:tcW w:w="140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suppressAutoHyphens/>
              <w:jc w:val="both"/>
              <w:rPr>
                <w:rStyle w:val="DefaultParagraphFont"/>
                <w:rFonts w:ascii="Times New Roman" w:hAnsi="Times New Roman" w:cs="Times New Roman"/>
                <w:b w:val="0"/>
                <w:sz w:val="20"/>
                <w:szCs w:val="24"/>
              </w:rPr>
            </w:pPr>
          </w:p>
        </w:tc>
      </w:tr>
      <w:tr>
        <w:tblPrEx>
          <w:tblW w:w="16160" w:type="dxa"/>
          <w:tblInd w:w="-497" w:type="dxa"/>
          <w:tblLayout w:type="fixed"/>
          <w:tblCellMar>
            <w:top w:w="0" w:type="dxa"/>
            <w:left w:w="43" w:type="dxa"/>
            <w:bottom w:w="0" w:type="dxa"/>
            <w:right w:w="43" w:type="dxa"/>
          </w:tblCellMar>
        </w:tblPrEx>
        <w:trPr>
          <w:trHeight w:hRule="auto" w:val="0"/>
        </w:trPr>
        <w:tc>
          <w:tcPr>
            <w:tcW w:w="89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Č:14</w:t>
            </w:r>
          </w:p>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O:6</w:t>
            </w:r>
          </w:p>
        </w:tc>
        <w:tc>
          <w:tcPr>
            <w:tcW w:w="342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 súlade s vnútroštátnou legislatívou, a/alebo praxou: </w:t>
            </w:r>
          </w:p>
          <w:p w:rsidR="00F1062D">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majú pracovníci prístup k výsledkom zdravotného dohľadu, ktoré sa ich týkajú a</w:t>
            </w:r>
          </w:p>
          <w:p w:rsidR="00F1062D">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príslušný pracovníci alebo zamestnávateľ môžu požiadať o preskúmanie výsledkov zdravotného dohľadu.</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16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Nariadenie vlády</w:t>
            </w:r>
          </w:p>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SR č. 356/2006 Z.z.</w:t>
            </w: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WW-Znakyprepoznmkupodiarou"/>
                <w:rFonts w:ascii="Times New Roman" w:hAnsi="Times New Roman" w:cs="Times New Roman"/>
                <w:sz w:val="20"/>
                <w:szCs w:val="24"/>
                <w:vertAlign w:val="baseline"/>
              </w:rPr>
            </w:pPr>
            <w:r>
              <w:rPr>
                <w:rStyle w:val="WW-Znakyprepoznmkupodiarou"/>
                <w:rFonts w:ascii="Times New Roman" w:hAnsi="Times New Roman" w:cs="Times New Roman"/>
                <w:sz w:val="20"/>
                <w:szCs w:val="24"/>
                <w:vertAlign w:val="baseline"/>
              </w:rPr>
              <w:t>§ 13</w:t>
            </w:r>
          </w:p>
          <w:p w:rsidR="00F1062D">
            <w:pPr>
              <w:jc w:val="center"/>
              <w:rPr>
                <w:rStyle w:val="WW-Znakyprepoznmkupodiarou"/>
                <w:rFonts w:ascii="Times New Roman" w:hAnsi="Times New Roman" w:cs="Times New Roman"/>
                <w:sz w:val="20"/>
                <w:szCs w:val="24"/>
                <w:vertAlign w:val="baseline"/>
              </w:rPr>
            </w:pPr>
            <w:r>
              <w:rPr>
                <w:rStyle w:val="WW-Znakyprepoznmkupodiarou"/>
                <w:rFonts w:ascii="Times New Roman" w:hAnsi="Times New Roman" w:cs="Times New Roman"/>
                <w:sz w:val="20"/>
                <w:szCs w:val="24"/>
                <w:vertAlign w:val="baseline"/>
              </w:rPr>
              <w:t>O: 5</w:t>
            </w:r>
          </w:p>
          <w:p w:rsidR="00F1062D">
            <w:pPr>
              <w:jc w:val="center"/>
              <w:rPr>
                <w:rStyle w:val="WW-Znakyprepoznmkupodiarou"/>
                <w:rFonts w:ascii="Times New Roman" w:hAnsi="Times New Roman" w:cs="Times New Roman"/>
                <w:sz w:val="20"/>
                <w:szCs w:val="24"/>
                <w:vertAlign w:val="baseline"/>
              </w:rPr>
            </w:pPr>
            <w:r>
              <w:rPr>
                <w:rStyle w:val="WW-Znakyprepoznmkupodiarou"/>
                <w:rFonts w:ascii="Times New Roman" w:hAnsi="Times New Roman" w:cs="Times New Roman"/>
                <w:sz w:val="20"/>
                <w:szCs w:val="24"/>
                <w:vertAlign w:val="baseline"/>
              </w:rPr>
              <w:t xml:space="preserve">V:3,4,5 </w:t>
            </w:r>
          </w:p>
          <w:p w:rsidR="00F1062D">
            <w:pPr>
              <w:jc w:val="center"/>
              <w:rPr>
                <w:rStyle w:val="WW-Znakyprepoznmkupodiarou"/>
                <w:rFonts w:ascii="Times New Roman" w:hAnsi="Times New Roman" w:cs="Times New Roman"/>
                <w:sz w:val="20"/>
                <w:szCs w:val="24"/>
                <w:vertAlign w:val="baseline"/>
              </w:rPr>
            </w:pPr>
          </w:p>
          <w:p w:rsidR="00F1062D">
            <w:pPr>
              <w:jc w:val="center"/>
              <w:rPr>
                <w:rStyle w:val="WW-Znakyprepoznmkupodiarou"/>
                <w:rFonts w:ascii="Times New Roman" w:hAnsi="Times New Roman" w:cs="Times New Roman"/>
                <w:sz w:val="20"/>
                <w:szCs w:val="24"/>
                <w:vertAlign w:val="baseline"/>
              </w:rPr>
            </w:pPr>
          </w:p>
          <w:p w:rsidR="00F1062D">
            <w:pPr>
              <w:jc w:val="center"/>
              <w:rPr>
                <w:rStyle w:val="WW-Znakyprepoznmkupodiarou"/>
                <w:rFonts w:ascii="Times New Roman" w:hAnsi="Times New Roman" w:cs="Times New Roman"/>
                <w:sz w:val="20"/>
                <w:szCs w:val="24"/>
                <w:vertAlign w:val="baseline"/>
              </w:rPr>
            </w:pPr>
          </w:p>
          <w:p w:rsidR="00F1062D">
            <w:pPr>
              <w:jc w:val="center"/>
              <w:rPr>
                <w:rStyle w:val="WW-Znakyprepoznmkupodiarou"/>
                <w:rFonts w:ascii="Times New Roman" w:hAnsi="Times New Roman" w:cs="Times New Roman"/>
                <w:sz w:val="20"/>
                <w:szCs w:val="24"/>
                <w:vertAlign w:val="baseline"/>
              </w:rPr>
            </w:pPr>
          </w:p>
          <w:p w:rsidR="00F1062D">
            <w:pPr>
              <w:rPr>
                <w:rStyle w:val="WW-Znakyprepoznmkupodiarou"/>
                <w:rFonts w:ascii="Times New Roman" w:hAnsi="Times New Roman" w:cs="Times New Roman"/>
                <w:sz w:val="20"/>
                <w:szCs w:val="24"/>
                <w:vertAlign w:val="baseline"/>
              </w:rPr>
            </w:pPr>
          </w:p>
          <w:p w:rsidR="00F1062D">
            <w:pPr>
              <w:jc w:val="center"/>
              <w:rPr>
                <w:rStyle w:val="WW-Znakyprepoznmkupodiarou"/>
                <w:rFonts w:ascii="Times New Roman" w:hAnsi="Times New Roman" w:cs="Times New Roman"/>
                <w:sz w:val="20"/>
                <w:szCs w:val="24"/>
                <w:vertAlign w:val="baseline"/>
              </w:rPr>
            </w:pPr>
          </w:p>
          <w:p w:rsidR="00F1062D">
            <w:pPr>
              <w:jc w:val="center"/>
              <w:rPr>
                <w:rStyle w:val="WW-Znakyprepoznmkupodiarou"/>
                <w:rFonts w:ascii="Times New Roman" w:hAnsi="Times New Roman" w:cs="Times New Roman"/>
                <w:szCs w:val="24"/>
                <w:vertAlign w:val="baseline"/>
              </w:rPr>
            </w:pPr>
          </w:p>
        </w:tc>
        <w:tc>
          <w:tcPr>
            <w:tcW w:w="36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Každý</w:t>
            </w:r>
            <w:r>
              <w:rPr>
                <w:rStyle w:val="DefaultParagraphFont"/>
                <w:rFonts w:ascii="Times New Roman" w:hAnsi="Times New Roman" w:cs="Times New Roman"/>
                <w:sz w:val="20"/>
                <w:szCs w:val="24"/>
              </w:rPr>
              <w:t xml:space="preserve"> zamestnanec na jeho požiadanie bude mať prístup k zdravotným záznamom a záznamom o expozícii týkajúcich sa jeho osoby. Zamestnanci alebo zamestnávateľ môžu požiadať o preskúmanie výsledkov zdravotného dohľadu.</w:t>
            </w:r>
          </w:p>
          <w:p w:rsidR="00F1062D">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 prípade, že fyzická osoba – podnikateľ alebo právnická osoba prestane existovať alebo sa zruší, zoznam zamestnancov so záznamom o expozícii sa poskytnú príslušnému orgánu verejného zdravotníctva. </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U</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MZ SR</w:t>
            </w: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suppressAutoHyphens/>
              <w:jc w:val="left"/>
              <w:rPr>
                <w:rStyle w:val="DefaultParagraphFont"/>
                <w:rFonts w:ascii="Times New Roman" w:hAnsi="Times New Roman" w:cs="Times New Roman"/>
                <w:b w:val="0"/>
                <w:sz w:val="20"/>
                <w:szCs w:val="24"/>
              </w:rPr>
            </w:pPr>
          </w:p>
        </w:tc>
        <w:tc>
          <w:tcPr>
            <w:tcW w:w="140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suppressAutoHyphens/>
              <w:jc w:val="both"/>
              <w:rPr>
                <w:rStyle w:val="DefaultParagraphFont"/>
                <w:rFonts w:ascii="Times New Roman" w:hAnsi="Times New Roman" w:cs="Times New Roman"/>
                <w:b w:val="0"/>
                <w:sz w:val="20"/>
                <w:szCs w:val="24"/>
              </w:rPr>
            </w:pPr>
          </w:p>
        </w:tc>
      </w:tr>
      <w:tr>
        <w:tblPrEx>
          <w:tblW w:w="16160" w:type="dxa"/>
          <w:tblInd w:w="-497" w:type="dxa"/>
          <w:tblLayout w:type="fixed"/>
          <w:tblCellMar>
            <w:top w:w="0" w:type="dxa"/>
            <w:left w:w="43" w:type="dxa"/>
            <w:bottom w:w="0" w:type="dxa"/>
            <w:right w:w="43" w:type="dxa"/>
          </w:tblCellMar>
        </w:tblPrEx>
        <w:trPr>
          <w:trHeight w:hRule="auto" w:val="0"/>
        </w:trPr>
        <w:tc>
          <w:tcPr>
            <w:tcW w:w="89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Č:14</w:t>
            </w:r>
          </w:p>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O:7</w:t>
            </w:r>
          </w:p>
        </w:tc>
        <w:tc>
          <w:tcPr>
            <w:tcW w:w="342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Praktické odporúčania pre dohľad nad zdravím pracovníkov sú uvedené v prílohe II.</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16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Nariadenie vlády</w:t>
            </w:r>
          </w:p>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SR č. 356/2006 Z.z.</w:t>
            </w: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WW-Znakyprepoznmkupodiarou"/>
                <w:rFonts w:ascii="Times New Roman" w:hAnsi="Times New Roman" w:cs="Times New Roman"/>
                <w:sz w:val="20"/>
                <w:szCs w:val="24"/>
                <w:vertAlign w:val="baseline"/>
              </w:rPr>
            </w:pPr>
            <w:r>
              <w:rPr>
                <w:rStyle w:val="WW-Znakyprepoznmkupodiarou"/>
                <w:rFonts w:ascii="Times New Roman" w:hAnsi="Times New Roman" w:cs="Times New Roman"/>
                <w:sz w:val="20"/>
                <w:szCs w:val="24"/>
                <w:vertAlign w:val="baseline"/>
              </w:rPr>
              <w:t>§ 13</w:t>
            </w:r>
          </w:p>
          <w:p w:rsidR="00F1062D">
            <w:pPr>
              <w:jc w:val="center"/>
              <w:rPr>
                <w:rStyle w:val="WW-Znakyprepoznmkupodiarou"/>
                <w:rFonts w:ascii="Times New Roman" w:hAnsi="Times New Roman" w:cs="Times New Roman"/>
                <w:szCs w:val="24"/>
                <w:vertAlign w:val="baseline"/>
              </w:rPr>
            </w:pPr>
            <w:r>
              <w:rPr>
                <w:rStyle w:val="WW-Znakyprepoznmkupodiarou"/>
                <w:rFonts w:ascii="Times New Roman" w:hAnsi="Times New Roman" w:cs="Times New Roman"/>
                <w:sz w:val="20"/>
                <w:szCs w:val="24"/>
                <w:vertAlign w:val="baseline"/>
              </w:rPr>
              <w:t xml:space="preserve">O:8 </w:t>
            </w:r>
          </w:p>
        </w:tc>
        <w:tc>
          <w:tcPr>
            <w:tcW w:w="36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ind w:right="-2"/>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Praktické odporúčania pre zdravotný dohľad sú uvedené v prílohe č.4.</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U</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MZ SR</w:t>
            </w: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suppressAutoHyphens/>
              <w:jc w:val="left"/>
              <w:rPr>
                <w:rStyle w:val="DefaultParagraphFont"/>
                <w:rFonts w:ascii="Times New Roman" w:hAnsi="Times New Roman" w:cs="Times New Roman"/>
                <w:b w:val="0"/>
                <w:sz w:val="20"/>
                <w:szCs w:val="24"/>
              </w:rPr>
            </w:pPr>
          </w:p>
        </w:tc>
        <w:tc>
          <w:tcPr>
            <w:tcW w:w="140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suppressAutoHyphens/>
              <w:jc w:val="both"/>
              <w:rPr>
                <w:rStyle w:val="DefaultParagraphFont"/>
                <w:rFonts w:ascii="Times New Roman" w:hAnsi="Times New Roman" w:cs="Times New Roman"/>
                <w:b w:val="0"/>
                <w:sz w:val="20"/>
                <w:szCs w:val="24"/>
              </w:rPr>
            </w:pPr>
          </w:p>
        </w:tc>
      </w:tr>
      <w:tr>
        <w:tblPrEx>
          <w:tblW w:w="16160" w:type="dxa"/>
          <w:tblInd w:w="-497" w:type="dxa"/>
          <w:tblLayout w:type="fixed"/>
          <w:tblCellMar>
            <w:top w:w="0" w:type="dxa"/>
            <w:left w:w="43" w:type="dxa"/>
            <w:bottom w:w="0" w:type="dxa"/>
            <w:right w:w="43" w:type="dxa"/>
          </w:tblCellMar>
        </w:tblPrEx>
        <w:trPr>
          <w:trHeight w:hRule="auto" w:val="0"/>
        </w:trPr>
        <w:tc>
          <w:tcPr>
            <w:tcW w:w="89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Č:14</w:t>
            </w:r>
          </w:p>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O:8</w:t>
            </w:r>
          </w:p>
        </w:tc>
        <w:tc>
          <w:tcPr>
            <w:tcW w:w="342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Všetky prípady ochorenia na rakovinu, ktoré boli zistené podľa vnútroštátnej legislatívy a/alebo  praxe ako dô</w:t>
            </w:r>
            <w:r>
              <w:rPr>
                <w:rStyle w:val="DefaultParagraphFont"/>
                <w:rFonts w:ascii="Times New Roman" w:hAnsi="Times New Roman" w:cs="Times New Roman"/>
                <w:sz w:val="20"/>
                <w:szCs w:val="24"/>
              </w:rPr>
              <w:t>sledok expozície karcinogénu pri práci, budú oznámené  kompetentnému úradu.</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16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Nariadenie vlády</w:t>
            </w:r>
          </w:p>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SR č. 356/2006 Z.z.</w:t>
            </w: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WW-Znakyprepoznmkupodiarou"/>
                <w:rFonts w:ascii="Times New Roman" w:hAnsi="Times New Roman" w:cs="Times New Roman"/>
                <w:sz w:val="20"/>
                <w:szCs w:val="24"/>
                <w:vertAlign w:val="baseline"/>
              </w:rPr>
            </w:pPr>
            <w:r>
              <w:rPr>
                <w:rStyle w:val="WW-Znakyprepoznmkupodiarou"/>
                <w:rFonts w:ascii="Times New Roman" w:hAnsi="Times New Roman" w:cs="Times New Roman"/>
                <w:sz w:val="20"/>
                <w:szCs w:val="24"/>
                <w:vertAlign w:val="baseline"/>
              </w:rPr>
              <w:t>§ 13</w:t>
            </w:r>
          </w:p>
          <w:p w:rsidR="00F1062D">
            <w:pPr>
              <w:jc w:val="center"/>
              <w:rPr>
                <w:rStyle w:val="WW-Znakyprepoznmkupodiarou"/>
                <w:rFonts w:ascii="Times New Roman" w:hAnsi="Times New Roman" w:cs="Times New Roman"/>
                <w:szCs w:val="24"/>
                <w:vertAlign w:val="baseline"/>
              </w:rPr>
            </w:pPr>
            <w:r>
              <w:rPr>
                <w:rStyle w:val="WW-Znakyprepoznmkupodiarou"/>
                <w:rFonts w:ascii="Times New Roman" w:hAnsi="Times New Roman" w:cs="Times New Roman"/>
                <w:sz w:val="20"/>
                <w:szCs w:val="24"/>
                <w:vertAlign w:val="baseline"/>
              </w:rPr>
              <w:t xml:space="preserve">O:9 </w:t>
            </w:r>
          </w:p>
        </w:tc>
        <w:tc>
          <w:tcPr>
            <w:tcW w:w="36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Ochorenia zamestnancov na rakovinu, ktoré sa zistili ako dôsledok expozície karcinogénom alebo mutagénom, sa musia oznámiť príslušn</w:t>
            </w:r>
            <w:r>
              <w:rPr>
                <w:rStyle w:val="DefaultParagraphFont"/>
                <w:rFonts w:ascii="Times New Roman" w:hAnsi="Times New Roman" w:cs="Times New Roman"/>
                <w:sz w:val="20"/>
                <w:szCs w:val="24"/>
              </w:rPr>
              <w:t>ému orgánu verejného zdravotníctva</w:t>
            </w:r>
            <w:r>
              <w:rPr>
                <w:rStyle w:val="FootnoteReference"/>
                <w:rFonts w:ascii="Times New Roman" w:hAnsi="Times New Roman" w:cs="Times New Roman"/>
                <w:sz w:val="20"/>
                <w:szCs w:val="24"/>
              </w:rPr>
              <w:t>12)</w:t>
            </w:r>
            <w:r>
              <w:rPr>
                <w:rStyle w:val="DefaultParagraphFont"/>
                <w:rFonts w:ascii="Times New Roman" w:hAnsi="Times New Roman" w:cs="Times New Roman"/>
                <w:sz w:val="20"/>
                <w:szCs w:val="24"/>
              </w:rPr>
              <w:t xml:space="preserve">. </w:t>
            </w:r>
          </w:p>
          <w:p w:rsidR="00F1062D">
            <w:pPr>
              <w:jc w:val="both"/>
              <w:rPr>
                <w:rStyle w:val="DefaultParagraphFont"/>
                <w:rFonts w:ascii="Times New Roman" w:hAnsi="Times New Roman" w:cs="Times New Roman"/>
                <w:sz w:val="20"/>
                <w:szCs w:val="24"/>
              </w:rPr>
            </w:pP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U</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MZ SR</w:t>
            </w: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suppressAutoHyphens/>
              <w:jc w:val="left"/>
              <w:rPr>
                <w:rStyle w:val="DefaultParagraphFont"/>
                <w:rFonts w:ascii="Times New Roman" w:hAnsi="Times New Roman" w:cs="Times New Roman"/>
                <w:b w:val="0"/>
                <w:sz w:val="20"/>
                <w:szCs w:val="24"/>
              </w:rPr>
            </w:pPr>
          </w:p>
        </w:tc>
        <w:tc>
          <w:tcPr>
            <w:tcW w:w="140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suppressAutoHyphens/>
              <w:jc w:val="both"/>
              <w:rPr>
                <w:rStyle w:val="DefaultParagraphFont"/>
                <w:rFonts w:ascii="Times New Roman" w:hAnsi="Times New Roman" w:cs="Times New Roman"/>
                <w:b w:val="0"/>
                <w:sz w:val="20"/>
                <w:szCs w:val="24"/>
              </w:rPr>
            </w:pPr>
          </w:p>
        </w:tc>
      </w:tr>
      <w:tr>
        <w:tblPrEx>
          <w:tblW w:w="16160" w:type="dxa"/>
          <w:tblInd w:w="-497" w:type="dxa"/>
          <w:tblLayout w:type="fixed"/>
          <w:tblCellMar>
            <w:top w:w="0" w:type="dxa"/>
            <w:left w:w="43" w:type="dxa"/>
            <w:bottom w:w="0" w:type="dxa"/>
            <w:right w:w="43" w:type="dxa"/>
          </w:tblCellMar>
        </w:tblPrEx>
        <w:trPr>
          <w:trHeight w:hRule="auto" w:val="0"/>
        </w:trPr>
        <w:tc>
          <w:tcPr>
            <w:tcW w:w="89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Č:15</w:t>
            </w:r>
          </w:p>
        </w:tc>
        <w:tc>
          <w:tcPr>
            <w:tcW w:w="342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rPr>
                <w:rStyle w:val="DefaultParagraphFont"/>
                <w:rFonts w:ascii="Times New Roman" w:hAnsi="Times New Roman" w:cs="Times New Roman"/>
                <w:b/>
                <w:sz w:val="20"/>
                <w:szCs w:val="24"/>
              </w:rPr>
            </w:pPr>
            <w:r>
              <w:rPr>
                <w:rStyle w:val="DefaultParagraphFont"/>
                <w:rFonts w:ascii="Times New Roman" w:hAnsi="Times New Roman" w:cs="Times New Roman"/>
                <w:b/>
                <w:sz w:val="20"/>
                <w:szCs w:val="24"/>
              </w:rPr>
              <w:t>Uchovávanie záznamov</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16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WW-Znakyprepoznmkupodiarou"/>
                <w:rFonts w:ascii="Times New Roman" w:hAnsi="Times New Roman" w:cs="Times New Roman"/>
                <w:sz w:val="20"/>
                <w:szCs w:val="24"/>
                <w:vertAlign w:val="baseline"/>
              </w:rPr>
            </w:pPr>
            <w:r>
              <w:rPr>
                <w:rStyle w:val="WW-Znakyprepoznmkupodiarou"/>
                <w:rFonts w:ascii="Times New Roman" w:hAnsi="Times New Roman" w:cs="Times New Roman"/>
                <w:sz w:val="20"/>
                <w:szCs w:val="24"/>
                <w:vertAlign w:val="baseline"/>
              </w:rPr>
              <w:t xml:space="preserve">§ 12 </w:t>
            </w:r>
          </w:p>
        </w:tc>
        <w:tc>
          <w:tcPr>
            <w:tcW w:w="36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rPr>
                <w:rStyle w:val="DefaultParagraphFont"/>
                <w:rFonts w:ascii="Times New Roman" w:hAnsi="Times New Roman" w:cs="Times New Roman"/>
                <w:b/>
                <w:sz w:val="20"/>
                <w:szCs w:val="24"/>
              </w:rPr>
            </w:pPr>
            <w:r>
              <w:rPr>
                <w:rStyle w:val="DefaultParagraphFont"/>
                <w:rFonts w:ascii="Times New Roman" w:hAnsi="Times New Roman" w:cs="Times New Roman"/>
                <w:b/>
                <w:sz w:val="20"/>
                <w:szCs w:val="24"/>
              </w:rPr>
              <w:t>Informovanie, konzultácie a účasť zamestnancov</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suppressAutoHyphens/>
              <w:jc w:val="left"/>
              <w:rPr>
                <w:rStyle w:val="DefaultParagraphFont"/>
                <w:rFonts w:ascii="Times New Roman" w:hAnsi="Times New Roman" w:cs="Times New Roman"/>
                <w:b w:val="0"/>
                <w:sz w:val="20"/>
                <w:szCs w:val="24"/>
              </w:rPr>
            </w:pPr>
          </w:p>
        </w:tc>
        <w:tc>
          <w:tcPr>
            <w:tcW w:w="140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suppressAutoHyphens/>
              <w:jc w:val="both"/>
              <w:rPr>
                <w:rStyle w:val="DefaultParagraphFont"/>
                <w:rFonts w:ascii="Times New Roman" w:hAnsi="Times New Roman" w:cs="Times New Roman"/>
                <w:b w:val="0"/>
                <w:sz w:val="20"/>
                <w:szCs w:val="24"/>
              </w:rPr>
            </w:pPr>
          </w:p>
        </w:tc>
      </w:tr>
      <w:tr>
        <w:tblPrEx>
          <w:tblW w:w="16160" w:type="dxa"/>
          <w:tblInd w:w="-497" w:type="dxa"/>
          <w:tblLayout w:type="fixed"/>
          <w:tblCellMar>
            <w:top w:w="0" w:type="dxa"/>
            <w:left w:w="43" w:type="dxa"/>
            <w:bottom w:w="0" w:type="dxa"/>
            <w:right w:w="43" w:type="dxa"/>
          </w:tblCellMar>
        </w:tblPrEx>
        <w:trPr>
          <w:trHeight w:hRule="auto" w:val="0"/>
        </w:trPr>
        <w:tc>
          <w:tcPr>
            <w:tcW w:w="89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Č:15</w:t>
            </w:r>
          </w:p>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O:1</w:t>
            </w:r>
          </w:p>
        </w:tc>
        <w:tc>
          <w:tcPr>
            <w:tcW w:w="342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Zoznam uvedený v článku 12 (c) a zdravotný spis uvedený v článku 14 (4) sa uchováva najmenej 40 rokov po skončení expozície v súlade s vnútroštátnou legislatívou a/alebo praxou.</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16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Nariadenie vlády</w:t>
            </w:r>
          </w:p>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SR č. 356/2006 Z.z.</w:t>
            </w: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WW-Znakyprepoznmkupodiarou"/>
                <w:rFonts w:ascii="Times New Roman" w:hAnsi="Times New Roman" w:cs="Times New Roman"/>
                <w:sz w:val="20"/>
                <w:szCs w:val="24"/>
                <w:vertAlign w:val="baseline"/>
              </w:rPr>
            </w:pPr>
            <w:r>
              <w:rPr>
                <w:rStyle w:val="WW-Znakyprepoznmkupodiarou"/>
                <w:rFonts w:ascii="Times New Roman" w:hAnsi="Times New Roman" w:cs="Times New Roman"/>
                <w:sz w:val="20"/>
                <w:szCs w:val="24"/>
                <w:vertAlign w:val="baseline"/>
              </w:rPr>
              <w:t>§ 12</w:t>
            </w:r>
          </w:p>
          <w:p w:rsidR="00F1062D">
            <w:pPr>
              <w:jc w:val="center"/>
              <w:rPr>
                <w:rStyle w:val="WW-Znakyprepoznmkupodiarou"/>
                <w:rFonts w:ascii="Times New Roman" w:hAnsi="Times New Roman" w:cs="Times New Roman"/>
                <w:sz w:val="20"/>
                <w:szCs w:val="24"/>
                <w:vertAlign w:val="baseline"/>
              </w:rPr>
            </w:pPr>
            <w:r>
              <w:rPr>
                <w:rStyle w:val="WW-Znakyprepoznmkupodiarou"/>
                <w:rFonts w:ascii="Times New Roman" w:hAnsi="Times New Roman" w:cs="Times New Roman"/>
                <w:sz w:val="20"/>
                <w:szCs w:val="24"/>
                <w:vertAlign w:val="baseline"/>
              </w:rPr>
              <w:t>O: 3</w:t>
            </w:r>
          </w:p>
          <w:p w:rsidR="00F1062D">
            <w:pPr>
              <w:jc w:val="center"/>
              <w:rPr>
                <w:rStyle w:val="WW-Znakyprepoznmkupodiarou"/>
                <w:rFonts w:ascii="Times New Roman" w:hAnsi="Times New Roman" w:cs="Times New Roman"/>
                <w:sz w:val="20"/>
                <w:szCs w:val="24"/>
                <w:vertAlign w:val="baseline"/>
              </w:rPr>
            </w:pPr>
            <w:r>
              <w:rPr>
                <w:rStyle w:val="WW-Znakyprepoznmkupodiarou"/>
                <w:rFonts w:ascii="Times New Roman" w:hAnsi="Times New Roman" w:cs="Times New Roman"/>
                <w:sz w:val="20"/>
                <w:szCs w:val="24"/>
                <w:vertAlign w:val="baseline"/>
              </w:rPr>
              <w:t>V:1</w:t>
            </w:r>
          </w:p>
          <w:p w:rsidR="00F1062D">
            <w:pPr>
              <w:jc w:val="center"/>
              <w:rPr>
                <w:rStyle w:val="WW-Znakyprepoznmkupodiarou"/>
                <w:rFonts w:ascii="Times New Roman" w:hAnsi="Times New Roman" w:cs="Times New Roman"/>
                <w:sz w:val="20"/>
                <w:szCs w:val="24"/>
                <w:vertAlign w:val="baseline"/>
              </w:rPr>
            </w:pPr>
          </w:p>
          <w:p w:rsidR="00F1062D">
            <w:pPr>
              <w:jc w:val="center"/>
              <w:rPr>
                <w:rStyle w:val="WW-Znakyprepoznmkupodiarou"/>
                <w:rFonts w:ascii="Times New Roman" w:hAnsi="Times New Roman" w:cs="Times New Roman"/>
                <w:sz w:val="20"/>
                <w:szCs w:val="24"/>
                <w:vertAlign w:val="baseline"/>
              </w:rPr>
            </w:pPr>
          </w:p>
          <w:p w:rsidR="00F1062D">
            <w:pPr>
              <w:jc w:val="center"/>
              <w:rPr>
                <w:rStyle w:val="WW-Znakyprepoznmkupodiarou"/>
                <w:rFonts w:ascii="Times New Roman" w:hAnsi="Times New Roman" w:cs="Times New Roman"/>
                <w:sz w:val="20"/>
                <w:szCs w:val="24"/>
                <w:vertAlign w:val="baseline"/>
              </w:rPr>
            </w:pPr>
          </w:p>
          <w:p w:rsidR="00F1062D">
            <w:pPr>
              <w:jc w:val="center"/>
              <w:rPr>
                <w:rStyle w:val="WW-Znakyprepoznmkupodiarou"/>
                <w:rFonts w:ascii="Times New Roman" w:hAnsi="Times New Roman" w:cs="Times New Roman"/>
                <w:sz w:val="20"/>
                <w:szCs w:val="24"/>
                <w:vertAlign w:val="baseline"/>
              </w:rPr>
            </w:pPr>
          </w:p>
          <w:p w:rsidR="00F1062D">
            <w:pPr>
              <w:jc w:val="center"/>
              <w:rPr>
                <w:rStyle w:val="WW-Znakyprepoznmkupodiarou"/>
                <w:rFonts w:ascii="Times New Roman" w:hAnsi="Times New Roman" w:cs="Times New Roman"/>
                <w:sz w:val="20"/>
                <w:szCs w:val="24"/>
                <w:vertAlign w:val="baseline"/>
              </w:rPr>
            </w:pPr>
          </w:p>
          <w:p w:rsidR="00F1062D">
            <w:pPr>
              <w:jc w:val="center"/>
              <w:rPr>
                <w:rStyle w:val="WW-Znakyprepoznmkupodiarou"/>
                <w:rFonts w:ascii="Times New Roman" w:hAnsi="Times New Roman" w:cs="Times New Roman"/>
                <w:sz w:val="20"/>
                <w:szCs w:val="24"/>
                <w:vertAlign w:val="baseline"/>
              </w:rPr>
            </w:pPr>
          </w:p>
          <w:p w:rsidR="00F1062D">
            <w:pPr>
              <w:jc w:val="center"/>
              <w:rPr>
                <w:rStyle w:val="WW-Znakyprepoznmkupodiarou"/>
                <w:rFonts w:ascii="Times New Roman" w:hAnsi="Times New Roman" w:cs="Times New Roman"/>
                <w:sz w:val="20"/>
                <w:szCs w:val="24"/>
                <w:vertAlign w:val="baseline"/>
              </w:rPr>
            </w:pPr>
            <w:r>
              <w:rPr>
                <w:rStyle w:val="WW-Znakyprepoznmkupodiarou"/>
                <w:rFonts w:ascii="Times New Roman" w:hAnsi="Times New Roman" w:cs="Times New Roman"/>
                <w:sz w:val="20"/>
                <w:szCs w:val="24"/>
                <w:vertAlign w:val="baseline"/>
              </w:rPr>
              <w:t>§ 13</w:t>
            </w:r>
          </w:p>
          <w:p w:rsidR="00F1062D">
            <w:pPr>
              <w:jc w:val="center"/>
              <w:rPr>
                <w:rStyle w:val="WW-Znakyprepoznmkupodiarou"/>
                <w:rFonts w:ascii="Times New Roman" w:hAnsi="Times New Roman" w:cs="Times New Roman"/>
                <w:sz w:val="20"/>
                <w:szCs w:val="24"/>
                <w:vertAlign w:val="baseline"/>
              </w:rPr>
            </w:pPr>
            <w:r>
              <w:rPr>
                <w:rStyle w:val="WW-Znakyprepoznmkupodiarou"/>
                <w:rFonts w:ascii="Times New Roman" w:hAnsi="Times New Roman" w:cs="Times New Roman"/>
                <w:sz w:val="20"/>
                <w:szCs w:val="24"/>
                <w:vertAlign w:val="baseline"/>
              </w:rPr>
              <w:t>O: 5</w:t>
            </w:r>
          </w:p>
          <w:p w:rsidR="00F1062D">
            <w:pPr>
              <w:jc w:val="center"/>
              <w:rPr>
                <w:rStyle w:val="WW-Znakyprepoznmkupodiarou"/>
                <w:rFonts w:ascii="Times New Roman" w:hAnsi="Times New Roman" w:cs="Times New Roman"/>
                <w:sz w:val="20"/>
                <w:szCs w:val="24"/>
                <w:vertAlign w:val="baseline"/>
              </w:rPr>
            </w:pPr>
            <w:r>
              <w:rPr>
                <w:rStyle w:val="WW-Znakyprepoznmkupodiarou"/>
                <w:rFonts w:ascii="Times New Roman" w:hAnsi="Times New Roman" w:cs="Times New Roman"/>
                <w:sz w:val="20"/>
                <w:szCs w:val="24"/>
                <w:vertAlign w:val="baseline"/>
              </w:rPr>
              <w:t>V:2</w:t>
            </w:r>
          </w:p>
        </w:tc>
        <w:tc>
          <w:tcPr>
            <w:tcW w:w="36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ind w:right="-2"/>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Zamestnávateľ vedie zoznam zamestnancov exponovaných konkrétnym karcinogénom a mutagénom, spolu so záznamom o výsledkoch expozície, ak sú dostupné a so záznamom o každej mimoriadnej udalosti, ktorá by mohla zvýšiť mieru expozície karcinogénom a mutagénom; uchováva ich najmenej 40 rokov od skončenia práce. </w:t>
            </w:r>
          </w:p>
          <w:p w:rsidR="00F1062D">
            <w:pPr>
              <w:ind w:right="-2"/>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Zdravotná dokumentácia sa uchováva po dobu 40 rokov od ukonč</w:t>
            </w:r>
            <w:r>
              <w:rPr>
                <w:rStyle w:val="DefaultParagraphFont"/>
                <w:rFonts w:ascii="Times New Roman" w:hAnsi="Times New Roman" w:cs="Times New Roman"/>
                <w:sz w:val="20"/>
                <w:szCs w:val="24"/>
              </w:rPr>
              <w:t xml:space="preserve">enia práce, pri ktorej je riziko expozície karcinogénom a mutagénom. </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U</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MZ SR</w:t>
            </w: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suppressAutoHyphens/>
              <w:jc w:val="left"/>
              <w:rPr>
                <w:rStyle w:val="DefaultParagraphFont"/>
                <w:rFonts w:ascii="Times New Roman" w:hAnsi="Times New Roman" w:cs="Times New Roman"/>
                <w:b w:val="0"/>
                <w:sz w:val="20"/>
                <w:szCs w:val="24"/>
              </w:rPr>
            </w:pPr>
          </w:p>
        </w:tc>
        <w:tc>
          <w:tcPr>
            <w:tcW w:w="140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suppressAutoHyphens/>
              <w:jc w:val="both"/>
              <w:rPr>
                <w:rStyle w:val="DefaultParagraphFont"/>
                <w:rFonts w:ascii="Times New Roman" w:hAnsi="Times New Roman" w:cs="Times New Roman"/>
                <w:b w:val="0"/>
                <w:sz w:val="20"/>
                <w:szCs w:val="24"/>
              </w:rPr>
            </w:pPr>
          </w:p>
        </w:tc>
      </w:tr>
      <w:tr>
        <w:tblPrEx>
          <w:tblW w:w="16160" w:type="dxa"/>
          <w:tblInd w:w="-497" w:type="dxa"/>
          <w:tblLayout w:type="fixed"/>
          <w:tblCellMar>
            <w:top w:w="0" w:type="dxa"/>
            <w:left w:w="43" w:type="dxa"/>
            <w:bottom w:w="0" w:type="dxa"/>
            <w:right w:w="43" w:type="dxa"/>
          </w:tblCellMar>
        </w:tblPrEx>
        <w:trPr>
          <w:trHeight w:hRule="auto" w:val="0"/>
        </w:trPr>
        <w:tc>
          <w:tcPr>
            <w:tcW w:w="89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Č:15</w:t>
            </w:r>
          </w:p>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O:2</w:t>
            </w:r>
          </w:p>
        </w:tc>
        <w:tc>
          <w:tcPr>
            <w:tcW w:w="342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 súlade s vnútroštátnou legislatívou a/alebo praxou tieto dokumenty budú dostupné kompetentnému úradu v prípadoch, kedy podnik ukončí svoju činnosť.  </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16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Nariadenie vlády</w:t>
            </w:r>
          </w:p>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SR č. 356/2006 Z.z.</w:t>
            </w: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WW-Znakyprepoznmkupodiarou"/>
                <w:rFonts w:ascii="Times New Roman" w:hAnsi="Times New Roman" w:cs="Times New Roman"/>
                <w:sz w:val="20"/>
                <w:szCs w:val="24"/>
                <w:vertAlign w:val="baseline"/>
              </w:rPr>
            </w:pPr>
            <w:r>
              <w:rPr>
                <w:rStyle w:val="WW-Znakyprepoznmkupodiarou"/>
                <w:rFonts w:ascii="Times New Roman" w:hAnsi="Times New Roman" w:cs="Times New Roman"/>
                <w:sz w:val="20"/>
                <w:szCs w:val="24"/>
                <w:vertAlign w:val="baseline"/>
              </w:rPr>
              <w:t>§ 12</w:t>
            </w:r>
          </w:p>
          <w:p w:rsidR="00F1062D">
            <w:pPr>
              <w:jc w:val="center"/>
              <w:rPr>
                <w:rStyle w:val="WW-Znakyprepoznmkupodiarou"/>
                <w:rFonts w:ascii="Times New Roman" w:hAnsi="Times New Roman" w:cs="Times New Roman"/>
                <w:sz w:val="20"/>
                <w:szCs w:val="24"/>
                <w:vertAlign w:val="baseline"/>
              </w:rPr>
            </w:pPr>
            <w:r>
              <w:rPr>
                <w:rStyle w:val="WW-Znakyprepoznmkupodiarou"/>
                <w:rFonts w:ascii="Times New Roman" w:hAnsi="Times New Roman" w:cs="Times New Roman"/>
                <w:sz w:val="20"/>
                <w:szCs w:val="24"/>
                <w:vertAlign w:val="baseline"/>
              </w:rPr>
              <w:t>O: 3</w:t>
            </w:r>
          </w:p>
          <w:p w:rsidR="00F1062D">
            <w:pPr>
              <w:jc w:val="center"/>
              <w:rPr>
                <w:rStyle w:val="WW-Znakyprepoznmkupodiarou"/>
                <w:rFonts w:ascii="Times New Roman" w:hAnsi="Times New Roman" w:cs="Times New Roman"/>
                <w:sz w:val="20"/>
                <w:szCs w:val="24"/>
                <w:vertAlign w:val="baseline"/>
              </w:rPr>
            </w:pPr>
            <w:r>
              <w:rPr>
                <w:rStyle w:val="WW-Znakyprepoznmkupodiarou"/>
                <w:rFonts w:ascii="Times New Roman" w:hAnsi="Times New Roman" w:cs="Times New Roman"/>
                <w:sz w:val="20"/>
                <w:szCs w:val="24"/>
                <w:vertAlign w:val="baseline"/>
              </w:rPr>
              <w:t>V: 2</w:t>
            </w:r>
          </w:p>
          <w:p w:rsidR="00F1062D">
            <w:pPr>
              <w:jc w:val="center"/>
              <w:rPr>
                <w:rStyle w:val="WW-Znakyprepoznmkupodiarou"/>
                <w:rFonts w:ascii="Times New Roman" w:hAnsi="Times New Roman" w:cs="Times New Roman"/>
                <w:sz w:val="20"/>
                <w:szCs w:val="24"/>
                <w:vertAlign w:val="baseline"/>
              </w:rPr>
            </w:pPr>
          </w:p>
          <w:p w:rsidR="00F1062D">
            <w:pPr>
              <w:jc w:val="center"/>
              <w:rPr>
                <w:rStyle w:val="WW-Znakyprepoznmkupodiarou"/>
                <w:rFonts w:ascii="Times New Roman" w:hAnsi="Times New Roman" w:cs="Times New Roman"/>
                <w:sz w:val="20"/>
                <w:szCs w:val="24"/>
                <w:vertAlign w:val="baseline"/>
              </w:rPr>
            </w:pPr>
          </w:p>
          <w:p w:rsidR="00F1062D">
            <w:pPr>
              <w:jc w:val="center"/>
              <w:rPr>
                <w:rStyle w:val="WW-Znakyprepoznmkupodiarou"/>
                <w:rFonts w:ascii="Times New Roman" w:hAnsi="Times New Roman" w:cs="Times New Roman"/>
                <w:sz w:val="20"/>
                <w:szCs w:val="24"/>
                <w:vertAlign w:val="baseline"/>
              </w:rPr>
            </w:pPr>
            <w:r>
              <w:rPr>
                <w:rStyle w:val="WW-Znakyprepoznmkupodiarou"/>
                <w:rFonts w:ascii="Times New Roman" w:hAnsi="Times New Roman" w:cs="Times New Roman"/>
                <w:sz w:val="20"/>
                <w:szCs w:val="24"/>
                <w:vertAlign w:val="baseline"/>
              </w:rPr>
              <w:t>§ 13</w:t>
            </w:r>
          </w:p>
          <w:p w:rsidR="00F1062D">
            <w:pPr>
              <w:jc w:val="center"/>
              <w:rPr>
                <w:rStyle w:val="WW-Znakyprepoznmkupodiarou"/>
                <w:rFonts w:ascii="Times New Roman" w:hAnsi="Times New Roman" w:cs="Times New Roman"/>
                <w:sz w:val="20"/>
                <w:szCs w:val="24"/>
                <w:vertAlign w:val="baseline"/>
              </w:rPr>
            </w:pPr>
            <w:r>
              <w:rPr>
                <w:rStyle w:val="WW-Znakyprepoznmkupodiarou"/>
                <w:rFonts w:ascii="Times New Roman" w:hAnsi="Times New Roman" w:cs="Times New Roman"/>
                <w:sz w:val="20"/>
                <w:szCs w:val="24"/>
                <w:vertAlign w:val="baseline"/>
              </w:rPr>
              <w:t>O: 5</w:t>
            </w:r>
          </w:p>
          <w:p w:rsidR="00F1062D">
            <w:pPr>
              <w:jc w:val="center"/>
              <w:rPr>
                <w:rStyle w:val="WW-Znakyprepoznmkupodiarou"/>
                <w:rFonts w:ascii="Times New Roman" w:hAnsi="Times New Roman" w:cs="Times New Roman"/>
                <w:szCs w:val="24"/>
                <w:vertAlign w:val="baseline"/>
              </w:rPr>
            </w:pPr>
            <w:r>
              <w:rPr>
                <w:rStyle w:val="WW-Znakyprepoznmkupodiarou"/>
                <w:rFonts w:ascii="Times New Roman" w:hAnsi="Times New Roman" w:cs="Times New Roman"/>
                <w:sz w:val="20"/>
                <w:szCs w:val="24"/>
                <w:vertAlign w:val="baseline"/>
              </w:rPr>
              <w:t>V: 3</w:t>
            </w:r>
          </w:p>
        </w:tc>
        <w:tc>
          <w:tcPr>
            <w:tcW w:w="36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ind w:right="-2"/>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K zoznamu a záznamom má prístup lekár poskytujúci závodné zdravotné služby, orgány verejného zdravotníctva, ako aj všetky osoby zodpovedné za ochranu zdravia a bezpečnosť pri práci.</w:t>
            </w:r>
          </w:p>
          <w:p w:rsidR="00F1062D">
            <w:pPr>
              <w:ind w:right="-2"/>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Výpis zo zdravotnej dokumentácie sa na požiadanie poskytne lekárovi zamestnanca a príslušnému orgánu verejného zdravotníctva</w:t>
            </w:r>
            <w:r>
              <w:rPr>
                <w:rStyle w:val="FootnoteReference"/>
                <w:rFonts w:ascii="Times New Roman" w:hAnsi="Times New Roman" w:cs="Times New Roman"/>
                <w:sz w:val="20"/>
                <w:szCs w:val="24"/>
                <w:rtl w:val="0"/>
              </w:rPr>
              <w:footnoteReference w:customMarkFollows="1" w:id="24"/>
              <w:t xml:space="preserve">7</w:t>
            </w:r>
            <w:r>
              <w:rPr>
                <w:rStyle w:val="FootnoteReference"/>
                <w:rFonts w:ascii="Times New Roman" w:hAnsi="Times New Roman" w:cs="Times New Roman"/>
                <w:sz w:val="20"/>
                <w:szCs w:val="24"/>
              </w:rPr>
              <w:t>)</w:t>
            </w:r>
            <w:r>
              <w:rPr>
                <w:rStyle w:val="DefaultParagraphFont"/>
                <w:rFonts w:ascii="Times New Roman" w:hAnsi="Times New Roman" w:cs="Times New Roman"/>
                <w:sz w:val="20"/>
                <w:szCs w:val="24"/>
              </w:rPr>
              <w:t>.</w:t>
            </w:r>
          </w:p>
          <w:p w:rsidR="00F1062D">
            <w:pPr>
              <w:jc w:val="both"/>
              <w:rPr>
                <w:rStyle w:val="DefaultParagraphFont"/>
                <w:rFonts w:ascii="Times New Roman" w:hAnsi="Times New Roman" w:cs="Times New Roman"/>
                <w:sz w:val="20"/>
                <w:szCs w:val="24"/>
              </w:rPr>
            </w:pP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U</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MZ SR</w:t>
            </w: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suppressAutoHyphens/>
              <w:jc w:val="left"/>
              <w:rPr>
                <w:rStyle w:val="DefaultParagraphFont"/>
                <w:rFonts w:ascii="Times New Roman" w:hAnsi="Times New Roman" w:cs="Times New Roman"/>
                <w:b w:val="0"/>
                <w:sz w:val="20"/>
                <w:szCs w:val="24"/>
              </w:rPr>
            </w:pPr>
          </w:p>
        </w:tc>
        <w:tc>
          <w:tcPr>
            <w:tcW w:w="140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suppressAutoHyphens/>
              <w:jc w:val="both"/>
              <w:rPr>
                <w:rStyle w:val="DefaultParagraphFont"/>
                <w:rFonts w:ascii="Times New Roman" w:hAnsi="Times New Roman" w:cs="Times New Roman"/>
                <w:b w:val="0"/>
                <w:sz w:val="20"/>
                <w:szCs w:val="24"/>
              </w:rPr>
            </w:pPr>
          </w:p>
        </w:tc>
      </w:tr>
      <w:tr>
        <w:tblPrEx>
          <w:tblW w:w="16160" w:type="dxa"/>
          <w:tblInd w:w="-497" w:type="dxa"/>
          <w:tblLayout w:type="fixed"/>
          <w:tblCellMar>
            <w:top w:w="0" w:type="dxa"/>
            <w:left w:w="43" w:type="dxa"/>
            <w:bottom w:w="0" w:type="dxa"/>
            <w:right w:w="43" w:type="dxa"/>
          </w:tblCellMar>
        </w:tblPrEx>
        <w:trPr>
          <w:trHeight w:hRule="auto" w:val="0"/>
        </w:trPr>
        <w:tc>
          <w:tcPr>
            <w:tcW w:w="89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Č:16</w:t>
            </w:r>
          </w:p>
        </w:tc>
        <w:tc>
          <w:tcPr>
            <w:tcW w:w="342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both"/>
              <w:rPr>
                <w:rStyle w:val="DefaultParagraphFont"/>
                <w:rFonts w:ascii="Times New Roman" w:hAnsi="Times New Roman" w:cs="Times New Roman"/>
                <w:b/>
                <w:sz w:val="20"/>
                <w:szCs w:val="24"/>
              </w:rPr>
            </w:pPr>
            <w:r>
              <w:rPr>
                <w:rStyle w:val="DefaultParagraphFont"/>
                <w:rFonts w:ascii="Times New Roman" w:hAnsi="Times New Roman" w:cs="Times New Roman"/>
                <w:b/>
                <w:sz w:val="20"/>
                <w:szCs w:val="24"/>
              </w:rPr>
              <w:t>Limitné hodnoty</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16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Normlny"/>
              <w:jc w:val="center"/>
              <w:rPr>
                <w:rStyle w:val="DefaultParagraphFont"/>
                <w:rFonts w:ascii="Times New Roman" w:hAnsi="Times New Roman" w:cs="Times New Roman"/>
                <w:szCs w:val="24"/>
              </w:rPr>
            </w:pPr>
          </w:p>
        </w:tc>
        <w:tc>
          <w:tcPr>
            <w:tcW w:w="36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Normlny"/>
              <w:jc w:val="both"/>
              <w:rPr>
                <w:rStyle w:val="DefaultParagraphFont"/>
                <w:rFonts w:ascii="Times New Roman" w:hAnsi="Times New Roman" w:cs="Times New Roman"/>
                <w:szCs w:val="24"/>
              </w:rPr>
            </w:pP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suppressAutoHyphens/>
              <w:jc w:val="left"/>
              <w:rPr>
                <w:rStyle w:val="DefaultParagraphFont"/>
                <w:rFonts w:ascii="Times New Roman" w:hAnsi="Times New Roman" w:cs="Times New Roman"/>
                <w:b w:val="0"/>
                <w:sz w:val="20"/>
                <w:szCs w:val="24"/>
              </w:rPr>
            </w:pPr>
          </w:p>
        </w:tc>
        <w:tc>
          <w:tcPr>
            <w:tcW w:w="140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suppressAutoHyphens/>
              <w:jc w:val="both"/>
              <w:rPr>
                <w:rStyle w:val="DefaultParagraphFont"/>
                <w:rFonts w:ascii="Times New Roman" w:hAnsi="Times New Roman" w:cs="Times New Roman"/>
                <w:b w:val="0"/>
                <w:sz w:val="20"/>
                <w:szCs w:val="24"/>
              </w:rPr>
            </w:pPr>
          </w:p>
        </w:tc>
      </w:tr>
      <w:tr>
        <w:tblPrEx>
          <w:tblW w:w="16160" w:type="dxa"/>
          <w:tblInd w:w="-497" w:type="dxa"/>
          <w:tblLayout w:type="fixed"/>
          <w:tblCellMar>
            <w:top w:w="0" w:type="dxa"/>
            <w:left w:w="43" w:type="dxa"/>
            <w:bottom w:w="0" w:type="dxa"/>
            <w:right w:w="43" w:type="dxa"/>
          </w:tblCellMar>
        </w:tblPrEx>
        <w:trPr>
          <w:trHeight w:hRule="auto" w:val="0"/>
        </w:trPr>
        <w:tc>
          <w:tcPr>
            <w:tcW w:w="89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Č:16</w:t>
            </w:r>
          </w:p>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O:1</w:t>
            </w:r>
          </w:p>
        </w:tc>
        <w:tc>
          <w:tcPr>
            <w:tcW w:w="342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Rada v súlade s postupom uvedeným v  článku 137(2) Zmluvy stanoví v smerniciach limitné hodnoty na základe dostupných informácií vrátane vedeckých a technických údajov, pre všetky karcinogény alebo mutagény,  pre ktoré je to možné a kde je to potrebné vydá ďalšie priamo súvisiace ustanovenia. </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n.a.</w:t>
            </w:r>
          </w:p>
        </w:tc>
        <w:tc>
          <w:tcPr>
            <w:tcW w:w="16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Normlny"/>
              <w:jc w:val="center"/>
              <w:rPr>
                <w:rStyle w:val="DefaultParagraphFont"/>
                <w:rFonts w:ascii="Times New Roman" w:hAnsi="Times New Roman" w:cs="Times New Roman"/>
                <w:szCs w:val="24"/>
              </w:rPr>
            </w:pPr>
          </w:p>
        </w:tc>
        <w:tc>
          <w:tcPr>
            <w:tcW w:w="36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Normlny"/>
              <w:jc w:val="both"/>
              <w:rPr>
                <w:rStyle w:val="DefaultParagraphFont"/>
                <w:rFonts w:ascii="Times New Roman" w:hAnsi="Times New Roman" w:cs="Times New Roman"/>
                <w:szCs w:val="24"/>
              </w:rPr>
            </w:pP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suppressAutoHyphens/>
              <w:jc w:val="left"/>
              <w:rPr>
                <w:rStyle w:val="DefaultParagraphFont"/>
                <w:rFonts w:ascii="Times New Roman" w:hAnsi="Times New Roman" w:cs="Times New Roman"/>
                <w:b w:val="0"/>
                <w:sz w:val="20"/>
                <w:szCs w:val="24"/>
              </w:rPr>
            </w:pPr>
          </w:p>
        </w:tc>
        <w:tc>
          <w:tcPr>
            <w:tcW w:w="140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suppressAutoHyphens/>
              <w:jc w:val="both"/>
              <w:rPr>
                <w:rStyle w:val="DefaultParagraphFont"/>
                <w:rFonts w:ascii="Times New Roman" w:hAnsi="Times New Roman" w:cs="Times New Roman"/>
                <w:b w:val="0"/>
                <w:sz w:val="20"/>
                <w:szCs w:val="24"/>
              </w:rPr>
            </w:pPr>
          </w:p>
        </w:tc>
      </w:tr>
      <w:tr>
        <w:tblPrEx>
          <w:tblW w:w="16160" w:type="dxa"/>
          <w:tblInd w:w="-497" w:type="dxa"/>
          <w:tblLayout w:type="fixed"/>
          <w:tblCellMar>
            <w:top w:w="0" w:type="dxa"/>
            <w:left w:w="43" w:type="dxa"/>
            <w:bottom w:w="0" w:type="dxa"/>
            <w:right w:w="43" w:type="dxa"/>
          </w:tblCellMar>
        </w:tblPrEx>
        <w:trPr>
          <w:trHeight w:hRule="auto" w:val="0"/>
        </w:trPr>
        <w:tc>
          <w:tcPr>
            <w:tcW w:w="89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Č:16</w:t>
            </w:r>
          </w:p>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O:2</w:t>
            </w:r>
          </w:p>
        </w:tc>
        <w:tc>
          <w:tcPr>
            <w:tcW w:w="342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Limitné hodnoty a ďalšie priamo súvisiace ustanovenia sú uvedené v prílohe  III.</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n.a.</w:t>
            </w:r>
          </w:p>
        </w:tc>
        <w:tc>
          <w:tcPr>
            <w:tcW w:w="16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Normlny"/>
              <w:jc w:val="center"/>
              <w:rPr>
                <w:rStyle w:val="DefaultParagraphFont"/>
                <w:rFonts w:ascii="Times New Roman" w:hAnsi="Times New Roman" w:cs="Times New Roman"/>
                <w:szCs w:val="24"/>
              </w:rPr>
            </w:pPr>
          </w:p>
        </w:tc>
        <w:tc>
          <w:tcPr>
            <w:tcW w:w="36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Normlny"/>
              <w:jc w:val="both"/>
              <w:rPr>
                <w:rStyle w:val="DefaultParagraphFont"/>
                <w:rFonts w:ascii="Times New Roman" w:hAnsi="Times New Roman" w:cs="Times New Roman"/>
                <w:szCs w:val="24"/>
              </w:rPr>
            </w:pP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suppressAutoHyphens/>
              <w:jc w:val="left"/>
              <w:rPr>
                <w:rStyle w:val="DefaultParagraphFont"/>
                <w:rFonts w:ascii="Times New Roman" w:hAnsi="Times New Roman" w:cs="Times New Roman"/>
                <w:b w:val="0"/>
                <w:sz w:val="20"/>
                <w:szCs w:val="24"/>
              </w:rPr>
            </w:pPr>
          </w:p>
        </w:tc>
        <w:tc>
          <w:tcPr>
            <w:tcW w:w="140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suppressAutoHyphens/>
              <w:jc w:val="both"/>
              <w:rPr>
                <w:rStyle w:val="DefaultParagraphFont"/>
                <w:rFonts w:ascii="Times New Roman" w:hAnsi="Times New Roman" w:cs="Times New Roman"/>
                <w:b w:val="0"/>
                <w:sz w:val="20"/>
                <w:szCs w:val="24"/>
              </w:rPr>
            </w:pPr>
          </w:p>
        </w:tc>
      </w:tr>
      <w:tr>
        <w:tblPrEx>
          <w:tblW w:w="16160" w:type="dxa"/>
          <w:tblInd w:w="-497" w:type="dxa"/>
          <w:tblLayout w:type="fixed"/>
          <w:tblCellMar>
            <w:top w:w="0" w:type="dxa"/>
            <w:left w:w="43" w:type="dxa"/>
            <w:bottom w:w="0" w:type="dxa"/>
            <w:right w:w="43" w:type="dxa"/>
          </w:tblCellMar>
        </w:tblPrEx>
        <w:trPr>
          <w:trHeight w:hRule="auto" w:val="0"/>
        </w:trPr>
        <w:tc>
          <w:tcPr>
            <w:tcW w:w="89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Č:17</w:t>
            </w:r>
          </w:p>
        </w:tc>
        <w:tc>
          <w:tcPr>
            <w:tcW w:w="342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both"/>
              <w:rPr>
                <w:rStyle w:val="DefaultParagraphFont"/>
                <w:rFonts w:ascii="Times New Roman" w:hAnsi="Times New Roman" w:cs="Times New Roman"/>
                <w:b/>
                <w:sz w:val="20"/>
                <w:szCs w:val="24"/>
              </w:rPr>
            </w:pPr>
            <w:r>
              <w:rPr>
                <w:rStyle w:val="DefaultParagraphFont"/>
                <w:rFonts w:ascii="Times New Roman" w:hAnsi="Times New Roman" w:cs="Times New Roman"/>
                <w:b/>
                <w:sz w:val="20"/>
                <w:szCs w:val="24"/>
              </w:rPr>
              <w:t>Prílohy</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16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Normlny"/>
              <w:jc w:val="center"/>
              <w:rPr>
                <w:rStyle w:val="DefaultParagraphFont"/>
                <w:rFonts w:ascii="Times New Roman" w:hAnsi="Times New Roman" w:cs="Times New Roman"/>
                <w:szCs w:val="24"/>
              </w:rPr>
            </w:pPr>
          </w:p>
        </w:tc>
        <w:tc>
          <w:tcPr>
            <w:tcW w:w="36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Normlny"/>
              <w:jc w:val="both"/>
              <w:rPr>
                <w:rStyle w:val="DefaultParagraphFont"/>
                <w:rFonts w:ascii="Times New Roman" w:hAnsi="Times New Roman" w:cs="Times New Roman"/>
                <w:szCs w:val="24"/>
              </w:rPr>
            </w:pP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suppressAutoHyphens/>
              <w:jc w:val="left"/>
              <w:rPr>
                <w:rStyle w:val="DefaultParagraphFont"/>
                <w:rFonts w:ascii="Times New Roman" w:hAnsi="Times New Roman" w:cs="Times New Roman"/>
                <w:b w:val="0"/>
                <w:sz w:val="20"/>
                <w:szCs w:val="24"/>
              </w:rPr>
            </w:pPr>
          </w:p>
        </w:tc>
        <w:tc>
          <w:tcPr>
            <w:tcW w:w="140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suppressAutoHyphens/>
              <w:jc w:val="both"/>
              <w:rPr>
                <w:rStyle w:val="DefaultParagraphFont"/>
                <w:rFonts w:ascii="Times New Roman" w:hAnsi="Times New Roman" w:cs="Times New Roman"/>
                <w:b w:val="0"/>
                <w:sz w:val="20"/>
                <w:szCs w:val="24"/>
              </w:rPr>
            </w:pPr>
          </w:p>
        </w:tc>
      </w:tr>
      <w:tr>
        <w:tblPrEx>
          <w:tblW w:w="16160" w:type="dxa"/>
          <w:tblInd w:w="-497" w:type="dxa"/>
          <w:tblLayout w:type="fixed"/>
          <w:tblCellMar>
            <w:top w:w="0" w:type="dxa"/>
            <w:left w:w="43" w:type="dxa"/>
            <w:bottom w:w="0" w:type="dxa"/>
            <w:right w:w="43" w:type="dxa"/>
          </w:tblCellMar>
        </w:tblPrEx>
        <w:trPr>
          <w:trHeight w:hRule="auto" w:val="0"/>
        </w:trPr>
        <w:tc>
          <w:tcPr>
            <w:tcW w:w="89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Č:17</w:t>
            </w:r>
          </w:p>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O:1</w:t>
            </w:r>
          </w:p>
        </w:tc>
        <w:tc>
          <w:tcPr>
            <w:tcW w:w="342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Prílohy  I a III môžu byť pozmenené a doplnené iba v súlade s postupom uvedeným v článku 137(2) Zmluvy.</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n.a.</w:t>
            </w:r>
          </w:p>
        </w:tc>
        <w:tc>
          <w:tcPr>
            <w:tcW w:w="16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Normlny"/>
              <w:jc w:val="center"/>
              <w:rPr>
                <w:rStyle w:val="DefaultParagraphFont"/>
                <w:rFonts w:ascii="Times New Roman" w:hAnsi="Times New Roman" w:cs="Times New Roman"/>
                <w:szCs w:val="24"/>
              </w:rPr>
            </w:pPr>
          </w:p>
        </w:tc>
        <w:tc>
          <w:tcPr>
            <w:tcW w:w="36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Normlny"/>
              <w:jc w:val="both"/>
              <w:rPr>
                <w:rStyle w:val="DefaultParagraphFont"/>
                <w:rFonts w:ascii="Times New Roman" w:hAnsi="Times New Roman" w:cs="Times New Roman"/>
                <w:szCs w:val="24"/>
              </w:rPr>
            </w:pP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suppressAutoHyphens/>
              <w:jc w:val="left"/>
              <w:rPr>
                <w:rStyle w:val="DefaultParagraphFont"/>
                <w:rFonts w:ascii="Times New Roman" w:hAnsi="Times New Roman" w:cs="Times New Roman"/>
                <w:b w:val="0"/>
                <w:sz w:val="20"/>
                <w:szCs w:val="24"/>
              </w:rPr>
            </w:pPr>
          </w:p>
        </w:tc>
        <w:tc>
          <w:tcPr>
            <w:tcW w:w="140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suppressAutoHyphens/>
              <w:jc w:val="both"/>
              <w:rPr>
                <w:rStyle w:val="DefaultParagraphFont"/>
                <w:rFonts w:ascii="Times New Roman" w:hAnsi="Times New Roman" w:cs="Times New Roman"/>
                <w:b w:val="0"/>
                <w:sz w:val="20"/>
                <w:szCs w:val="24"/>
              </w:rPr>
            </w:pPr>
          </w:p>
        </w:tc>
      </w:tr>
      <w:tr>
        <w:tblPrEx>
          <w:tblW w:w="16160" w:type="dxa"/>
          <w:tblInd w:w="-497" w:type="dxa"/>
          <w:tblLayout w:type="fixed"/>
          <w:tblCellMar>
            <w:top w:w="0" w:type="dxa"/>
            <w:left w:w="43" w:type="dxa"/>
            <w:bottom w:w="0" w:type="dxa"/>
            <w:right w:w="43" w:type="dxa"/>
          </w:tblCellMar>
        </w:tblPrEx>
        <w:trPr>
          <w:trHeight w:hRule="auto" w:val="0"/>
        </w:trPr>
        <w:tc>
          <w:tcPr>
            <w:tcW w:w="89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Č:17</w:t>
            </w:r>
          </w:p>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O:2</w:t>
            </w:r>
          </w:p>
        </w:tc>
        <w:tc>
          <w:tcPr>
            <w:tcW w:w="342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BodyTextIndent"/>
              <w:ind w:left="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Čisto technické prispôsobenia prílohy II v zmysle technického pokroku, zmien v  medzinárodných predpisov alebo špecifikáciach a nových zistení v  oblasti karcinogénov alebo mutagénov budú prijaté v súlade s postupom uvedeným v  článku 17 smernice 89/391/EHS</w:t>
            </w:r>
            <w:r>
              <w:rPr>
                <w:rStyle w:val="DefaultParagraphFont"/>
                <w:rFonts w:ascii="Times New Roman" w:hAnsi="Times New Roman" w:cs="Times New Roman"/>
                <w:sz w:val="20"/>
                <w:szCs w:val="24"/>
              </w:rPr>
              <w:t>.</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n.a.</w:t>
            </w:r>
          </w:p>
        </w:tc>
        <w:tc>
          <w:tcPr>
            <w:tcW w:w="16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Normlny"/>
              <w:jc w:val="center"/>
              <w:rPr>
                <w:rStyle w:val="DefaultParagraphFont"/>
                <w:rFonts w:ascii="Times New Roman" w:hAnsi="Times New Roman" w:cs="Times New Roman"/>
                <w:szCs w:val="24"/>
              </w:rPr>
            </w:pPr>
          </w:p>
        </w:tc>
        <w:tc>
          <w:tcPr>
            <w:tcW w:w="36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Normlny"/>
              <w:jc w:val="both"/>
              <w:rPr>
                <w:rStyle w:val="DefaultParagraphFont"/>
                <w:rFonts w:ascii="Times New Roman" w:hAnsi="Times New Roman" w:cs="Times New Roman"/>
                <w:szCs w:val="24"/>
              </w:rPr>
            </w:pP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suppressAutoHyphens/>
              <w:jc w:val="left"/>
              <w:rPr>
                <w:rStyle w:val="DefaultParagraphFont"/>
                <w:rFonts w:ascii="Times New Roman" w:hAnsi="Times New Roman" w:cs="Times New Roman"/>
                <w:b w:val="0"/>
                <w:sz w:val="20"/>
                <w:szCs w:val="24"/>
              </w:rPr>
            </w:pPr>
          </w:p>
        </w:tc>
        <w:tc>
          <w:tcPr>
            <w:tcW w:w="140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suppressAutoHyphens/>
              <w:jc w:val="both"/>
              <w:rPr>
                <w:rStyle w:val="DefaultParagraphFont"/>
                <w:rFonts w:ascii="Times New Roman" w:hAnsi="Times New Roman" w:cs="Times New Roman"/>
                <w:b w:val="0"/>
                <w:sz w:val="20"/>
                <w:szCs w:val="24"/>
              </w:rPr>
            </w:pPr>
          </w:p>
        </w:tc>
      </w:tr>
      <w:tr>
        <w:tblPrEx>
          <w:tblW w:w="16160" w:type="dxa"/>
          <w:tblInd w:w="-497" w:type="dxa"/>
          <w:tblLayout w:type="fixed"/>
          <w:tblCellMar>
            <w:top w:w="0" w:type="dxa"/>
            <w:left w:w="43" w:type="dxa"/>
            <w:bottom w:w="0" w:type="dxa"/>
            <w:right w:w="43" w:type="dxa"/>
          </w:tblCellMar>
        </w:tblPrEx>
        <w:trPr>
          <w:trHeight w:hRule="auto" w:val="0"/>
        </w:trPr>
        <w:tc>
          <w:tcPr>
            <w:tcW w:w="89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Č:18</w:t>
            </w:r>
          </w:p>
        </w:tc>
        <w:tc>
          <w:tcPr>
            <w:tcW w:w="342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rPr>
                <w:rStyle w:val="DefaultParagraphFont"/>
                <w:rFonts w:ascii="Times New Roman" w:hAnsi="Times New Roman" w:cs="Times New Roman"/>
                <w:b/>
                <w:sz w:val="20"/>
                <w:szCs w:val="24"/>
              </w:rPr>
            </w:pPr>
            <w:r>
              <w:rPr>
                <w:rStyle w:val="DefaultParagraphFont"/>
                <w:rFonts w:ascii="Times New Roman" w:hAnsi="Times New Roman" w:cs="Times New Roman"/>
                <w:b/>
                <w:sz w:val="20"/>
                <w:szCs w:val="24"/>
              </w:rPr>
              <w:t>Využívanie  údajov</w:t>
            </w:r>
          </w:p>
          <w:p w:rsidR="00F1062D">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Komisia bude mať prístup k využívaniu informácií, ktoré poskytnú kompetentné národné úrady, podľa článku 14 (8).</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n.a.</w:t>
            </w:r>
          </w:p>
        </w:tc>
        <w:tc>
          <w:tcPr>
            <w:tcW w:w="16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Normlny"/>
              <w:jc w:val="center"/>
              <w:rPr>
                <w:rStyle w:val="DefaultParagraphFont"/>
                <w:rFonts w:ascii="Times New Roman" w:hAnsi="Times New Roman" w:cs="Times New Roman"/>
                <w:szCs w:val="24"/>
              </w:rPr>
            </w:pPr>
          </w:p>
        </w:tc>
        <w:tc>
          <w:tcPr>
            <w:tcW w:w="36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Normlny"/>
              <w:jc w:val="both"/>
              <w:rPr>
                <w:rStyle w:val="DefaultParagraphFont"/>
                <w:rFonts w:ascii="Times New Roman" w:hAnsi="Times New Roman" w:cs="Times New Roman"/>
                <w:szCs w:val="24"/>
              </w:rPr>
            </w:pP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suppressAutoHyphens/>
              <w:jc w:val="left"/>
              <w:rPr>
                <w:rStyle w:val="DefaultParagraphFont"/>
                <w:rFonts w:ascii="Times New Roman" w:hAnsi="Times New Roman" w:cs="Times New Roman"/>
                <w:b w:val="0"/>
                <w:sz w:val="20"/>
                <w:szCs w:val="24"/>
              </w:rPr>
            </w:pPr>
          </w:p>
        </w:tc>
        <w:tc>
          <w:tcPr>
            <w:tcW w:w="140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suppressAutoHyphens/>
              <w:jc w:val="both"/>
              <w:rPr>
                <w:rStyle w:val="DefaultParagraphFont"/>
                <w:rFonts w:ascii="Times New Roman" w:hAnsi="Times New Roman" w:cs="Times New Roman"/>
                <w:b w:val="0"/>
                <w:sz w:val="20"/>
                <w:szCs w:val="24"/>
              </w:rPr>
            </w:pPr>
          </w:p>
        </w:tc>
      </w:tr>
      <w:tr>
        <w:tblPrEx>
          <w:tblW w:w="16160" w:type="dxa"/>
          <w:tblInd w:w="-497" w:type="dxa"/>
          <w:tblLayout w:type="fixed"/>
          <w:tblCellMar>
            <w:top w:w="0" w:type="dxa"/>
            <w:left w:w="43" w:type="dxa"/>
            <w:bottom w:w="0" w:type="dxa"/>
            <w:right w:w="43" w:type="dxa"/>
          </w:tblCellMar>
        </w:tblPrEx>
        <w:trPr>
          <w:trHeight w:hRule="auto" w:val="0"/>
        </w:trPr>
        <w:tc>
          <w:tcPr>
            <w:tcW w:w="89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Č:19</w:t>
            </w:r>
          </w:p>
        </w:tc>
        <w:tc>
          <w:tcPr>
            <w:tcW w:w="342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Normlny"/>
              <w:jc w:val="both"/>
              <w:rPr>
                <w:rStyle w:val="DefaultParagraphFont"/>
                <w:rFonts w:ascii="Times New Roman" w:hAnsi="Times New Roman" w:cs="Times New Roman"/>
                <w:szCs w:val="24"/>
              </w:rPr>
            </w:pPr>
            <w:r>
              <w:rPr>
                <w:rStyle w:val="DefaultParagraphFont"/>
                <w:rFonts w:ascii="Times New Roman" w:hAnsi="Times New Roman" w:cs="Times New Roman"/>
                <w:b/>
                <w:szCs w:val="24"/>
              </w:rPr>
              <w:t>Oznamovanie Komisii</w:t>
            </w:r>
            <w:r>
              <w:rPr>
                <w:rStyle w:val="DefaultParagraphFont"/>
                <w:rFonts w:ascii="Times New Roman" w:hAnsi="Times New Roman" w:cs="Times New Roman"/>
                <w:szCs w:val="24"/>
              </w:rPr>
              <w:t xml:space="preserve"> </w:t>
            </w:r>
          </w:p>
          <w:p w:rsidR="00F1062D">
            <w:pPr>
              <w:pStyle w:val="Normlny"/>
              <w:jc w:val="both"/>
              <w:rPr>
                <w:rStyle w:val="DefaultParagraphFont"/>
                <w:rFonts w:ascii="Times New Roman" w:hAnsi="Times New Roman" w:cs="Times New Roman"/>
                <w:b/>
                <w:szCs w:val="24"/>
              </w:rPr>
            </w:pPr>
            <w:r>
              <w:rPr>
                <w:rStyle w:val="DefaultParagraphFont"/>
                <w:rFonts w:ascii="Times New Roman" w:hAnsi="Times New Roman" w:cs="Times New Roman"/>
                <w:szCs w:val="24"/>
              </w:rPr>
              <w:t>Členské štáty oznámia Komisii ustanovenia vnútroštátneho prá</w:t>
            </w:r>
            <w:r>
              <w:rPr>
                <w:rStyle w:val="DefaultParagraphFont"/>
                <w:rFonts w:ascii="Times New Roman" w:hAnsi="Times New Roman" w:cs="Times New Roman"/>
                <w:szCs w:val="24"/>
              </w:rPr>
              <w:t>vneho poriadku, ktoré príjmu  v oblasti upravenej touto smernicou.</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n.a.</w:t>
            </w:r>
          </w:p>
        </w:tc>
        <w:tc>
          <w:tcPr>
            <w:tcW w:w="16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Normlny"/>
              <w:jc w:val="center"/>
              <w:rPr>
                <w:rStyle w:val="DefaultParagraphFont"/>
                <w:rFonts w:ascii="Times New Roman" w:hAnsi="Times New Roman" w:cs="Times New Roman"/>
                <w:szCs w:val="24"/>
              </w:rPr>
            </w:pPr>
          </w:p>
        </w:tc>
        <w:tc>
          <w:tcPr>
            <w:tcW w:w="36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Normlny"/>
              <w:jc w:val="both"/>
              <w:rPr>
                <w:rStyle w:val="DefaultParagraphFont"/>
                <w:rFonts w:ascii="Times New Roman" w:hAnsi="Times New Roman" w:cs="Times New Roman"/>
                <w:szCs w:val="24"/>
              </w:rPr>
            </w:pP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rPr>
                <w:rStyle w:val="DefaultParagraphFont"/>
                <w:rFonts w:ascii="Times New Roman" w:hAnsi="Times New Roman" w:cs="Times New Roman"/>
                <w:b w:val="0"/>
                <w:sz w:val="20"/>
                <w:szCs w:val="24"/>
              </w:rPr>
            </w:pPr>
          </w:p>
        </w:tc>
        <w:tc>
          <w:tcPr>
            <w:tcW w:w="140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jc w:val="both"/>
              <w:rPr>
                <w:rStyle w:val="DefaultParagraphFont"/>
                <w:rFonts w:ascii="Times New Roman" w:hAnsi="Times New Roman" w:cs="Times New Roman"/>
                <w:b w:val="0"/>
                <w:sz w:val="20"/>
                <w:szCs w:val="24"/>
              </w:rPr>
            </w:pPr>
          </w:p>
        </w:tc>
      </w:tr>
      <w:tr>
        <w:tblPrEx>
          <w:tblW w:w="16160" w:type="dxa"/>
          <w:tblInd w:w="-497" w:type="dxa"/>
          <w:tblLayout w:type="fixed"/>
          <w:tblCellMar>
            <w:top w:w="0" w:type="dxa"/>
            <w:left w:w="43" w:type="dxa"/>
            <w:bottom w:w="0" w:type="dxa"/>
            <w:right w:w="43" w:type="dxa"/>
          </w:tblCellMar>
        </w:tblPrEx>
        <w:trPr>
          <w:trHeight w:hRule="auto" w:val="0"/>
        </w:trPr>
        <w:tc>
          <w:tcPr>
            <w:tcW w:w="89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Č:20</w:t>
            </w:r>
          </w:p>
        </w:tc>
        <w:tc>
          <w:tcPr>
            <w:tcW w:w="342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Normlny"/>
              <w:jc w:val="both"/>
              <w:rPr>
                <w:rStyle w:val="DefaultParagraphFont"/>
                <w:rFonts w:ascii="Times New Roman" w:hAnsi="Times New Roman" w:cs="Times New Roman"/>
                <w:b/>
                <w:szCs w:val="24"/>
              </w:rPr>
            </w:pPr>
            <w:r>
              <w:rPr>
                <w:rStyle w:val="DefaultParagraphFont"/>
                <w:rFonts w:ascii="Times New Roman" w:hAnsi="Times New Roman" w:cs="Times New Roman"/>
                <w:b/>
                <w:szCs w:val="24"/>
              </w:rPr>
              <w:t>Zrušovacie ustanovenie</w:t>
            </w:r>
          </w:p>
          <w:p w:rsidR="00F1062D">
            <w:pPr>
              <w:pStyle w:val="Normlny"/>
              <w:jc w:val="both"/>
              <w:rPr>
                <w:rStyle w:val="DefaultParagraphFont"/>
                <w:rFonts w:ascii="Times New Roman" w:hAnsi="Times New Roman" w:cs="Times New Roman"/>
                <w:szCs w:val="24"/>
              </w:rPr>
            </w:pPr>
            <w:r>
              <w:rPr>
                <w:rStyle w:val="DefaultParagraphFont"/>
                <w:rFonts w:ascii="Times New Roman" w:hAnsi="Times New Roman" w:cs="Times New Roman"/>
                <w:szCs w:val="24"/>
              </w:rPr>
              <w:t xml:space="preserve">Smernica 90/394/EEC, ktorá bola doplnená a zmenená Smernicou uvedenou v Prílohe IV časť A tejto Smernice bola zrušená bez toho aby boli dotknuté povinnosti členských štátov týkajúce sa časového limitu pre transpozíciu uvedenú v Prílohe IV časť B. </w:t>
            </w:r>
          </w:p>
          <w:p w:rsidR="00F1062D">
            <w:pPr>
              <w:pStyle w:val="Normlny"/>
              <w:jc w:val="both"/>
              <w:rPr>
                <w:rStyle w:val="DefaultParagraphFont"/>
                <w:rFonts w:ascii="Times New Roman" w:hAnsi="Times New Roman" w:cs="Times New Roman"/>
                <w:szCs w:val="24"/>
              </w:rPr>
            </w:pPr>
            <w:r>
              <w:rPr>
                <w:rStyle w:val="DefaultParagraphFont"/>
                <w:rFonts w:ascii="Times New Roman" w:hAnsi="Times New Roman" w:cs="Times New Roman"/>
                <w:szCs w:val="24"/>
              </w:rPr>
              <w:t>Odkazy zrušenej Smernice a tejto Smernice podľa článkov je možné porovnať v korelačnej tabuľke Prílohe V.</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n.a.</w:t>
            </w:r>
          </w:p>
        </w:tc>
        <w:tc>
          <w:tcPr>
            <w:tcW w:w="16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Normlny"/>
              <w:jc w:val="center"/>
              <w:rPr>
                <w:rStyle w:val="DefaultParagraphFont"/>
                <w:rFonts w:ascii="Times New Roman" w:hAnsi="Times New Roman" w:cs="Times New Roman"/>
                <w:szCs w:val="24"/>
              </w:rPr>
            </w:pPr>
          </w:p>
        </w:tc>
        <w:tc>
          <w:tcPr>
            <w:tcW w:w="36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Normlny"/>
              <w:jc w:val="both"/>
              <w:rPr>
                <w:rStyle w:val="DefaultParagraphFont"/>
                <w:rFonts w:ascii="Times New Roman" w:hAnsi="Times New Roman" w:cs="Times New Roman"/>
                <w:szCs w:val="24"/>
              </w:rPr>
            </w:pP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rPr>
                <w:rStyle w:val="DefaultParagraphFont"/>
                <w:rFonts w:ascii="Times New Roman" w:hAnsi="Times New Roman" w:cs="Times New Roman"/>
                <w:b w:val="0"/>
                <w:sz w:val="20"/>
                <w:szCs w:val="24"/>
              </w:rPr>
            </w:pPr>
          </w:p>
        </w:tc>
        <w:tc>
          <w:tcPr>
            <w:tcW w:w="140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jc w:val="both"/>
              <w:rPr>
                <w:rStyle w:val="DefaultParagraphFont"/>
                <w:rFonts w:ascii="Times New Roman" w:hAnsi="Times New Roman" w:cs="Times New Roman"/>
                <w:b w:val="0"/>
                <w:sz w:val="20"/>
                <w:szCs w:val="24"/>
              </w:rPr>
            </w:pPr>
          </w:p>
        </w:tc>
      </w:tr>
      <w:tr>
        <w:tblPrEx>
          <w:tblW w:w="16160" w:type="dxa"/>
          <w:tblInd w:w="-497" w:type="dxa"/>
          <w:tblLayout w:type="fixed"/>
          <w:tblCellMar>
            <w:top w:w="0" w:type="dxa"/>
            <w:left w:w="43" w:type="dxa"/>
            <w:bottom w:w="0" w:type="dxa"/>
            <w:right w:w="43" w:type="dxa"/>
          </w:tblCellMar>
        </w:tblPrEx>
        <w:trPr>
          <w:trHeight w:hRule="auto" w:val="0"/>
        </w:trPr>
        <w:tc>
          <w:tcPr>
            <w:tcW w:w="89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Č:21</w:t>
            </w:r>
          </w:p>
        </w:tc>
        <w:tc>
          <w:tcPr>
            <w:tcW w:w="342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Normlny"/>
              <w:rPr>
                <w:rStyle w:val="DefaultParagraphFont"/>
                <w:rFonts w:ascii="Times New Roman" w:hAnsi="Times New Roman" w:cs="Times New Roman"/>
                <w:b/>
                <w:szCs w:val="24"/>
              </w:rPr>
            </w:pPr>
            <w:r>
              <w:rPr>
                <w:rStyle w:val="DefaultParagraphFont"/>
                <w:rFonts w:ascii="Times New Roman" w:hAnsi="Times New Roman" w:cs="Times New Roman"/>
                <w:b/>
                <w:szCs w:val="24"/>
              </w:rPr>
              <w:t>Účinnosť</w:t>
            </w:r>
          </w:p>
          <w:p w:rsidR="00F1062D">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Tá</w:t>
            </w:r>
            <w:r>
              <w:rPr>
                <w:rStyle w:val="DefaultParagraphFont"/>
                <w:rFonts w:ascii="Times New Roman" w:hAnsi="Times New Roman" w:cs="Times New Roman"/>
                <w:szCs w:val="24"/>
              </w:rPr>
              <w:t>to Smernica bude uvedená do platnosti na 25 deň od jej zverejnenia v oficiálnom vestníku Európskej Únie</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n.a.</w:t>
            </w:r>
          </w:p>
        </w:tc>
        <w:tc>
          <w:tcPr>
            <w:tcW w:w="16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Normlny"/>
              <w:jc w:val="center"/>
              <w:rPr>
                <w:rStyle w:val="DefaultParagraphFont"/>
                <w:rFonts w:ascii="Times New Roman" w:hAnsi="Times New Roman" w:cs="Times New Roman"/>
                <w:szCs w:val="24"/>
              </w:rPr>
            </w:pPr>
          </w:p>
        </w:tc>
        <w:tc>
          <w:tcPr>
            <w:tcW w:w="36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Normlny"/>
              <w:jc w:val="both"/>
              <w:rPr>
                <w:rStyle w:val="DefaultParagraphFont"/>
                <w:rFonts w:ascii="Times New Roman" w:hAnsi="Times New Roman" w:cs="Times New Roman"/>
                <w:szCs w:val="24"/>
              </w:rPr>
            </w:pP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rPr>
                <w:rStyle w:val="DefaultParagraphFont"/>
                <w:rFonts w:ascii="Times New Roman" w:hAnsi="Times New Roman" w:cs="Times New Roman"/>
                <w:b w:val="0"/>
                <w:sz w:val="20"/>
                <w:szCs w:val="24"/>
              </w:rPr>
            </w:pPr>
          </w:p>
        </w:tc>
        <w:tc>
          <w:tcPr>
            <w:tcW w:w="140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jc w:val="both"/>
              <w:rPr>
                <w:rStyle w:val="DefaultParagraphFont"/>
                <w:rFonts w:ascii="Times New Roman" w:hAnsi="Times New Roman" w:cs="Times New Roman"/>
                <w:b w:val="0"/>
                <w:sz w:val="20"/>
                <w:szCs w:val="24"/>
              </w:rPr>
            </w:pPr>
          </w:p>
        </w:tc>
      </w:tr>
      <w:tr>
        <w:tblPrEx>
          <w:tblW w:w="16160" w:type="dxa"/>
          <w:tblInd w:w="-497" w:type="dxa"/>
          <w:tblLayout w:type="fixed"/>
          <w:tblCellMar>
            <w:top w:w="0" w:type="dxa"/>
            <w:left w:w="43" w:type="dxa"/>
            <w:bottom w:w="0" w:type="dxa"/>
            <w:right w:w="43" w:type="dxa"/>
          </w:tblCellMar>
        </w:tblPrEx>
        <w:trPr>
          <w:trHeight w:hRule="auto" w:val="0"/>
        </w:trPr>
        <w:tc>
          <w:tcPr>
            <w:tcW w:w="89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342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Normlny"/>
              <w:rPr>
                <w:rStyle w:val="DefaultParagraphFont"/>
                <w:rFonts w:ascii="Times New Roman" w:hAnsi="Times New Roman" w:cs="Times New Roman"/>
                <w:b/>
                <w:szCs w:val="24"/>
              </w:rPr>
            </w:pP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16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Normlny"/>
              <w:jc w:val="center"/>
              <w:rPr>
                <w:rStyle w:val="DefaultParagraphFont"/>
                <w:rFonts w:ascii="Times New Roman" w:hAnsi="Times New Roman" w:cs="Times New Roman"/>
                <w:szCs w:val="24"/>
              </w:rPr>
            </w:pPr>
          </w:p>
        </w:tc>
        <w:tc>
          <w:tcPr>
            <w:tcW w:w="36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Normlny"/>
              <w:jc w:val="both"/>
              <w:rPr>
                <w:rStyle w:val="DefaultParagraphFont"/>
                <w:rFonts w:ascii="Times New Roman" w:hAnsi="Times New Roman" w:cs="Times New Roman"/>
                <w:szCs w:val="24"/>
              </w:rPr>
            </w:pP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rPr>
                <w:rStyle w:val="DefaultParagraphFont"/>
                <w:rFonts w:ascii="Times New Roman" w:hAnsi="Times New Roman" w:cs="Times New Roman"/>
                <w:b w:val="0"/>
                <w:sz w:val="20"/>
                <w:szCs w:val="24"/>
              </w:rPr>
            </w:pPr>
          </w:p>
        </w:tc>
        <w:tc>
          <w:tcPr>
            <w:tcW w:w="140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jc w:val="both"/>
              <w:rPr>
                <w:rStyle w:val="DefaultParagraphFont"/>
                <w:rFonts w:ascii="Times New Roman" w:hAnsi="Times New Roman" w:cs="Times New Roman"/>
                <w:b w:val="0"/>
                <w:sz w:val="20"/>
                <w:szCs w:val="24"/>
              </w:rPr>
            </w:pPr>
          </w:p>
        </w:tc>
      </w:tr>
      <w:tr>
        <w:tblPrEx>
          <w:tblW w:w="16160" w:type="dxa"/>
          <w:tblInd w:w="-497" w:type="dxa"/>
          <w:tblLayout w:type="fixed"/>
          <w:tblCellMar>
            <w:top w:w="0" w:type="dxa"/>
            <w:left w:w="43" w:type="dxa"/>
            <w:bottom w:w="0" w:type="dxa"/>
            <w:right w:w="43" w:type="dxa"/>
          </w:tblCellMar>
        </w:tblPrEx>
        <w:trPr>
          <w:trHeight w:hRule="auto" w:val="0"/>
        </w:trPr>
        <w:tc>
          <w:tcPr>
            <w:tcW w:w="89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342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Normlny"/>
              <w:rPr>
                <w:rStyle w:val="DefaultParagraphFont"/>
                <w:rFonts w:ascii="Times New Roman" w:hAnsi="Times New Roman" w:cs="Times New Roman"/>
                <w:b/>
                <w:szCs w:val="24"/>
              </w:rPr>
            </w:pP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16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Normlny"/>
              <w:jc w:val="center"/>
              <w:rPr>
                <w:rStyle w:val="DefaultParagraphFont"/>
                <w:rFonts w:ascii="Times New Roman" w:hAnsi="Times New Roman" w:cs="Times New Roman"/>
                <w:szCs w:val="24"/>
              </w:rPr>
            </w:pPr>
          </w:p>
        </w:tc>
        <w:tc>
          <w:tcPr>
            <w:tcW w:w="36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Normlny"/>
              <w:jc w:val="both"/>
              <w:rPr>
                <w:rStyle w:val="DefaultParagraphFont"/>
                <w:rFonts w:ascii="Times New Roman" w:hAnsi="Times New Roman" w:cs="Times New Roman"/>
                <w:szCs w:val="24"/>
              </w:rPr>
            </w:pP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rPr>
                <w:rStyle w:val="DefaultParagraphFont"/>
                <w:rFonts w:ascii="Times New Roman" w:hAnsi="Times New Roman" w:cs="Times New Roman"/>
                <w:b w:val="0"/>
                <w:sz w:val="20"/>
                <w:szCs w:val="24"/>
              </w:rPr>
            </w:pPr>
          </w:p>
        </w:tc>
        <w:tc>
          <w:tcPr>
            <w:tcW w:w="140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jc w:val="both"/>
              <w:rPr>
                <w:rStyle w:val="DefaultParagraphFont"/>
                <w:rFonts w:ascii="Times New Roman" w:hAnsi="Times New Roman" w:cs="Times New Roman"/>
                <w:b w:val="0"/>
                <w:sz w:val="20"/>
                <w:szCs w:val="24"/>
              </w:rPr>
            </w:pPr>
          </w:p>
        </w:tc>
      </w:tr>
      <w:tr>
        <w:tblPrEx>
          <w:tblW w:w="16160" w:type="dxa"/>
          <w:tblInd w:w="-497" w:type="dxa"/>
          <w:tblLayout w:type="fixed"/>
          <w:tblCellMar>
            <w:top w:w="0" w:type="dxa"/>
            <w:left w:w="43" w:type="dxa"/>
            <w:bottom w:w="0" w:type="dxa"/>
            <w:right w:w="43" w:type="dxa"/>
          </w:tblCellMar>
        </w:tblPrEx>
        <w:trPr>
          <w:trHeight w:hRule="auto" w:val="0"/>
        </w:trPr>
        <w:tc>
          <w:tcPr>
            <w:tcW w:w="89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342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PRÍLOHA I</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16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Normlny"/>
              <w:jc w:val="center"/>
              <w:rPr>
                <w:rStyle w:val="DefaultParagraphFont"/>
                <w:rFonts w:ascii="Times New Roman" w:hAnsi="Times New Roman" w:cs="Times New Roman"/>
                <w:szCs w:val="24"/>
              </w:rPr>
            </w:pPr>
          </w:p>
        </w:tc>
        <w:tc>
          <w:tcPr>
            <w:tcW w:w="36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Normlny"/>
              <w:jc w:val="both"/>
              <w:rPr>
                <w:rStyle w:val="DefaultParagraphFont"/>
                <w:rFonts w:ascii="Times New Roman" w:hAnsi="Times New Roman" w:cs="Times New Roman"/>
                <w:szCs w:val="24"/>
              </w:rPr>
            </w:pPr>
            <w:r>
              <w:rPr>
                <w:rStyle w:val="DefaultParagraphFont"/>
                <w:rFonts w:ascii="Times New Roman" w:hAnsi="Times New Roman" w:cs="Times New Roman"/>
                <w:szCs w:val="24"/>
              </w:rPr>
              <w:t>Príloha č.1</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rPr>
                <w:rStyle w:val="DefaultParagraphFont"/>
                <w:rFonts w:ascii="Times New Roman" w:hAnsi="Times New Roman" w:cs="Times New Roman"/>
                <w:b w:val="0"/>
                <w:sz w:val="20"/>
                <w:szCs w:val="24"/>
              </w:rPr>
            </w:pPr>
          </w:p>
        </w:tc>
        <w:tc>
          <w:tcPr>
            <w:tcW w:w="140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jc w:val="both"/>
              <w:rPr>
                <w:rStyle w:val="DefaultParagraphFont"/>
                <w:rFonts w:ascii="Times New Roman" w:hAnsi="Times New Roman" w:cs="Times New Roman"/>
                <w:b w:val="0"/>
                <w:sz w:val="20"/>
                <w:szCs w:val="24"/>
              </w:rPr>
            </w:pPr>
          </w:p>
        </w:tc>
      </w:tr>
      <w:tr>
        <w:tblPrEx>
          <w:tblW w:w="16160" w:type="dxa"/>
          <w:tblInd w:w="-497" w:type="dxa"/>
          <w:tblLayout w:type="fixed"/>
          <w:tblCellMar>
            <w:top w:w="0" w:type="dxa"/>
            <w:left w:w="43" w:type="dxa"/>
            <w:bottom w:w="0" w:type="dxa"/>
            <w:right w:w="43" w:type="dxa"/>
          </w:tblCellMar>
        </w:tblPrEx>
        <w:trPr>
          <w:trHeight w:hRule="auto" w:val="0"/>
        </w:trPr>
        <w:tc>
          <w:tcPr>
            <w:tcW w:w="89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342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both"/>
              <w:rPr>
                <w:rStyle w:val="DefaultParagraphFont"/>
                <w:rFonts w:ascii="Times New Roman" w:hAnsi="Times New Roman" w:cs="Times New Roman"/>
                <w:b/>
                <w:sz w:val="20"/>
                <w:szCs w:val="24"/>
              </w:rPr>
            </w:pPr>
            <w:r>
              <w:rPr>
                <w:rStyle w:val="DefaultParagraphFont"/>
                <w:rFonts w:ascii="Times New Roman" w:hAnsi="Times New Roman" w:cs="Times New Roman"/>
                <w:b/>
                <w:sz w:val="20"/>
                <w:szCs w:val="24"/>
              </w:rPr>
              <w:t>Zoznam látok, prípravkov a procesov (Článok 2 (a)(iii))</w:t>
            </w:r>
          </w:p>
          <w:p w:rsidR="00F1062D">
            <w:pPr>
              <w:jc w:val="both"/>
              <w:rPr>
                <w:rStyle w:val="DefaultParagraphFont"/>
                <w:rFonts w:ascii="Times New Roman" w:hAnsi="Times New Roman" w:cs="Times New Roman"/>
                <w:b/>
                <w:sz w:val="20"/>
                <w:szCs w:val="24"/>
              </w:rPr>
            </w:pPr>
          </w:p>
          <w:p w:rsidR="00F1062D">
            <w:pPr>
              <w:jc w:val="both"/>
              <w:rPr>
                <w:rStyle w:val="DefaultParagraphFont"/>
                <w:rFonts w:ascii="Times New Roman" w:hAnsi="Times New Roman" w:cs="Times New Roman"/>
                <w:b/>
                <w:sz w:val="20"/>
                <w:szCs w:val="24"/>
              </w:rPr>
            </w:pPr>
          </w:p>
          <w:p w:rsidR="00F1062D">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1.Výroba auramínu.</w:t>
            </w:r>
          </w:p>
          <w:p w:rsidR="00F1062D">
            <w:pPr>
              <w:jc w:val="both"/>
              <w:rPr>
                <w:rStyle w:val="DefaultParagraphFont"/>
                <w:rFonts w:ascii="Times New Roman" w:hAnsi="Times New Roman" w:cs="Times New Roman"/>
                <w:sz w:val="20"/>
                <w:szCs w:val="24"/>
              </w:rPr>
            </w:pPr>
          </w:p>
          <w:p w:rsidR="00F1062D">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2.Prá</w:t>
            </w:r>
            <w:r>
              <w:rPr>
                <w:rStyle w:val="DefaultParagraphFont"/>
                <w:rFonts w:ascii="Times New Roman" w:hAnsi="Times New Roman" w:cs="Times New Roman"/>
                <w:sz w:val="20"/>
                <w:szCs w:val="24"/>
              </w:rPr>
              <w:t>ca spojená s vystavením účinku polycyklických aromatických uhľovodíkov  vyskytujúcich sa v uhoľných sadziach, dechte, smole, dymoch alebo prachu.</w:t>
            </w:r>
          </w:p>
          <w:p w:rsidR="00F1062D">
            <w:pPr>
              <w:jc w:val="both"/>
              <w:rPr>
                <w:rStyle w:val="DefaultParagraphFont"/>
                <w:rFonts w:ascii="Times New Roman" w:hAnsi="Times New Roman" w:cs="Times New Roman"/>
                <w:sz w:val="20"/>
                <w:szCs w:val="24"/>
              </w:rPr>
            </w:pPr>
          </w:p>
          <w:p w:rsidR="00F1062D">
            <w:pPr>
              <w:pStyle w:val="BodyText"/>
              <w:spacing w:after="0"/>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3.Pracovné činnosti spojené s vystavením prachu, dymom a aerosolom, ktoré vznikajú počas praž</w:t>
            </w:r>
            <w:r>
              <w:rPr>
                <w:rStyle w:val="DefaultParagraphFont"/>
                <w:rFonts w:ascii="Times New Roman" w:hAnsi="Times New Roman" w:cs="Times New Roman"/>
                <w:sz w:val="20"/>
                <w:szCs w:val="24"/>
              </w:rPr>
              <w:t>enia a elektro-rafinovania  medeno-niklových  kamienkov.</w:t>
            </w:r>
          </w:p>
          <w:p w:rsidR="00F1062D">
            <w:pPr>
              <w:pStyle w:val="BodyText"/>
              <w:spacing w:after="0"/>
              <w:jc w:val="both"/>
              <w:rPr>
                <w:rStyle w:val="DefaultParagraphFont"/>
                <w:rFonts w:ascii="Times New Roman" w:hAnsi="Times New Roman" w:cs="Times New Roman"/>
                <w:sz w:val="20"/>
                <w:szCs w:val="24"/>
              </w:rPr>
            </w:pPr>
          </w:p>
          <w:p w:rsidR="00F1062D">
            <w:pPr>
              <w:pStyle w:val="Heading3"/>
              <w:numPr>
                <w:ilvl w:val="0"/>
                <w:numId w:val="0"/>
              </w:numPr>
              <w:tabs>
                <w:tab w:val="clear" w:pos="2160"/>
              </w:tabs>
              <w:jc w:val="both"/>
              <w:rPr>
                <w:rStyle w:val="DefaultParagraphFont"/>
                <w:rFonts w:ascii="Times New Roman" w:hAnsi="Times New Roman" w:cs="Times New Roman"/>
                <w:b w:val="0"/>
                <w:szCs w:val="24"/>
              </w:rPr>
            </w:pPr>
            <w:r>
              <w:rPr>
                <w:rStyle w:val="DefaultParagraphFont"/>
                <w:rFonts w:ascii="Times New Roman" w:hAnsi="Times New Roman" w:cs="Times New Roman"/>
                <w:b w:val="0"/>
                <w:szCs w:val="24"/>
              </w:rPr>
              <w:t>4. Silno acidický proces pri výrobe izopropyl alkoholu.</w:t>
            </w:r>
          </w:p>
          <w:p w:rsidR="00F1062D">
            <w:pPr>
              <w:rPr>
                <w:rStyle w:val="DefaultParagraphFont"/>
                <w:rFonts w:ascii="Times New Roman" w:hAnsi="Times New Roman" w:cs="Times New Roman"/>
                <w:szCs w:val="24"/>
              </w:rPr>
            </w:pPr>
          </w:p>
          <w:p w:rsidR="00F1062D">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5. Práca, ktorá zahŕňa expozíciu prachu z  tvrdého dreva (9)</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16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Normlny"/>
              <w:jc w:val="center"/>
              <w:rPr>
                <w:rStyle w:val="DefaultParagraphFont"/>
                <w:rFonts w:ascii="Times New Roman" w:hAnsi="Times New Roman" w:cs="Times New Roman"/>
                <w:szCs w:val="24"/>
              </w:rPr>
            </w:pPr>
          </w:p>
        </w:tc>
        <w:tc>
          <w:tcPr>
            <w:tcW w:w="36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rPr>
                <w:rStyle w:val="DefaultParagraphFont"/>
                <w:rFonts w:ascii="Times New Roman" w:hAnsi="Times New Roman" w:cs="Times New Roman"/>
                <w:b/>
                <w:sz w:val="20"/>
                <w:szCs w:val="24"/>
              </w:rPr>
            </w:pPr>
            <w:r>
              <w:rPr>
                <w:rStyle w:val="DefaultParagraphFont"/>
                <w:rFonts w:ascii="Times New Roman" w:hAnsi="Times New Roman" w:cs="Times New Roman"/>
                <w:b/>
                <w:sz w:val="20"/>
                <w:szCs w:val="24"/>
              </w:rPr>
              <w:t>ZOZNAM LÁTOK, PRÍPRAVKOV  A PRACOVNÝCH PROCESOV S RIZIKOM CHEMICKEJ KARCINOGENITY</w:t>
            </w:r>
          </w:p>
          <w:p w:rsidR="00F1062D">
            <w:pPr>
              <w:numPr>
                <w:numId w:val="23"/>
              </w:numPr>
              <w:tabs>
                <w:tab w:val="left" w:pos="360"/>
              </w:tab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Výroba auramínu.</w:t>
            </w:r>
          </w:p>
          <w:p w:rsidR="00F1062D">
            <w:pPr>
              <w:jc w:val="both"/>
              <w:rPr>
                <w:rStyle w:val="DefaultParagraphFont"/>
                <w:rFonts w:ascii="Times New Roman" w:hAnsi="Times New Roman" w:cs="Times New Roman"/>
                <w:sz w:val="20"/>
                <w:szCs w:val="24"/>
              </w:rPr>
            </w:pPr>
          </w:p>
          <w:p w:rsidR="00F1062D">
            <w:pPr>
              <w:pStyle w:val="BodyText2"/>
              <w:numPr>
                <w:numId w:val="23"/>
              </w:numPr>
              <w:tabs>
                <w:tab w:val="left" w:pos="360"/>
              </w:tabs>
              <w:ind w:right="-2"/>
              <w:jc w:val="both"/>
              <w:rPr>
                <w:rStyle w:val="DefaultParagraphFont"/>
                <w:rFonts w:ascii="Times New Roman" w:hAnsi="Times New Roman" w:cs="Times New Roman"/>
                <w:szCs w:val="24"/>
              </w:rPr>
            </w:pPr>
            <w:r>
              <w:rPr>
                <w:rStyle w:val="DefaultParagraphFont"/>
                <w:rFonts w:ascii="Times New Roman" w:hAnsi="Times New Roman" w:cs="Times New Roman"/>
                <w:szCs w:val="24"/>
              </w:rPr>
              <w:t>Práca spojená s expozíciou zamestnancov polycyklickým aromatickým uhľovodíkom    nachádzajúcim sa v uhoľných sadziach, dechte, smole, dyme alebo v prachu.</w:t>
            </w:r>
          </w:p>
          <w:p w:rsidR="00F1062D">
            <w:pPr>
              <w:pStyle w:val="BodyText"/>
              <w:numPr>
                <w:numId w:val="23"/>
              </w:numPr>
              <w:tabs>
                <w:tab w:val="left" w:pos="360"/>
              </w:tabs>
              <w:spacing w:after="0"/>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Pracovné činnosti spojené s expozíciou zamestnancov prachu, dymu a aerosólom, ktoré vznikajú počas praženia a elektro-rafinovania  medeno-niklového kamienku.</w:t>
            </w:r>
          </w:p>
          <w:p w:rsidR="00F1062D">
            <w:pPr>
              <w:pStyle w:val="BodyText"/>
              <w:spacing w:after="0"/>
              <w:jc w:val="both"/>
              <w:rPr>
                <w:rStyle w:val="DefaultParagraphFont"/>
                <w:rFonts w:ascii="Times New Roman" w:hAnsi="Times New Roman" w:cs="Times New Roman"/>
                <w:sz w:val="20"/>
                <w:szCs w:val="24"/>
              </w:rPr>
            </w:pPr>
          </w:p>
          <w:p w:rsidR="00F1062D">
            <w:pPr>
              <w:pStyle w:val="BodyText"/>
              <w:numPr>
                <w:numId w:val="23"/>
              </w:numPr>
              <w:tabs>
                <w:tab w:val="left" w:pos="360"/>
              </w:tabs>
              <w:spacing w:after="0"/>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Silno acidický proces pri výrobe izopropylalkoholu.</w:t>
            </w:r>
          </w:p>
          <w:p w:rsidR="00F1062D">
            <w:pPr>
              <w:pStyle w:val="BodyText"/>
              <w:spacing w:after="0"/>
              <w:jc w:val="both"/>
              <w:rPr>
                <w:rStyle w:val="DefaultParagraphFont"/>
                <w:rFonts w:ascii="Times New Roman" w:hAnsi="Times New Roman" w:cs="Times New Roman"/>
                <w:sz w:val="20"/>
                <w:szCs w:val="24"/>
              </w:rPr>
            </w:pPr>
          </w:p>
          <w:p w:rsidR="00F1062D">
            <w:pPr>
              <w:pStyle w:val="BodyText"/>
              <w:numPr>
                <w:numId w:val="23"/>
              </w:numPr>
              <w:tabs>
                <w:tab w:val="left" w:pos="360"/>
              </w:tabs>
              <w:spacing w:after="0"/>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Práca, pri ktorej dochádza k expozícii zamestnancov prachu z rôznych druhov tvrdého dreva.</w:t>
            </w:r>
          </w:p>
          <w:p w:rsidR="00F1062D">
            <w:pPr>
              <w:pStyle w:val="BodyText"/>
              <w:spacing w:after="0"/>
              <w:jc w:val="both"/>
              <w:rPr>
                <w:rStyle w:val="DefaultParagraphFont"/>
                <w:rFonts w:ascii="Times New Roman" w:hAnsi="Times New Roman" w:cs="Times New Roman"/>
                <w:sz w:val="20"/>
                <w:szCs w:val="24"/>
              </w:rPr>
            </w:pPr>
          </w:p>
          <w:p w:rsidR="00F1062D">
            <w:pPr>
              <w:pStyle w:val="Normlny"/>
              <w:jc w:val="both"/>
              <w:rPr>
                <w:rStyle w:val="DefaultParagraphFont"/>
                <w:rFonts w:ascii="Times New Roman" w:hAnsi="Times New Roman" w:cs="Times New Roman"/>
                <w:szCs w:val="24"/>
              </w:rPr>
            </w:pPr>
            <w:r>
              <w:rPr>
                <w:rStyle w:val="DefaultParagraphFont"/>
                <w:rFonts w:ascii="Times New Roman" w:hAnsi="Times New Roman" w:cs="Times New Roman"/>
                <w:szCs w:val="24"/>
              </w:rPr>
              <w:t>6.    Práca s cytostatikami.</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U</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MZ SR</w:t>
            </w: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rPr>
                <w:rStyle w:val="DefaultParagraphFont"/>
                <w:rFonts w:ascii="Times New Roman" w:hAnsi="Times New Roman" w:cs="Times New Roman"/>
                <w:b w:val="0"/>
                <w:sz w:val="20"/>
                <w:szCs w:val="24"/>
              </w:rPr>
            </w:pPr>
          </w:p>
        </w:tc>
        <w:tc>
          <w:tcPr>
            <w:tcW w:w="140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jc w:val="both"/>
              <w:rPr>
                <w:rStyle w:val="DefaultParagraphFont"/>
                <w:rFonts w:ascii="Times New Roman" w:hAnsi="Times New Roman" w:cs="Times New Roman"/>
                <w:b w:val="0"/>
                <w:sz w:val="20"/>
                <w:szCs w:val="24"/>
              </w:rPr>
            </w:pPr>
          </w:p>
        </w:tc>
      </w:tr>
      <w:tr>
        <w:tblPrEx>
          <w:tblW w:w="16160" w:type="dxa"/>
          <w:tblInd w:w="-497" w:type="dxa"/>
          <w:tblLayout w:type="fixed"/>
          <w:tblCellMar>
            <w:top w:w="0" w:type="dxa"/>
            <w:left w:w="43" w:type="dxa"/>
            <w:bottom w:w="0" w:type="dxa"/>
            <w:right w:w="43" w:type="dxa"/>
          </w:tblCellMar>
        </w:tblPrEx>
        <w:trPr>
          <w:trHeight w:hRule="auto" w:val="0"/>
        </w:trPr>
        <w:tc>
          <w:tcPr>
            <w:tcW w:w="89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342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PRÍLOHA II</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16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Normlny"/>
              <w:jc w:val="center"/>
              <w:rPr>
                <w:rStyle w:val="DefaultParagraphFont"/>
                <w:rFonts w:ascii="Times New Roman" w:hAnsi="Times New Roman" w:cs="Times New Roman"/>
                <w:szCs w:val="24"/>
              </w:rPr>
            </w:pPr>
          </w:p>
        </w:tc>
        <w:tc>
          <w:tcPr>
            <w:tcW w:w="36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Normlny"/>
              <w:jc w:val="both"/>
              <w:rPr>
                <w:rStyle w:val="DefaultParagraphFont"/>
                <w:rFonts w:ascii="Times New Roman" w:hAnsi="Times New Roman" w:cs="Times New Roman"/>
                <w:szCs w:val="24"/>
              </w:rPr>
            </w:pPr>
            <w:r>
              <w:rPr>
                <w:rStyle w:val="DefaultParagraphFont"/>
                <w:rFonts w:ascii="Times New Roman" w:hAnsi="Times New Roman" w:cs="Times New Roman"/>
                <w:szCs w:val="24"/>
              </w:rPr>
              <w:t>Príloha č.4</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rPr>
                <w:rStyle w:val="DefaultParagraphFont"/>
                <w:rFonts w:ascii="Times New Roman" w:hAnsi="Times New Roman" w:cs="Times New Roman"/>
                <w:b w:val="0"/>
                <w:sz w:val="20"/>
                <w:szCs w:val="24"/>
              </w:rPr>
            </w:pPr>
          </w:p>
        </w:tc>
        <w:tc>
          <w:tcPr>
            <w:tcW w:w="140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jc w:val="both"/>
              <w:rPr>
                <w:rStyle w:val="DefaultParagraphFont"/>
                <w:rFonts w:ascii="Times New Roman" w:hAnsi="Times New Roman" w:cs="Times New Roman"/>
                <w:b w:val="0"/>
                <w:sz w:val="20"/>
                <w:szCs w:val="24"/>
              </w:rPr>
            </w:pPr>
          </w:p>
        </w:tc>
      </w:tr>
      <w:tr>
        <w:tblPrEx>
          <w:tblW w:w="16160" w:type="dxa"/>
          <w:tblInd w:w="-497" w:type="dxa"/>
          <w:tblLayout w:type="fixed"/>
          <w:tblCellMar>
            <w:top w:w="0" w:type="dxa"/>
            <w:left w:w="43" w:type="dxa"/>
            <w:bottom w:w="0" w:type="dxa"/>
            <w:right w:w="43" w:type="dxa"/>
          </w:tblCellMar>
        </w:tblPrEx>
        <w:trPr>
          <w:trHeight w:hRule="auto" w:val="0"/>
        </w:trPr>
        <w:tc>
          <w:tcPr>
            <w:tcW w:w="89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342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rPr>
                <w:rStyle w:val="DefaultParagraphFont"/>
                <w:rFonts w:ascii="Times New Roman" w:hAnsi="Times New Roman" w:cs="Times New Roman"/>
                <w:b/>
                <w:sz w:val="20"/>
                <w:szCs w:val="24"/>
              </w:rPr>
            </w:pPr>
            <w:r>
              <w:rPr>
                <w:rStyle w:val="DefaultParagraphFont"/>
                <w:rFonts w:ascii="Times New Roman" w:hAnsi="Times New Roman" w:cs="Times New Roman"/>
                <w:b/>
                <w:sz w:val="20"/>
                <w:szCs w:val="24"/>
              </w:rPr>
              <w:t>Praktické odporúčania pre dohľad nad zdravím pracovníkov (Článok 14 (7))</w:t>
            </w:r>
          </w:p>
          <w:p w:rsidR="00F1062D">
            <w:pPr>
              <w:pStyle w:val="WW-Prosttext"/>
              <w:rPr>
                <w:rStyle w:val="DefaultParagraphFont"/>
                <w:rFonts w:ascii="Times New Roman" w:hAnsi="Times New Roman" w:cs="Times New Roman"/>
                <w:szCs w:val="24"/>
              </w:rPr>
            </w:pPr>
            <w:r>
              <w:rPr>
                <w:rStyle w:val="DefaultParagraphFont"/>
                <w:rFonts w:ascii="Times New Roman" w:hAnsi="Times New Roman" w:cs="Times New Roman"/>
                <w:szCs w:val="24"/>
              </w:rPr>
              <w:t xml:space="preserve">1. Lekár a/alebo úrad zodpovedný za monitorovanie zdravotného stavu pracovníkov, ktorí sú vystavení karcinogénom, musí byť oboznámený s podmienkami alebo okolnosťami vystavenia každého pracovníka. </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16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Normlny"/>
              <w:jc w:val="center"/>
              <w:rPr>
                <w:rStyle w:val="DefaultParagraphFont"/>
                <w:rFonts w:ascii="Times New Roman" w:hAnsi="Times New Roman" w:cs="Times New Roman"/>
                <w:szCs w:val="24"/>
              </w:rPr>
            </w:pPr>
          </w:p>
        </w:tc>
        <w:tc>
          <w:tcPr>
            <w:tcW w:w="36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b/>
                <w:caps/>
                <w:sz w:val="20"/>
                <w:szCs w:val="24"/>
              </w:rPr>
            </w:pPr>
            <w:r>
              <w:rPr>
                <w:rStyle w:val="DefaultParagraphFont"/>
                <w:rFonts w:ascii="Times New Roman" w:hAnsi="Times New Roman" w:cs="Times New Roman"/>
                <w:b/>
                <w:caps/>
                <w:sz w:val="20"/>
                <w:szCs w:val="24"/>
              </w:rPr>
              <w:t>Praktické odporúčania PRE ZDRAVOTNÝ DOHĽAD</w:t>
            </w:r>
          </w:p>
          <w:p w:rsidR="00F1062D">
            <w:pPr>
              <w:jc w:val="center"/>
              <w:rPr>
                <w:rStyle w:val="DefaultParagraphFont"/>
                <w:rFonts w:ascii="Times New Roman" w:hAnsi="Times New Roman" w:cs="Times New Roman"/>
                <w:b/>
                <w:sz w:val="20"/>
                <w:szCs w:val="24"/>
              </w:rPr>
            </w:pPr>
          </w:p>
          <w:p w:rsidR="00F1062D">
            <w:pPr>
              <w:jc w:val="both"/>
              <w:rPr>
                <w:rStyle w:val="DefaultParagraphFont"/>
                <w:rFonts w:ascii="Times New Roman" w:hAnsi="Times New Roman" w:cs="Times New Roman"/>
                <w:b/>
                <w:caps/>
                <w:sz w:val="20"/>
                <w:szCs w:val="24"/>
              </w:rPr>
            </w:pPr>
          </w:p>
          <w:p w:rsidR="00F1062D">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1. Lekár  vykonávajúci zdravotný dohľad pre zamestnancov exponovaných karcinogénom a mutagénom musí byť oboznámený s podmienkami alebo okolnosťami expozície každého zamestnanca.</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U</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MZ SR</w:t>
            </w: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suppressAutoHyphens/>
              <w:jc w:val="left"/>
              <w:rPr>
                <w:rStyle w:val="DefaultParagraphFont"/>
                <w:rFonts w:ascii="Times New Roman" w:hAnsi="Times New Roman" w:cs="Times New Roman"/>
                <w:b w:val="0"/>
                <w:sz w:val="20"/>
                <w:szCs w:val="24"/>
              </w:rPr>
            </w:pPr>
          </w:p>
        </w:tc>
        <w:tc>
          <w:tcPr>
            <w:tcW w:w="140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suppressAutoHyphens/>
              <w:jc w:val="both"/>
              <w:rPr>
                <w:rStyle w:val="DefaultParagraphFont"/>
                <w:rFonts w:ascii="Times New Roman" w:hAnsi="Times New Roman" w:cs="Times New Roman"/>
                <w:b w:val="0"/>
                <w:sz w:val="20"/>
                <w:szCs w:val="24"/>
              </w:rPr>
            </w:pPr>
          </w:p>
        </w:tc>
      </w:tr>
      <w:tr>
        <w:tblPrEx>
          <w:tblW w:w="16160" w:type="dxa"/>
          <w:tblInd w:w="-497" w:type="dxa"/>
          <w:tblLayout w:type="fixed"/>
          <w:tblCellMar>
            <w:top w:w="0" w:type="dxa"/>
            <w:left w:w="43" w:type="dxa"/>
            <w:bottom w:w="0" w:type="dxa"/>
            <w:right w:w="43" w:type="dxa"/>
          </w:tblCellMar>
        </w:tblPrEx>
        <w:trPr>
          <w:trHeight w:hRule="auto" w:val="0"/>
        </w:trPr>
        <w:tc>
          <w:tcPr>
            <w:tcW w:w="89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342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BodyText"/>
              <w:spacing w:after="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 Monitorovanie zdravotného stavu pracovníkov musí byť uskutočňované v súlade s príncípami a zásadami pracovného lekárstva; musí zahŕňať aspoň nasledujúce opatrenia:</w:t>
            </w:r>
          </w:p>
          <w:p w:rsidR="00F1062D">
            <w:pPr>
              <w:pStyle w:val="WW-Prosttext"/>
              <w:rPr>
                <w:rStyle w:val="DefaultParagraphFont"/>
                <w:rFonts w:ascii="Times New Roman" w:hAnsi="Times New Roman" w:cs="Times New Roman"/>
                <w:szCs w:val="24"/>
              </w:rPr>
            </w:pPr>
            <w:r>
              <w:rPr>
                <w:rStyle w:val="DefaultParagraphFont"/>
                <w:rFonts w:ascii="Times New Roman" w:hAnsi="Times New Roman" w:cs="Times New Roman"/>
                <w:szCs w:val="24"/>
              </w:rPr>
              <w:t>- uchovávanie záznamov o zdravotnej a pracovnej anamnéze</w:t>
            </w:r>
          </w:p>
          <w:p w:rsidR="00F1062D">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osobný pohovor</w:t>
            </w:r>
          </w:p>
          <w:p w:rsidR="00F1062D">
            <w:pPr>
              <w:pStyle w:val="WW-Prosttext"/>
              <w:rPr>
                <w:rStyle w:val="DefaultParagraphFont"/>
                <w:rFonts w:ascii="Times New Roman" w:hAnsi="Times New Roman" w:cs="Times New Roman"/>
                <w:szCs w:val="24"/>
              </w:rPr>
            </w:pPr>
            <w:r>
              <w:rPr>
                <w:rStyle w:val="DefaultParagraphFont"/>
                <w:rFonts w:ascii="Times New Roman" w:hAnsi="Times New Roman" w:cs="Times New Roman"/>
                <w:szCs w:val="24"/>
              </w:rPr>
              <w:t>- kde je to vhodné, biologické monitorovanie ako i zisťovanie včasných a reverzibilných následkov.</w:t>
            </w:r>
          </w:p>
          <w:p w:rsidR="00F1062D">
            <w:pPr>
              <w:jc w:val="both"/>
              <w:rPr>
                <w:rStyle w:val="DefaultParagraphFont"/>
                <w:rFonts w:ascii="Times New Roman" w:hAnsi="Times New Roman" w:cs="Times New Roman"/>
                <w:sz w:val="20"/>
                <w:szCs w:val="24"/>
              </w:rPr>
            </w:pPr>
          </w:p>
          <w:p w:rsidR="00F1062D">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O ďalších testoch môže byť rozhodnuté u každého pracovníka, ktorý podlieha monitorovaniu zdravotné</w:t>
            </w:r>
            <w:r>
              <w:rPr>
                <w:rStyle w:val="DefaultParagraphFont"/>
                <w:rFonts w:ascii="Times New Roman" w:hAnsi="Times New Roman" w:cs="Times New Roman"/>
                <w:sz w:val="20"/>
                <w:szCs w:val="24"/>
              </w:rPr>
              <w:t>ho stavu v zmysle najnovších dostupných poznatkov v pracovnom lekárstve.</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16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Normlny"/>
              <w:jc w:val="center"/>
              <w:rPr>
                <w:rStyle w:val="DefaultParagraphFont"/>
                <w:rFonts w:ascii="Times New Roman" w:hAnsi="Times New Roman" w:cs="Times New Roman"/>
                <w:szCs w:val="24"/>
              </w:rPr>
            </w:pPr>
          </w:p>
        </w:tc>
        <w:tc>
          <w:tcPr>
            <w:tcW w:w="36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2. Zdravotný dohľad, ktorého súčasťou sú preventívne prehliadky sa musí vykonávať v súlade so zásadami a praxou pracovného lekárstva a musí zahŕňať najmenej nasledovný rozsah: </w:t>
            </w:r>
          </w:p>
          <w:p w:rsidR="00F1062D">
            <w:pPr>
              <w:pStyle w:val="abc"/>
              <w:numPr>
                <w:numId w:val="24"/>
              </w:numPr>
              <w:tabs>
                <w:tab w:val="left" w:pos="0"/>
                <w:tab w:val="clear" w:pos="360"/>
                <w:tab w:val="left" w:pos="390"/>
                <w:tab w:val="clear" w:pos="680"/>
              </w:tabs>
              <w:rPr>
                <w:rStyle w:val="DefaultParagraphFont"/>
                <w:rFonts w:ascii="Times New Roman" w:hAnsi="Times New Roman" w:cs="Times New Roman"/>
                <w:szCs w:val="24"/>
              </w:rPr>
            </w:pPr>
            <w:r>
              <w:rPr>
                <w:rStyle w:val="DefaultParagraphFont"/>
                <w:rFonts w:ascii="Times New Roman" w:hAnsi="Times New Roman" w:cs="Times New Roman"/>
                <w:szCs w:val="24"/>
              </w:rPr>
              <w:t>vedenie a uchovávanie záznamov o zdravotnej a pracovnej anamnéze zamestnanca, ktoré obsahujú základné údaje o zamestnancovi: meno, priezvisko, pohlavie, dátum narodenia, bydlisko, poisťovňu, dátum nástupu do zamestnania k súčasnému zamestnávateľovi, zamestnanie vrátane expozície faktorom vyžadujúcim zdravotný dohľad v tomto zamestnaní;</w:t>
            </w:r>
          </w:p>
          <w:p w:rsidR="00F1062D">
            <w:pPr>
              <w:numPr>
                <w:numId w:val="24"/>
              </w:numPr>
              <w:tabs>
                <w:tab w:val="left" w:pos="-52"/>
                <w:tab w:val="left" w:pos="390"/>
              </w:tab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individuálne hodnotenie zdravotného stavu vo vzťahu k vykonávanej práci;</w:t>
            </w:r>
          </w:p>
          <w:p w:rsidR="00F1062D">
            <w:pPr>
              <w:numPr>
                <w:numId w:val="24"/>
              </w:numPr>
              <w:tabs>
                <w:tab w:val="left" w:pos="-52"/>
                <w:tab w:val="left" w:pos="390"/>
              </w:tab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biologický monitoring, ak je to primerané a vhodné, ako aj detekciu včasných a reverzibilných účinkov spojených s expozíciou pri výkone zamestnania. O ďalších vyšetreniach sa môže rozhodnúť v súlade s najnovšími poznatkami v oblasti pracovného lekárstva;</w:t>
            </w:r>
          </w:p>
          <w:p w:rsidR="00F1062D">
            <w:pPr>
              <w:numPr>
                <w:numId w:val="24"/>
              </w:numPr>
              <w:tabs>
                <w:tab w:val="left" w:pos="-52"/>
                <w:tab w:val="left" w:pos="390"/>
              </w:tabs>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vyhodnotenie všetkých  postupov vykonaných v rámci zdravotného dohľadu, vrátane dátumu kedy </w:t>
            </w:r>
            <w:r>
              <w:rPr>
                <w:rStyle w:val="DefaultParagraphFont"/>
                <w:rFonts w:ascii="Times New Roman" w:hAnsi="Times New Roman" w:cs="Times New Roman"/>
                <w:sz w:val="20"/>
                <w:szCs w:val="24"/>
              </w:rPr>
              <w:t>a kým boli vykonané.</w:t>
            </w:r>
          </w:p>
          <w:p w:rsidR="00F1062D">
            <w:pPr>
              <w:jc w:val="both"/>
              <w:rPr>
                <w:rStyle w:val="DefaultParagraphFont"/>
                <w:rFonts w:ascii="Times New Roman" w:hAnsi="Times New Roman" w:cs="Times New Roman"/>
                <w:sz w:val="20"/>
                <w:szCs w:val="24"/>
              </w:rPr>
            </w:pPr>
          </w:p>
          <w:p w:rsidR="00F1062D">
            <w:pPr>
              <w:jc w:val="both"/>
              <w:rPr>
                <w:rStyle w:val="DefaultParagraphFont"/>
                <w:rFonts w:ascii="Times New Roman" w:hAnsi="Times New Roman" w:cs="Times New Roman"/>
                <w:b/>
                <w:sz w:val="20"/>
                <w:szCs w:val="24"/>
              </w:rPr>
            </w:pPr>
            <w:r>
              <w:rPr>
                <w:rStyle w:val="DefaultParagraphFont"/>
                <w:rFonts w:ascii="Times New Roman" w:hAnsi="Times New Roman" w:cs="Times New Roman"/>
                <w:sz w:val="20"/>
                <w:szCs w:val="24"/>
              </w:rPr>
              <w:t>Súhrnný záver musí byť písomne zdokumentovaný a vyjadrovať zdravotnú spôsobilosť zamestnanca pre výkon danej práce a ak je to potrebné, mal by obsahovať odporúčania lekára vykonávajúceho zdravotný dohľad, alebo inej príslušne kvalifikovanej osoby pre zdravotný dohľad pri práci v podniku, alebo nariadenie orgánu verejného zdravotníctva na vykonanie ochranných a preventívnych opatrení. Písomné potvrdenie záveru zdravotného dohľadu poskytuje lekár zodpovedný za zdravotný dohľad zamestnancovi a v kópii zamestnávateľovi bez uvedenia dôverných klinických údajov.</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U</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MZ SR</w:t>
            </w: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suppressAutoHyphens/>
              <w:jc w:val="left"/>
              <w:rPr>
                <w:rStyle w:val="DefaultParagraphFont"/>
                <w:rFonts w:ascii="Times New Roman" w:hAnsi="Times New Roman" w:cs="Times New Roman"/>
                <w:b w:val="0"/>
                <w:sz w:val="20"/>
                <w:szCs w:val="24"/>
              </w:rPr>
            </w:pPr>
          </w:p>
        </w:tc>
        <w:tc>
          <w:tcPr>
            <w:tcW w:w="140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suppressAutoHyphens/>
              <w:jc w:val="both"/>
              <w:rPr>
                <w:rStyle w:val="DefaultParagraphFont"/>
                <w:rFonts w:ascii="Times New Roman" w:hAnsi="Times New Roman" w:cs="Times New Roman"/>
                <w:b w:val="0"/>
                <w:sz w:val="20"/>
                <w:szCs w:val="24"/>
              </w:rPr>
            </w:pPr>
          </w:p>
        </w:tc>
      </w:tr>
      <w:tr>
        <w:tblPrEx>
          <w:tblW w:w="16160" w:type="dxa"/>
          <w:tblInd w:w="-497" w:type="dxa"/>
          <w:tblLayout w:type="fixed"/>
          <w:tblCellMar>
            <w:top w:w="0" w:type="dxa"/>
            <w:left w:w="43" w:type="dxa"/>
            <w:bottom w:w="0" w:type="dxa"/>
            <w:right w:w="43" w:type="dxa"/>
          </w:tblCellMar>
        </w:tblPrEx>
        <w:trPr>
          <w:trHeight w:hRule="auto" w:val="0"/>
        </w:trPr>
        <w:tc>
          <w:tcPr>
            <w:tcW w:w="89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342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PRÍLOHA III</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16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Normlny"/>
              <w:jc w:val="center"/>
              <w:rPr>
                <w:rStyle w:val="DefaultParagraphFont"/>
                <w:rFonts w:ascii="Times New Roman" w:hAnsi="Times New Roman" w:cs="Times New Roman"/>
                <w:szCs w:val="24"/>
              </w:rPr>
            </w:pPr>
          </w:p>
        </w:tc>
        <w:tc>
          <w:tcPr>
            <w:tcW w:w="36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Normlny"/>
              <w:jc w:val="both"/>
              <w:rPr>
                <w:rStyle w:val="DefaultParagraphFont"/>
                <w:rFonts w:ascii="Times New Roman" w:hAnsi="Times New Roman" w:cs="Times New Roman"/>
                <w:szCs w:val="24"/>
              </w:rPr>
            </w:pPr>
            <w:r>
              <w:rPr>
                <w:rStyle w:val="DefaultParagraphFont"/>
                <w:rFonts w:ascii="Times New Roman" w:hAnsi="Times New Roman" w:cs="Times New Roman"/>
                <w:szCs w:val="24"/>
              </w:rPr>
              <w:t>Príloha č.2</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rPr>
                <w:rStyle w:val="DefaultParagraphFont"/>
                <w:rFonts w:ascii="Times New Roman" w:hAnsi="Times New Roman" w:cs="Times New Roman"/>
                <w:b w:val="0"/>
                <w:sz w:val="20"/>
                <w:szCs w:val="24"/>
              </w:rPr>
            </w:pPr>
          </w:p>
        </w:tc>
        <w:tc>
          <w:tcPr>
            <w:tcW w:w="140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jc w:val="both"/>
              <w:rPr>
                <w:rStyle w:val="DefaultParagraphFont"/>
                <w:rFonts w:ascii="Times New Roman" w:hAnsi="Times New Roman" w:cs="Times New Roman"/>
                <w:b w:val="0"/>
                <w:sz w:val="20"/>
                <w:szCs w:val="24"/>
              </w:rPr>
            </w:pPr>
          </w:p>
        </w:tc>
      </w:tr>
      <w:tr>
        <w:tblPrEx>
          <w:tblW w:w="16160" w:type="dxa"/>
          <w:tblInd w:w="-497" w:type="dxa"/>
          <w:tblLayout w:type="fixed"/>
          <w:tblCellMar>
            <w:top w:w="0" w:type="dxa"/>
            <w:left w:w="43" w:type="dxa"/>
            <w:bottom w:w="0" w:type="dxa"/>
            <w:right w:w="43" w:type="dxa"/>
          </w:tblCellMar>
        </w:tblPrEx>
        <w:trPr>
          <w:trHeight w:hRule="auto" w:val="0"/>
        </w:trPr>
        <w:tc>
          <w:tcPr>
            <w:tcW w:w="89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342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rPr>
                <w:rStyle w:val="DefaultParagraphFont"/>
                <w:rFonts w:ascii="Times New Roman" w:hAnsi="Times New Roman" w:cs="Times New Roman"/>
                <w:b/>
                <w:sz w:val="20"/>
                <w:szCs w:val="24"/>
              </w:rPr>
            </w:pPr>
            <w:r>
              <w:rPr>
                <w:rStyle w:val="DefaultParagraphFont"/>
                <w:rFonts w:ascii="Times New Roman" w:hAnsi="Times New Roman" w:cs="Times New Roman"/>
                <w:b/>
                <w:sz w:val="20"/>
                <w:szCs w:val="24"/>
              </w:rPr>
              <w:t>Limitné hodnoty a iné priamo súvisiace ustanovenia (Článok 16)</w:t>
            </w:r>
          </w:p>
          <w:p w:rsidR="00F1062D">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A. Limitné hodnoty expozície v pracovnom prostredí</w:t>
            </w:r>
          </w:p>
          <w:p w:rsidR="00F1062D">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(Tabuľka č. 1)</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16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Normlny"/>
              <w:jc w:val="center"/>
              <w:rPr>
                <w:rStyle w:val="DefaultParagraphFont"/>
                <w:rFonts w:ascii="Times New Roman" w:hAnsi="Times New Roman" w:cs="Times New Roman"/>
                <w:szCs w:val="24"/>
              </w:rPr>
            </w:pPr>
          </w:p>
        </w:tc>
        <w:tc>
          <w:tcPr>
            <w:tcW w:w="36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Normlny"/>
              <w:jc w:val="both"/>
              <w:rPr>
                <w:rStyle w:val="DefaultParagraphFont"/>
                <w:rFonts w:ascii="Times New Roman" w:hAnsi="Times New Roman" w:cs="Times New Roman"/>
                <w:b/>
                <w:szCs w:val="24"/>
              </w:rPr>
            </w:pPr>
            <w:r>
              <w:rPr>
                <w:rStyle w:val="DefaultParagraphFont"/>
                <w:rFonts w:ascii="Times New Roman" w:hAnsi="Times New Roman" w:cs="Times New Roman"/>
                <w:b/>
                <w:szCs w:val="24"/>
              </w:rPr>
              <w:t>Technické smerné hodnoty plynov, pár a aerosólov s karcinogénnymi a mutagénnymi účinkami v pracovnom prostredí</w:t>
            </w:r>
          </w:p>
          <w:p w:rsidR="00F1062D">
            <w:pPr>
              <w:pStyle w:val="Normlny"/>
              <w:jc w:val="both"/>
              <w:rPr>
                <w:rStyle w:val="DefaultParagraphFont"/>
                <w:rFonts w:ascii="Times New Roman" w:hAnsi="Times New Roman" w:cs="Times New Roman"/>
                <w:szCs w:val="24"/>
              </w:rPr>
            </w:pPr>
            <w:r>
              <w:rPr>
                <w:rStyle w:val="DefaultParagraphFont"/>
                <w:rFonts w:ascii="Times New Roman" w:hAnsi="Times New Roman" w:cs="Times New Roman"/>
                <w:szCs w:val="24"/>
              </w:rPr>
              <w:t>(Tabuľka č.2)</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U</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MZ SR</w:t>
            </w: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rPr>
                <w:rStyle w:val="DefaultParagraphFont"/>
                <w:rFonts w:ascii="Times New Roman" w:hAnsi="Times New Roman" w:cs="Times New Roman"/>
                <w:b w:val="0"/>
                <w:sz w:val="20"/>
                <w:szCs w:val="24"/>
              </w:rPr>
            </w:pPr>
          </w:p>
        </w:tc>
        <w:tc>
          <w:tcPr>
            <w:tcW w:w="140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jc w:val="both"/>
              <w:rPr>
                <w:rStyle w:val="DefaultParagraphFont"/>
                <w:rFonts w:ascii="Times New Roman" w:hAnsi="Times New Roman" w:cs="Times New Roman"/>
                <w:b w:val="0"/>
                <w:sz w:val="20"/>
                <w:szCs w:val="24"/>
              </w:rPr>
            </w:pPr>
          </w:p>
        </w:tc>
      </w:tr>
      <w:tr>
        <w:tblPrEx>
          <w:tblW w:w="16160" w:type="dxa"/>
          <w:tblInd w:w="-497" w:type="dxa"/>
          <w:tblLayout w:type="fixed"/>
          <w:tblCellMar>
            <w:top w:w="0" w:type="dxa"/>
            <w:left w:w="43" w:type="dxa"/>
            <w:bottom w:w="0" w:type="dxa"/>
            <w:right w:w="43" w:type="dxa"/>
          </w:tblCellMar>
        </w:tblPrEx>
        <w:trPr>
          <w:trHeight w:hRule="auto" w:val="0"/>
        </w:trPr>
        <w:tc>
          <w:tcPr>
            <w:tcW w:w="89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342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PRÍLOHA IV</w:t>
            </w:r>
          </w:p>
          <w:p w:rsidR="00F1062D">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Časť A</w:t>
            </w:r>
          </w:p>
          <w:p w:rsidR="00F1062D">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Zrušená Smernica a jej následné doplnenie.</w:t>
            </w:r>
          </w:p>
          <w:p w:rsidR="00F1062D">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Smernica Rady 90/394/ES</w:t>
            </w:r>
          </w:p>
          <w:p w:rsidR="00F1062D">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Smernica Rady 97/42/ES</w:t>
            </w:r>
          </w:p>
          <w:p w:rsidR="00F1062D">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Smernica Rady 1999/38/ES</w:t>
            </w:r>
          </w:p>
          <w:p w:rsidR="00F1062D">
            <w:pPr>
              <w:pStyle w:val="Normlny"/>
              <w:rPr>
                <w:rStyle w:val="DefaultParagraphFont"/>
                <w:rFonts w:ascii="Times New Roman" w:hAnsi="Times New Roman" w:cs="Times New Roman"/>
                <w:szCs w:val="24"/>
              </w:rPr>
            </w:pPr>
          </w:p>
          <w:p w:rsidR="00F1062D">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Časť B</w:t>
            </w:r>
          </w:p>
          <w:p w:rsidR="00F1062D">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Termín pre transpozíciu do národného právneho systému.</w:t>
            </w:r>
          </w:p>
          <w:p w:rsidR="00F1062D">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90/394/ES     31.december 1992</w:t>
            </w:r>
          </w:p>
          <w:p w:rsidR="00F1062D">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97/42/ES       27.jún 2000</w:t>
            </w:r>
          </w:p>
          <w:p w:rsidR="00F1062D">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1999/38/ES   29.apríl 2003</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n.a.</w:t>
            </w:r>
          </w:p>
        </w:tc>
        <w:tc>
          <w:tcPr>
            <w:tcW w:w="16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Normlny"/>
              <w:jc w:val="center"/>
              <w:rPr>
                <w:rStyle w:val="DefaultParagraphFont"/>
                <w:rFonts w:ascii="Times New Roman" w:hAnsi="Times New Roman" w:cs="Times New Roman"/>
                <w:szCs w:val="24"/>
              </w:rPr>
            </w:pPr>
          </w:p>
        </w:tc>
        <w:tc>
          <w:tcPr>
            <w:tcW w:w="36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Normlny"/>
              <w:jc w:val="both"/>
              <w:rPr>
                <w:rStyle w:val="DefaultParagraphFont"/>
                <w:rFonts w:ascii="Times New Roman" w:hAnsi="Times New Roman" w:cs="Times New Roman"/>
                <w:szCs w:val="24"/>
              </w:rPr>
            </w:pP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rPr>
                <w:rStyle w:val="DefaultParagraphFont"/>
                <w:rFonts w:ascii="Times New Roman" w:hAnsi="Times New Roman" w:cs="Times New Roman"/>
                <w:b w:val="0"/>
                <w:sz w:val="20"/>
                <w:szCs w:val="24"/>
              </w:rPr>
            </w:pPr>
          </w:p>
        </w:tc>
        <w:tc>
          <w:tcPr>
            <w:tcW w:w="140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jc w:val="both"/>
              <w:rPr>
                <w:rStyle w:val="DefaultParagraphFont"/>
                <w:rFonts w:ascii="Times New Roman" w:hAnsi="Times New Roman" w:cs="Times New Roman"/>
                <w:b w:val="0"/>
                <w:sz w:val="20"/>
                <w:szCs w:val="24"/>
              </w:rPr>
            </w:pPr>
          </w:p>
        </w:tc>
      </w:tr>
      <w:tr>
        <w:tblPrEx>
          <w:tblW w:w="16160" w:type="dxa"/>
          <w:tblInd w:w="-497" w:type="dxa"/>
          <w:tblLayout w:type="fixed"/>
          <w:tblCellMar>
            <w:top w:w="0" w:type="dxa"/>
            <w:left w:w="43" w:type="dxa"/>
            <w:bottom w:w="0" w:type="dxa"/>
            <w:right w:w="43" w:type="dxa"/>
          </w:tblCellMar>
        </w:tblPrEx>
        <w:trPr>
          <w:trHeight w:hRule="auto" w:val="0"/>
        </w:trPr>
        <w:tc>
          <w:tcPr>
            <w:tcW w:w="89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rPr>
                <w:rStyle w:val="DefaultParagraphFont"/>
                <w:rFonts w:ascii="Times New Roman" w:hAnsi="Times New Roman" w:cs="Times New Roman"/>
                <w:sz w:val="20"/>
                <w:szCs w:val="24"/>
              </w:rPr>
            </w:pPr>
          </w:p>
        </w:tc>
        <w:tc>
          <w:tcPr>
            <w:tcW w:w="342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PRÍLOHA V</w:t>
            </w:r>
          </w:p>
          <w:p w:rsidR="00F1062D">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Korelačná tabuľka</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n.a.</w:t>
            </w:r>
          </w:p>
        </w:tc>
        <w:tc>
          <w:tcPr>
            <w:tcW w:w="16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Normlny"/>
              <w:jc w:val="center"/>
              <w:rPr>
                <w:rStyle w:val="DefaultParagraphFont"/>
                <w:rFonts w:ascii="Times New Roman" w:hAnsi="Times New Roman" w:cs="Times New Roman"/>
                <w:szCs w:val="24"/>
              </w:rPr>
            </w:pPr>
          </w:p>
        </w:tc>
        <w:tc>
          <w:tcPr>
            <w:tcW w:w="36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Normlny"/>
              <w:jc w:val="both"/>
              <w:rPr>
                <w:rStyle w:val="DefaultParagraphFont"/>
                <w:rFonts w:ascii="Times New Roman" w:hAnsi="Times New Roman" w:cs="Times New Roman"/>
                <w:szCs w:val="24"/>
              </w:rPr>
            </w:pP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rPr>
                <w:rStyle w:val="DefaultParagraphFont"/>
                <w:rFonts w:ascii="Times New Roman" w:hAnsi="Times New Roman" w:cs="Times New Roman"/>
                <w:b w:val="0"/>
                <w:sz w:val="20"/>
                <w:szCs w:val="24"/>
              </w:rPr>
            </w:pPr>
          </w:p>
        </w:tc>
        <w:tc>
          <w:tcPr>
            <w:tcW w:w="140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jc w:val="both"/>
              <w:rPr>
                <w:rStyle w:val="DefaultParagraphFont"/>
                <w:rFonts w:ascii="Times New Roman" w:hAnsi="Times New Roman" w:cs="Times New Roman"/>
                <w:b w:val="0"/>
                <w:sz w:val="20"/>
                <w:szCs w:val="24"/>
              </w:rPr>
            </w:pPr>
          </w:p>
        </w:tc>
      </w:tr>
      <w:tr>
        <w:tblPrEx>
          <w:tblW w:w="16160" w:type="dxa"/>
          <w:tblInd w:w="-497" w:type="dxa"/>
          <w:tblLayout w:type="fixed"/>
          <w:tblCellMar>
            <w:top w:w="0" w:type="dxa"/>
            <w:left w:w="43" w:type="dxa"/>
            <w:bottom w:w="0" w:type="dxa"/>
            <w:right w:w="43" w:type="dxa"/>
          </w:tblCellMar>
        </w:tblPrEx>
        <w:trPr>
          <w:cantSplit/>
          <w:trHeight w:hRule="auto" w:val="0"/>
        </w:trPr>
        <w:tc>
          <w:tcPr>
            <w:tcW w:w="89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176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Smernica 90/394/EC</w:t>
            </w:r>
          </w:p>
        </w:tc>
        <w:tc>
          <w:tcPr>
            <w:tcW w:w="16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Táto Smernica</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n.a.</w:t>
            </w:r>
          </w:p>
        </w:tc>
        <w:tc>
          <w:tcPr>
            <w:tcW w:w="16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Normlny"/>
              <w:jc w:val="center"/>
              <w:rPr>
                <w:rStyle w:val="DefaultParagraphFont"/>
                <w:rFonts w:ascii="Times New Roman" w:hAnsi="Times New Roman" w:cs="Times New Roman"/>
                <w:szCs w:val="24"/>
              </w:rPr>
            </w:pPr>
          </w:p>
        </w:tc>
        <w:tc>
          <w:tcPr>
            <w:tcW w:w="36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Normlny"/>
              <w:jc w:val="both"/>
              <w:rPr>
                <w:rStyle w:val="DefaultParagraphFont"/>
                <w:rFonts w:ascii="Times New Roman" w:hAnsi="Times New Roman" w:cs="Times New Roman"/>
                <w:szCs w:val="24"/>
              </w:rPr>
            </w:pP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w:t>
            </w: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rPr>
                <w:rStyle w:val="DefaultParagraphFont"/>
                <w:rFonts w:ascii="Times New Roman" w:hAnsi="Times New Roman" w:cs="Times New Roman"/>
                <w:b w:val="0"/>
                <w:sz w:val="20"/>
                <w:szCs w:val="24"/>
              </w:rPr>
            </w:pPr>
          </w:p>
        </w:tc>
        <w:tc>
          <w:tcPr>
            <w:tcW w:w="140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jc w:val="both"/>
              <w:rPr>
                <w:rStyle w:val="DefaultParagraphFont"/>
                <w:rFonts w:ascii="Times New Roman" w:hAnsi="Times New Roman" w:cs="Times New Roman"/>
                <w:b w:val="0"/>
                <w:sz w:val="20"/>
                <w:szCs w:val="24"/>
              </w:rPr>
            </w:pPr>
          </w:p>
        </w:tc>
      </w:tr>
      <w:tr>
        <w:tblPrEx>
          <w:tblW w:w="16160" w:type="dxa"/>
          <w:tblInd w:w="-497" w:type="dxa"/>
          <w:tblLayout w:type="fixed"/>
          <w:tblCellMar>
            <w:top w:w="0" w:type="dxa"/>
            <w:left w:w="43" w:type="dxa"/>
            <w:bottom w:w="0" w:type="dxa"/>
            <w:right w:w="43" w:type="dxa"/>
          </w:tblCellMar>
        </w:tblPrEx>
        <w:trPr>
          <w:cantSplit/>
          <w:trHeight w:hRule="auto" w:val="0"/>
        </w:trPr>
        <w:tc>
          <w:tcPr>
            <w:tcW w:w="89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176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Článok 1</w:t>
            </w:r>
          </w:p>
          <w:p w:rsidR="00F1062D">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Článok 2(a)</w:t>
            </w:r>
          </w:p>
          <w:p w:rsidR="00F1062D">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Článok 2(aa)</w:t>
            </w:r>
          </w:p>
          <w:p w:rsidR="00F1062D">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Článok 2(b)</w:t>
            </w:r>
          </w:p>
          <w:p w:rsidR="00F1062D">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Článok 3 až 9</w:t>
            </w:r>
          </w:p>
          <w:p w:rsidR="00F1062D">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Článok 10(1)(a)</w:t>
            </w:r>
          </w:p>
          <w:p w:rsidR="00F1062D">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Článok 10(1)(b), prvá veta</w:t>
            </w:r>
          </w:p>
          <w:p w:rsidR="00F1062D">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Článok 10(1)(b), druhá veta</w:t>
            </w:r>
          </w:p>
          <w:p w:rsidR="00F1062D">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Článok 10(1)(c)</w:t>
            </w:r>
          </w:p>
          <w:p w:rsidR="00F1062D">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Článok 10(1)(d), prvá a druhá veta</w:t>
            </w:r>
          </w:p>
          <w:p w:rsidR="00F1062D">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Článok 10(1)(d) tretia veta</w:t>
            </w:r>
          </w:p>
          <w:p w:rsidR="00F1062D">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Článok 10(2)</w:t>
            </w:r>
          </w:p>
          <w:p w:rsidR="00F1062D">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Člá</w:t>
            </w:r>
            <w:r>
              <w:rPr>
                <w:rStyle w:val="DefaultParagraphFont"/>
                <w:rFonts w:ascii="Times New Roman" w:hAnsi="Times New Roman" w:cs="Times New Roman"/>
                <w:szCs w:val="24"/>
              </w:rPr>
              <w:t>nok 11 až 18</w:t>
            </w:r>
          </w:p>
          <w:p w:rsidR="00F1062D">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Článok 19(1) prvý subparagraf</w:t>
            </w:r>
          </w:p>
          <w:p w:rsidR="00F1062D">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Článok 19(1) druhý subparagraf</w:t>
            </w:r>
          </w:p>
          <w:p w:rsidR="00F1062D">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Článok 19(1) tretí subparagraf</w:t>
            </w:r>
          </w:p>
          <w:p w:rsidR="00F1062D">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Článok 19(2)</w:t>
            </w:r>
          </w:p>
          <w:p w:rsidR="00F1062D">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w:t>
            </w:r>
          </w:p>
          <w:p w:rsidR="00F1062D">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w:t>
            </w:r>
          </w:p>
          <w:p w:rsidR="00F1062D">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Článok 20</w:t>
            </w:r>
          </w:p>
          <w:p w:rsidR="00F1062D">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Príloha I</w:t>
            </w:r>
          </w:p>
          <w:p w:rsidR="00F1062D">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Príloha II</w:t>
            </w:r>
          </w:p>
          <w:p w:rsidR="00F1062D">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Príloha III</w:t>
            </w:r>
          </w:p>
          <w:p w:rsidR="00F1062D">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w:t>
            </w:r>
          </w:p>
          <w:p w:rsidR="00F1062D">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w:t>
            </w:r>
          </w:p>
        </w:tc>
        <w:tc>
          <w:tcPr>
            <w:tcW w:w="16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Článok 1</w:t>
            </w:r>
          </w:p>
          <w:p w:rsidR="00F1062D">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Článok 2(a)</w:t>
            </w:r>
          </w:p>
          <w:p w:rsidR="00F1062D">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Článok 2(b)</w:t>
            </w:r>
          </w:p>
          <w:p w:rsidR="00F1062D">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Článok 2(c)</w:t>
            </w:r>
          </w:p>
          <w:p w:rsidR="00F1062D">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Článok 3 až 9</w:t>
            </w:r>
          </w:p>
          <w:p w:rsidR="00F1062D">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Článok 1</w:t>
            </w:r>
            <w:r>
              <w:rPr>
                <w:rStyle w:val="DefaultParagraphFont"/>
                <w:rFonts w:ascii="Times New Roman" w:hAnsi="Times New Roman" w:cs="Times New Roman"/>
                <w:szCs w:val="24"/>
              </w:rPr>
              <w:t>0(1)(a)</w:t>
            </w:r>
          </w:p>
          <w:p w:rsidR="00F1062D">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Článok 10(1)(b)</w:t>
            </w:r>
          </w:p>
          <w:p w:rsidR="00F1062D">
            <w:pPr>
              <w:pStyle w:val="Normlny"/>
              <w:rPr>
                <w:rStyle w:val="DefaultParagraphFont"/>
                <w:rFonts w:ascii="Times New Roman" w:hAnsi="Times New Roman" w:cs="Times New Roman"/>
                <w:szCs w:val="24"/>
              </w:rPr>
            </w:pPr>
          </w:p>
          <w:p w:rsidR="00F1062D">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Článok 10(1)(c)</w:t>
            </w:r>
          </w:p>
          <w:p w:rsidR="00F1062D">
            <w:pPr>
              <w:pStyle w:val="Normlny"/>
              <w:rPr>
                <w:rStyle w:val="DefaultParagraphFont"/>
                <w:rFonts w:ascii="Times New Roman" w:hAnsi="Times New Roman" w:cs="Times New Roman"/>
                <w:szCs w:val="24"/>
              </w:rPr>
            </w:pPr>
          </w:p>
          <w:p w:rsidR="00F1062D">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Článok 10(1)(d)</w:t>
            </w:r>
          </w:p>
          <w:p w:rsidR="00F1062D">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Článok 10(1)(e)</w:t>
            </w:r>
          </w:p>
          <w:p w:rsidR="00F1062D">
            <w:pPr>
              <w:pStyle w:val="Normlny"/>
              <w:rPr>
                <w:rStyle w:val="DefaultParagraphFont"/>
                <w:rFonts w:ascii="Times New Roman" w:hAnsi="Times New Roman" w:cs="Times New Roman"/>
                <w:szCs w:val="24"/>
              </w:rPr>
            </w:pPr>
          </w:p>
          <w:p w:rsidR="00F1062D">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Článok 10(1)(f)</w:t>
            </w:r>
          </w:p>
          <w:p w:rsidR="00F1062D">
            <w:pPr>
              <w:pStyle w:val="Normlny"/>
              <w:rPr>
                <w:rStyle w:val="DefaultParagraphFont"/>
                <w:rFonts w:ascii="Times New Roman" w:hAnsi="Times New Roman" w:cs="Times New Roman"/>
                <w:szCs w:val="24"/>
              </w:rPr>
            </w:pPr>
          </w:p>
          <w:p w:rsidR="00F1062D">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Článok 10(2)</w:t>
            </w:r>
          </w:p>
          <w:p w:rsidR="00F1062D">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Článok 11 až 18</w:t>
            </w:r>
          </w:p>
          <w:p w:rsidR="00F1062D">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w:t>
            </w:r>
          </w:p>
          <w:p w:rsidR="00F1062D">
            <w:pPr>
              <w:pStyle w:val="Normlny"/>
              <w:rPr>
                <w:rStyle w:val="DefaultParagraphFont"/>
                <w:rFonts w:ascii="Times New Roman" w:hAnsi="Times New Roman" w:cs="Times New Roman"/>
                <w:szCs w:val="24"/>
              </w:rPr>
            </w:pPr>
          </w:p>
          <w:p w:rsidR="00F1062D">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w:t>
            </w:r>
          </w:p>
          <w:p w:rsidR="00F1062D">
            <w:pPr>
              <w:pStyle w:val="Normlny"/>
              <w:rPr>
                <w:rStyle w:val="DefaultParagraphFont"/>
                <w:rFonts w:ascii="Times New Roman" w:hAnsi="Times New Roman" w:cs="Times New Roman"/>
                <w:szCs w:val="24"/>
              </w:rPr>
            </w:pPr>
          </w:p>
          <w:p w:rsidR="00F1062D">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w:t>
            </w:r>
          </w:p>
          <w:p w:rsidR="00F1062D">
            <w:pPr>
              <w:pStyle w:val="Normlny"/>
              <w:rPr>
                <w:rStyle w:val="DefaultParagraphFont"/>
                <w:rFonts w:ascii="Times New Roman" w:hAnsi="Times New Roman" w:cs="Times New Roman"/>
                <w:szCs w:val="24"/>
              </w:rPr>
            </w:pPr>
          </w:p>
          <w:p w:rsidR="00F1062D">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Článok 19</w:t>
            </w:r>
          </w:p>
          <w:p w:rsidR="00F1062D">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Článok 20</w:t>
            </w:r>
          </w:p>
          <w:p w:rsidR="00F1062D">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Článok 21</w:t>
            </w:r>
          </w:p>
          <w:p w:rsidR="00F1062D">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Článok 22</w:t>
            </w:r>
          </w:p>
          <w:p w:rsidR="00F1062D">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Príloha I</w:t>
            </w:r>
          </w:p>
          <w:p w:rsidR="00F1062D">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Príloha II</w:t>
            </w:r>
          </w:p>
          <w:p w:rsidR="00F1062D">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Príloha III</w:t>
            </w:r>
          </w:p>
          <w:p w:rsidR="00F1062D">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Príloha IV</w:t>
            </w:r>
          </w:p>
          <w:p w:rsidR="00F1062D">
            <w:pPr>
              <w:pStyle w:val="Normlny"/>
              <w:rPr>
                <w:rStyle w:val="DefaultParagraphFont"/>
                <w:rFonts w:ascii="Times New Roman" w:hAnsi="Times New Roman" w:cs="Times New Roman"/>
                <w:szCs w:val="24"/>
              </w:rPr>
            </w:pPr>
            <w:r>
              <w:rPr>
                <w:rStyle w:val="DefaultParagraphFont"/>
                <w:rFonts w:ascii="Times New Roman" w:hAnsi="Times New Roman" w:cs="Times New Roman"/>
                <w:szCs w:val="24"/>
              </w:rPr>
              <w:t>Príloha V</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16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Normlny"/>
              <w:jc w:val="center"/>
              <w:rPr>
                <w:rStyle w:val="DefaultParagraphFont"/>
                <w:rFonts w:ascii="Times New Roman" w:hAnsi="Times New Roman" w:cs="Times New Roman"/>
                <w:szCs w:val="24"/>
              </w:rPr>
            </w:pPr>
          </w:p>
        </w:tc>
        <w:tc>
          <w:tcPr>
            <w:tcW w:w="36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Normlny"/>
              <w:jc w:val="both"/>
              <w:rPr>
                <w:rStyle w:val="DefaultParagraphFont"/>
                <w:rFonts w:ascii="Times New Roman" w:hAnsi="Times New Roman" w:cs="Times New Roman"/>
                <w:szCs w:val="24"/>
              </w:rPr>
            </w:pP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72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p>
        </w:tc>
        <w:tc>
          <w:tcPr>
            <w:tcW w:w="18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rPr>
                <w:rStyle w:val="DefaultParagraphFont"/>
                <w:rFonts w:ascii="Times New Roman" w:hAnsi="Times New Roman" w:cs="Times New Roman"/>
                <w:b w:val="0"/>
                <w:sz w:val="20"/>
                <w:szCs w:val="24"/>
              </w:rPr>
            </w:pPr>
          </w:p>
        </w:tc>
        <w:tc>
          <w:tcPr>
            <w:tcW w:w="140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Heading1"/>
              <w:jc w:val="both"/>
              <w:rPr>
                <w:rStyle w:val="DefaultParagraphFont"/>
                <w:rFonts w:ascii="Times New Roman" w:hAnsi="Times New Roman" w:cs="Times New Roman"/>
                <w:b w:val="0"/>
                <w:sz w:val="20"/>
                <w:szCs w:val="24"/>
              </w:rPr>
            </w:pPr>
          </w:p>
        </w:tc>
      </w:tr>
    </w:tbl>
    <w:p w:rsidR="00F1062D">
      <w:pPr>
        <w:ind w:left="360" w:hanging="36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č</w:t>
      </w:r>
      <w:r>
        <w:rPr>
          <w:rStyle w:val="DefaultParagraphFont"/>
          <w:rFonts w:ascii="Times New Roman" w:hAnsi="Times New Roman" w:cs="Times New Roman"/>
          <w:sz w:val="20"/>
          <w:szCs w:val="24"/>
        </w:rPr>
        <w:t>lenenie smernice je vecou gestora</w:t>
      </w:r>
    </w:p>
    <w:p w:rsidR="00F1062D">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dátum účinnosti zapíšte vo formáte dd/mm/rrrr, napr. 17/07/2005</w:t>
      </w:r>
    </w:p>
    <w:p w:rsidR="00F1062D">
      <w:pPr>
        <w:rPr>
          <w:rStyle w:val="DefaultParagraphFont"/>
          <w:rFonts w:ascii="Times New Roman" w:hAnsi="Times New Roman" w:cs="Times New Roman"/>
          <w:sz w:val="20"/>
          <w:szCs w:val="24"/>
        </w:rPr>
      </w:pPr>
    </w:p>
    <w:p w:rsidR="00F1062D">
      <w:pPr>
        <w:rPr>
          <w:rStyle w:val="DefaultParagraphFont"/>
          <w:rFonts w:ascii="Times New Roman" w:hAnsi="Times New Roman" w:cs="Times New Roman"/>
          <w:sz w:val="20"/>
          <w:szCs w:val="24"/>
        </w:rPr>
      </w:pPr>
    </w:p>
    <w:p w:rsidR="00F1062D">
      <w:pPr>
        <w:rPr>
          <w:rStyle w:val="DefaultParagraphFont"/>
          <w:rFonts w:ascii="Times New Roman" w:hAnsi="Times New Roman" w:cs="Times New Roman"/>
          <w:sz w:val="20"/>
          <w:szCs w:val="24"/>
        </w:rPr>
      </w:pPr>
    </w:p>
    <w:p w:rsidR="00F1062D">
      <w:pPr>
        <w:rPr>
          <w:rStyle w:val="DefaultParagraphFont"/>
          <w:rFonts w:ascii="Times New Roman" w:hAnsi="Times New Roman" w:cs="Times New Roman"/>
          <w:sz w:val="20"/>
          <w:szCs w:val="24"/>
        </w:rPr>
      </w:pPr>
    </w:p>
    <w:p w:rsidR="00F1062D">
      <w:pPr>
        <w:rPr>
          <w:rStyle w:val="DefaultParagraphFont"/>
          <w:rFonts w:ascii="Times New Roman" w:hAnsi="Times New Roman" w:cs="Times New Roman"/>
          <w:sz w:val="20"/>
          <w:szCs w:val="24"/>
        </w:rPr>
      </w:pPr>
    </w:p>
    <w:p w:rsidR="00F1062D">
      <w:pPr>
        <w:rPr>
          <w:rStyle w:val="DefaultParagraphFont"/>
          <w:rFonts w:ascii="Times New Roman" w:hAnsi="Times New Roman" w:cs="Times New Roman"/>
          <w:sz w:val="20"/>
          <w:szCs w:val="24"/>
        </w:rPr>
      </w:pPr>
    </w:p>
    <w:p w:rsidR="00F1062D">
      <w:pPr>
        <w:rPr>
          <w:rStyle w:val="DefaultParagraphFont"/>
          <w:rFonts w:ascii="Times New Roman" w:hAnsi="Times New Roman" w:cs="Times New Roman"/>
          <w:sz w:val="20"/>
          <w:szCs w:val="24"/>
        </w:rPr>
      </w:pPr>
    </w:p>
    <w:tbl>
      <w:tblPr>
        <w:tblW w:w="0" w:type="auto"/>
        <w:tblInd w:w="-497" w:type="dxa"/>
        <w:tblBorders>
          <w:top w:val="single" w:sz="4" w:space="0" w:color="auto"/>
          <w:left w:val="single" w:sz="4" w:space="0" w:color="auto"/>
          <w:bottom w:val="single" w:sz="4" w:space="0" w:color="auto"/>
          <w:right w:val="single" w:sz="4" w:space="0" w:color="auto"/>
        </w:tblBorders>
        <w:tblLayout w:type="fixed"/>
        <w:tblCellMar>
          <w:top w:w="0" w:type="dxa"/>
          <w:left w:w="43" w:type="dxa"/>
          <w:bottom w:w="0" w:type="dxa"/>
          <w:right w:w="43" w:type="dxa"/>
        </w:tblCellMar>
      </w:tblPr>
      <w:tblGrid>
        <w:gridCol w:w="1186"/>
        <w:gridCol w:w="14974"/>
      </w:tblGrid>
      <w:tr>
        <w:tblPrEx>
          <w:tblW w:w="0" w:type="auto"/>
          <w:tblInd w:w="-497" w:type="dxa"/>
          <w:tblBorders>
            <w:top w:val="single" w:sz="4" w:space="0" w:color="auto"/>
            <w:left w:val="single" w:sz="4" w:space="0" w:color="auto"/>
            <w:bottom w:val="single" w:sz="4" w:space="0" w:color="auto"/>
            <w:right w:val="single" w:sz="4" w:space="0" w:color="auto"/>
          </w:tblBorders>
          <w:tblLayout w:type="fixed"/>
          <w:tblCellMar>
            <w:top w:w="0" w:type="dxa"/>
            <w:left w:w="43" w:type="dxa"/>
            <w:bottom w:w="0" w:type="dxa"/>
            <w:right w:w="43" w:type="dxa"/>
          </w:tblCellMar>
        </w:tblPrEx>
        <w:trPr>
          <w:cantSplit/>
          <w:trHeight w:hRule="auto" w:val="0"/>
        </w:trPr>
        <w:tc>
          <w:tcPr>
            <w:tcW w:w="16160" w:type="dxa"/>
            <w:gridSpan w:val="2"/>
            <w:tcBorders>
              <w:top w:val="single" w:sz="12" w:space="0" w:color="auto"/>
              <w:left w:val="single" w:sz="12" w:space="0" w:color="auto"/>
              <w:bottom w:val="nil"/>
              <w:right w:val="single" w:sz="12" w:space="0" w:color="auto"/>
              <w:tl2br w:val="nil"/>
              <w:tr2bl w:val="nil"/>
            </w:tcBorders>
            <w:textDirection w:val="lrTb"/>
            <w:vAlign w:val="top"/>
          </w:tcPr>
          <w:p w:rsidR="00F1062D">
            <w:pPr>
              <w:pStyle w:val="Heading2"/>
              <w:rPr>
                <w:rStyle w:val="DefaultParagraphFont"/>
                <w:rFonts w:ascii="Times New Roman" w:hAnsi="Times New Roman" w:cs="Times New Roman"/>
                <w:szCs w:val="24"/>
              </w:rPr>
            </w:pPr>
            <w:r>
              <w:rPr>
                <w:rStyle w:val="DefaultParagraphFont"/>
                <w:rFonts w:ascii="Times New Roman" w:hAnsi="Times New Roman" w:cs="Times New Roman"/>
                <w:szCs w:val="24"/>
              </w:rPr>
              <w:t>Zoznam všeobecne záväzných právnych predpisov preberajúcich smernicu: (uveďte číslo smernice)</w:t>
            </w:r>
          </w:p>
          <w:p w:rsidR="00F1062D">
            <w:pPr>
              <w:jc w:val="center"/>
              <w:rPr>
                <w:rStyle w:val="DefaultParagraphFont"/>
                <w:rFonts w:ascii="Times New Roman" w:hAnsi="Times New Roman" w:cs="Times New Roman"/>
                <w:sz w:val="20"/>
                <w:szCs w:val="24"/>
              </w:rPr>
            </w:pPr>
          </w:p>
        </w:tc>
      </w:tr>
      <w:tr>
        <w:tblPrEx>
          <w:tblW w:w="0" w:type="auto"/>
          <w:tblInd w:w="-497" w:type="dxa"/>
          <w:tblLayout w:type="fixed"/>
          <w:tblCellMar>
            <w:top w:w="0" w:type="dxa"/>
            <w:left w:w="43" w:type="dxa"/>
            <w:bottom w:w="0" w:type="dxa"/>
            <w:right w:w="43" w:type="dxa"/>
          </w:tblCellMar>
        </w:tblPrEx>
        <w:trPr>
          <w:cantSplit/>
          <w:trHeight w:hRule="auto" w:val="0"/>
        </w:trPr>
        <w:tc>
          <w:tcPr>
            <w:tcW w:w="1186" w:type="dxa"/>
            <w:tcBorders>
              <w:top w:val="nil"/>
              <w:left w:val="single" w:sz="12" w:space="0" w:color="auto"/>
              <w:bottom w:val="nil"/>
              <w:right w:val="nil"/>
              <w:tl2br w:val="nil"/>
              <w:tr2bl w:val="nil"/>
            </w:tcBorders>
            <w:textDirection w:val="lrTb"/>
            <w:vAlign w:val="top"/>
          </w:tcPr>
          <w:p w:rsidR="00F1062D">
            <w:pPr>
              <w:spacing w:before="12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Por. č.</w:t>
            </w:r>
          </w:p>
        </w:tc>
        <w:tc>
          <w:tcPr>
            <w:tcW w:w="14974" w:type="dxa"/>
            <w:tcBorders>
              <w:top w:val="nil"/>
              <w:left w:val="nil"/>
              <w:bottom w:val="nil"/>
              <w:right w:val="single" w:sz="12" w:space="0" w:color="auto"/>
              <w:tl2br w:val="nil"/>
              <w:tr2bl w:val="nil"/>
            </w:tcBorders>
            <w:textDirection w:val="lrTb"/>
            <w:vAlign w:val="top"/>
          </w:tcPr>
          <w:p w:rsidR="00F1062D">
            <w:pPr>
              <w:rPr>
                <w:rStyle w:val="DefaultParagraphFont"/>
                <w:rFonts w:ascii="Times New Roman" w:hAnsi="Times New Roman" w:cs="Times New Roman"/>
                <w:sz w:val="20"/>
                <w:szCs w:val="24"/>
              </w:rPr>
            </w:pPr>
            <w:r>
              <w:rPr>
                <w:rStyle w:val="DefaultParagraphFont"/>
                <w:rFonts w:ascii="Times New Roman" w:hAnsi="Times New Roman" w:cs="Times New Roman"/>
                <w:szCs w:val="24"/>
              </w:rPr>
              <w:t>Názov predpisu</w:t>
            </w:r>
          </w:p>
        </w:tc>
      </w:tr>
      <w:tr>
        <w:tblPrEx>
          <w:tblW w:w="0" w:type="auto"/>
          <w:tblInd w:w="-497" w:type="dxa"/>
          <w:tblLayout w:type="fixed"/>
          <w:tblCellMar>
            <w:top w:w="0" w:type="dxa"/>
            <w:left w:w="43" w:type="dxa"/>
            <w:bottom w:w="0" w:type="dxa"/>
            <w:right w:w="43" w:type="dxa"/>
          </w:tblCellMar>
        </w:tblPrEx>
        <w:trPr>
          <w:cantSplit/>
          <w:trHeight w:hRule="auto" w:val="0"/>
        </w:trPr>
        <w:tc>
          <w:tcPr>
            <w:tcW w:w="1186" w:type="dxa"/>
            <w:tcBorders>
              <w:top w:val="nil"/>
              <w:left w:val="single" w:sz="12" w:space="0" w:color="auto"/>
              <w:bottom w:val="single" w:sz="12" w:space="0" w:color="auto"/>
              <w:right w:val="nil"/>
              <w:tl2br w:val="nil"/>
              <w:tr2bl w:val="nil"/>
            </w:tcBorders>
            <w:textDirection w:val="lrTb"/>
            <w:vAlign w:val="top"/>
          </w:tcPr>
          <w:p w:rsidR="00F1062D">
            <w:pPr>
              <w:numPr>
                <w:numId w:val="10"/>
              </w:numPr>
              <w:tabs>
                <w:tab w:val="left" w:pos="720"/>
              </w:tabs>
              <w:jc w:val="center"/>
              <w:rPr>
                <w:rStyle w:val="DefaultParagraphFont"/>
                <w:rFonts w:ascii="Times New Roman" w:hAnsi="Times New Roman" w:cs="Times New Roman"/>
                <w:sz w:val="20"/>
                <w:szCs w:val="24"/>
              </w:rPr>
            </w:pPr>
          </w:p>
        </w:tc>
        <w:tc>
          <w:tcPr>
            <w:tcW w:w="14974" w:type="dxa"/>
            <w:tcBorders>
              <w:top w:val="nil"/>
              <w:left w:val="nil"/>
              <w:bottom w:val="single" w:sz="12" w:space="0" w:color="auto"/>
              <w:right w:val="single" w:sz="12" w:space="0" w:color="auto"/>
              <w:tl2br w:val="nil"/>
              <w:tr2bl w:val="nil"/>
            </w:tcBorders>
            <w:textDirection w:val="lrTb"/>
            <w:vAlign w:val="top"/>
          </w:tcPr>
          <w:p w:rsidR="00F1062D">
            <w:pPr>
              <w:pStyle w:val="abc"/>
              <w:tabs>
                <w:tab w:val="clear" w:pos="360"/>
                <w:tab w:val="clear" w:pos="680"/>
              </w:tabs>
              <w:rPr>
                <w:rStyle w:val="DefaultParagraphFont"/>
                <w:rFonts w:ascii="Times New Roman" w:hAnsi="Times New Roman" w:cs="Times New Roman"/>
                <w:szCs w:val="24"/>
              </w:rPr>
            </w:pPr>
            <w:r>
              <w:rPr>
                <w:rStyle w:val="DefaultParagraphFont"/>
                <w:rFonts w:ascii="Times New Roman" w:hAnsi="Times New Roman" w:cs="Times New Roman"/>
                <w:b/>
                <w:szCs w:val="24"/>
              </w:rPr>
              <w:t>Nariadenie vlá</w:t>
            </w:r>
            <w:r>
              <w:rPr>
                <w:rStyle w:val="DefaultParagraphFont"/>
                <w:rFonts w:ascii="Times New Roman" w:hAnsi="Times New Roman" w:cs="Times New Roman"/>
                <w:b/>
                <w:szCs w:val="24"/>
              </w:rPr>
              <w:t>dy Slovenskej republiky č... Z. z. o ochrane zdravia zamestnancov pred rizikami súvisiacimi s expozíciou karcinogénnym a mutagénnym  faktorom pri práci</w:t>
            </w:r>
          </w:p>
        </w:tc>
      </w:tr>
    </w:tbl>
    <w:p w:rsidR="00F1062D">
      <w:pPr>
        <w:rPr>
          <w:rStyle w:val="DefaultParagraphFont"/>
          <w:rFonts w:ascii="Times New Roman" w:hAnsi="Times New Roman" w:cs="Times New Roman"/>
          <w:szCs w:val="24"/>
        </w:rPr>
      </w:pPr>
    </w:p>
    <w:p w:rsidR="00F1062D">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Tabuľka č.1</w:t>
        <w:tab/>
        <w:tab/>
        <w:tab/>
        <w:tab/>
        <w:tab/>
        <w:tab/>
        <w:tab/>
        <w:tab/>
        <w:tab/>
        <w:tab/>
        <w:t xml:space="preserve">  Tabuľka č.2</w:t>
      </w:r>
    </w:p>
    <w:tbl>
      <w:tblPr>
        <w:tblW w:w="0" w:type="auto"/>
        <w:jc w:val="right"/>
        <w:tblLayout w:type="fixed"/>
        <w:tblCellMar>
          <w:top w:w="0" w:type="dxa"/>
          <w:left w:w="0" w:type="dxa"/>
          <w:bottom w:w="0" w:type="dxa"/>
          <w:right w:w="0" w:type="dxa"/>
        </w:tblCellMar>
      </w:tblPr>
      <w:tblGrid>
        <w:gridCol w:w="1301"/>
        <w:gridCol w:w="1040"/>
        <w:gridCol w:w="1041"/>
        <w:gridCol w:w="780"/>
        <w:gridCol w:w="780"/>
        <w:gridCol w:w="521"/>
        <w:gridCol w:w="1431"/>
        <w:gridCol w:w="259"/>
        <w:gridCol w:w="525"/>
        <w:gridCol w:w="1171"/>
        <w:gridCol w:w="915"/>
        <w:gridCol w:w="781"/>
        <w:gridCol w:w="645"/>
        <w:gridCol w:w="6"/>
        <w:gridCol w:w="654"/>
        <w:gridCol w:w="645"/>
        <w:gridCol w:w="6"/>
        <w:gridCol w:w="624"/>
        <w:gridCol w:w="26"/>
        <w:gridCol w:w="653"/>
        <w:gridCol w:w="786"/>
      </w:tblGrid>
      <w:tr>
        <w:tblPrEx>
          <w:tblW w:w="0" w:type="auto"/>
          <w:jc w:val="right"/>
          <w:tblLayout w:type="fixed"/>
          <w:tblCellMar>
            <w:top w:w="0" w:type="dxa"/>
            <w:left w:w="0" w:type="dxa"/>
            <w:bottom w:w="0" w:type="dxa"/>
            <w:right w:w="0" w:type="dxa"/>
          </w:tblCellMar>
        </w:tblPrEx>
        <w:trPr>
          <w:cantSplit/>
          <w:trHeight w:hRule="exact" w:val="244"/>
          <w:jc w:val="right"/>
        </w:trPr>
        <w:tc>
          <w:tcPr>
            <w:tcW w:w="1301" w:type="dxa"/>
            <w:vMerge w:val="restart"/>
            <w:tcBorders>
              <w:top w:val="single" w:sz="8" w:space="0" w:color="000000"/>
              <w:left w:val="single" w:sz="8" w:space="0" w:color="000000"/>
              <w:bottom w:val="single" w:sz="2" w:space="0" w:color="000000"/>
              <w:right w:val="nil"/>
              <w:tl2br w:val="nil"/>
              <w:tr2bl w:val="nil"/>
            </w:tcBorders>
            <w:shd w:val="clear" w:color="FFFFFF" w:fill="FFFFFF"/>
            <w:textDirection w:val="lrTb"/>
            <w:vAlign w:val="center"/>
          </w:tcPr>
          <w:p w:rsidR="00F1062D">
            <w:pPr>
              <w:pStyle w:val="BodyText"/>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Názov látky</w:t>
            </w:r>
          </w:p>
        </w:tc>
        <w:tc>
          <w:tcPr>
            <w:tcW w:w="1040" w:type="dxa"/>
            <w:vMerge w:val="restart"/>
            <w:tcBorders>
              <w:top w:val="single" w:sz="8" w:space="0" w:color="000000"/>
              <w:left w:val="single" w:sz="2" w:space="0" w:color="000000"/>
              <w:bottom w:val="single" w:sz="2" w:space="0" w:color="000000"/>
              <w:right w:val="nil"/>
              <w:tl2br w:val="nil"/>
              <w:tr2bl w:val="nil"/>
            </w:tcBorders>
            <w:shd w:val="clear" w:color="FFFFFF" w:fill="FFFFFF"/>
            <w:textDirection w:val="lrTb"/>
            <w:vAlign w:val="center"/>
          </w:tcPr>
          <w:p w:rsidR="00F1062D">
            <w:pPr>
              <w:pStyle w:val="BodyText"/>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EINECS</w:t>
            </w:r>
          </w:p>
        </w:tc>
        <w:tc>
          <w:tcPr>
            <w:tcW w:w="1041" w:type="dxa"/>
            <w:vMerge w:val="restart"/>
            <w:tcBorders>
              <w:top w:val="single" w:sz="8" w:space="0" w:color="000000"/>
              <w:left w:val="single" w:sz="2" w:space="0" w:color="000000"/>
              <w:bottom w:val="single" w:sz="2" w:space="0" w:color="000000"/>
              <w:right w:val="nil"/>
              <w:tl2br w:val="nil"/>
              <w:tr2bl w:val="nil"/>
            </w:tcBorders>
            <w:shd w:val="clear" w:color="FFFFFF" w:fill="FFFFFF"/>
            <w:textDirection w:val="lrTb"/>
            <w:vAlign w:val="center"/>
          </w:tcPr>
          <w:p w:rsidR="00F1062D">
            <w:pPr>
              <w:pStyle w:val="BodyText"/>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CAS</w:t>
            </w:r>
          </w:p>
        </w:tc>
        <w:tc>
          <w:tcPr>
            <w:tcW w:w="1560" w:type="dxa"/>
            <w:gridSpan w:val="2"/>
            <w:tcBorders>
              <w:top w:val="single" w:sz="8" w:space="0" w:color="000000"/>
              <w:left w:val="single" w:sz="2" w:space="0" w:color="000000"/>
              <w:bottom w:val="single" w:sz="2" w:space="0" w:color="000000"/>
              <w:right w:val="nil"/>
              <w:tl2br w:val="nil"/>
              <w:tr2bl w:val="nil"/>
            </w:tcBorders>
            <w:shd w:val="clear" w:color="FFFFFF" w:fill="FFFFFF"/>
            <w:textDirection w:val="lrTb"/>
            <w:vAlign w:val="center"/>
          </w:tcPr>
          <w:p w:rsidR="00F1062D">
            <w:pPr>
              <w:pStyle w:val="BodyText"/>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Limitné  hodnoty</w:t>
            </w:r>
          </w:p>
        </w:tc>
        <w:tc>
          <w:tcPr>
            <w:tcW w:w="521" w:type="dxa"/>
            <w:vMerge w:val="restart"/>
            <w:tcBorders>
              <w:top w:val="single" w:sz="8" w:space="0" w:color="000000"/>
              <w:left w:val="single" w:sz="2" w:space="0" w:color="000000"/>
              <w:bottom w:val="single" w:sz="2" w:space="0" w:color="000000"/>
              <w:right w:val="nil"/>
              <w:tl2br w:val="nil"/>
              <w:tr2bl w:val="nil"/>
            </w:tcBorders>
            <w:shd w:val="clear" w:color="FFFFFF" w:fill="FFFFFF"/>
            <w:textDirection w:val="lrTb"/>
            <w:vAlign w:val="center"/>
          </w:tcPr>
          <w:p w:rsidR="00F1062D">
            <w:pPr>
              <w:pStyle w:val="BodyText"/>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Poznámky</w:t>
            </w:r>
          </w:p>
        </w:tc>
        <w:tc>
          <w:tcPr>
            <w:tcW w:w="1431" w:type="dxa"/>
            <w:vMerge w:val="restart"/>
            <w:tcBorders>
              <w:top w:val="single" w:sz="8" w:space="0" w:color="000000"/>
              <w:left w:val="single" w:sz="2" w:space="0" w:color="000000"/>
              <w:bottom w:val="single" w:sz="2" w:space="0" w:color="000000"/>
              <w:right w:val="single" w:sz="8" w:space="0" w:color="000000"/>
              <w:tl2br w:val="nil"/>
              <w:tr2bl w:val="nil"/>
            </w:tcBorders>
            <w:shd w:val="clear" w:color="FFFFFF" w:fill="FFFFFF"/>
            <w:textDirection w:val="lrTb"/>
            <w:vAlign w:val="center"/>
          </w:tcPr>
          <w:p w:rsidR="00F1062D">
            <w:pPr>
              <w:pStyle w:val="BodyText"/>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Prechodné opatrenia</w:t>
            </w:r>
          </w:p>
        </w:tc>
        <w:tc>
          <w:tcPr>
            <w:tcW w:w="259" w:type="dxa"/>
            <w:vMerge w:val="restart"/>
            <w:tcBorders>
              <w:top w:val="nil"/>
              <w:left w:val="nil"/>
              <w:bottom w:val="nil"/>
              <w:right w:val="nil"/>
              <w:tl2br w:val="nil"/>
              <w:tr2bl w:val="nil"/>
            </w:tcBorders>
            <w:textDirection w:val="lrTb"/>
            <w:vAlign w:val="center"/>
          </w:tcPr>
          <w:p w:rsidR="00F1062D">
            <w:pPr>
              <w:pStyle w:val="BodyText"/>
              <w:rPr>
                <w:rStyle w:val="DefaultParagraphFont"/>
                <w:rFonts w:ascii="Times New Roman" w:hAnsi="Times New Roman" w:cs="Times New Roman"/>
                <w:caps/>
                <w:sz w:val="20"/>
                <w:szCs w:val="24"/>
              </w:rPr>
            </w:pPr>
          </w:p>
        </w:tc>
        <w:tc>
          <w:tcPr>
            <w:tcW w:w="525" w:type="dxa"/>
            <w:vMerge w:val="restart"/>
            <w:tcBorders>
              <w:top w:val="single" w:sz="8" w:space="0" w:color="000000"/>
              <w:left w:val="single" w:sz="8" w:space="0" w:color="000000"/>
              <w:bottom w:val="single" w:sz="2" w:space="0" w:color="000000"/>
              <w:right w:val="nil"/>
              <w:tl2br w:val="nil"/>
              <w:tr2bl w:val="nil"/>
            </w:tcBorders>
            <w:shd w:val="clear" w:color="FFFFFF" w:fill="FFFFFF"/>
            <w:textDirection w:val="lrTb"/>
            <w:vAlign w:val="center"/>
          </w:tcPr>
          <w:p w:rsidR="00F1062D">
            <w:pPr>
              <w:pStyle w:val="BodyText"/>
              <w:rPr>
                <w:rStyle w:val="DefaultParagraphFont"/>
                <w:rFonts w:ascii="Times New Roman" w:hAnsi="Times New Roman" w:cs="Times New Roman"/>
                <w:sz w:val="20"/>
                <w:szCs w:val="24"/>
              </w:rPr>
            </w:pPr>
            <w:r>
              <w:rPr>
                <w:rStyle w:val="DefaultParagraphFont"/>
                <w:rFonts w:ascii="Times New Roman" w:hAnsi="Times New Roman" w:cs="Times New Roman"/>
                <w:caps/>
                <w:sz w:val="20"/>
                <w:szCs w:val="24"/>
              </w:rPr>
              <w:t>P</w:t>
            </w:r>
            <w:r>
              <w:rPr>
                <w:rStyle w:val="DefaultParagraphFont"/>
                <w:rFonts w:ascii="Times New Roman" w:hAnsi="Times New Roman" w:cs="Times New Roman"/>
                <w:sz w:val="20"/>
                <w:szCs w:val="24"/>
              </w:rPr>
              <w:t>or. čís.</w:t>
            </w:r>
          </w:p>
        </w:tc>
        <w:tc>
          <w:tcPr>
            <w:tcW w:w="1171" w:type="dxa"/>
            <w:vMerge w:val="restart"/>
            <w:tcBorders>
              <w:top w:val="single" w:sz="8" w:space="0" w:color="000000"/>
              <w:left w:val="single" w:sz="2" w:space="0" w:color="000000"/>
              <w:bottom w:val="single" w:sz="2" w:space="0" w:color="000000"/>
              <w:right w:val="nil"/>
              <w:tl2br w:val="nil"/>
              <w:tr2bl w:val="nil"/>
            </w:tcBorders>
            <w:shd w:val="clear" w:color="FFFFFF" w:fill="FFFFFF"/>
            <w:textDirection w:val="lrTb"/>
            <w:vAlign w:val="center"/>
          </w:tcPr>
          <w:p w:rsidR="00F1062D">
            <w:pPr>
              <w:pStyle w:val="BodyText"/>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Chemická látka</w:t>
            </w:r>
          </w:p>
        </w:tc>
        <w:tc>
          <w:tcPr>
            <w:tcW w:w="915" w:type="dxa"/>
            <w:vMerge w:val="restart"/>
            <w:tcBorders>
              <w:top w:val="single" w:sz="8" w:space="0" w:color="000000"/>
              <w:left w:val="single" w:sz="2" w:space="0" w:color="000000"/>
              <w:bottom w:val="single" w:sz="2" w:space="0" w:color="000000"/>
              <w:right w:val="nil"/>
              <w:tl2br w:val="nil"/>
              <w:tr2bl w:val="nil"/>
            </w:tcBorders>
            <w:shd w:val="clear" w:color="FFFFFF" w:fill="FFFFFF"/>
            <w:textDirection w:val="lrTb"/>
            <w:vAlign w:val="center"/>
          </w:tcPr>
          <w:p w:rsidR="00F1062D">
            <w:pPr>
              <w:jc w:val="center"/>
              <w:rPr>
                <w:rStyle w:val="DefaultParagraphFont"/>
                <w:rFonts w:ascii="Times New Roman" w:hAnsi="Times New Roman" w:cs="Times New Roman"/>
                <w:sz w:val="20"/>
                <w:szCs w:val="24"/>
                <w:vertAlign w:val="superscript"/>
              </w:rPr>
            </w:pPr>
            <w:r>
              <w:rPr>
                <w:rStyle w:val="DefaultParagraphFont"/>
                <w:rFonts w:ascii="Times New Roman" w:hAnsi="Times New Roman" w:cs="Times New Roman"/>
                <w:sz w:val="20"/>
                <w:szCs w:val="24"/>
              </w:rPr>
              <w:t>EINECS</w:t>
            </w:r>
            <w:r>
              <w:rPr>
                <w:rStyle w:val="DefaultParagraphFont"/>
                <w:rFonts w:ascii="Times New Roman" w:hAnsi="Times New Roman" w:cs="Times New Roman"/>
                <w:sz w:val="20"/>
                <w:szCs w:val="24"/>
                <w:vertAlign w:val="superscript"/>
              </w:rPr>
              <w:t>1)</w:t>
            </w:r>
          </w:p>
        </w:tc>
        <w:tc>
          <w:tcPr>
            <w:tcW w:w="781" w:type="dxa"/>
            <w:vMerge w:val="restart"/>
            <w:tcBorders>
              <w:top w:val="single" w:sz="8" w:space="0" w:color="000000"/>
              <w:left w:val="single" w:sz="2" w:space="0" w:color="000000"/>
              <w:bottom w:val="single" w:sz="2" w:space="0" w:color="000000"/>
              <w:right w:val="nil"/>
              <w:tl2br w:val="nil"/>
              <w:tr2bl w:val="nil"/>
            </w:tcBorders>
            <w:shd w:val="clear" w:color="FFFFFF" w:fill="FFFFFF"/>
            <w:textDirection w:val="lrTb"/>
            <w:vAlign w:val="center"/>
          </w:tcPr>
          <w:p w:rsidR="00F1062D">
            <w:pPr>
              <w:jc w:val="center"/>
              <w:rPr>
                <w:rStyle w:val="DefaultParagraphFont"/>
                <w:rFonts w:ascii="Times New Roman" w:hAnsi="Times New Roman" w:cs="Times New Roman"/>
                <w:sz w:val="20"/>
                <w:szCs w:val="24"/>
                <w:vertAlign w:val="superscript"/>
              </w:rPr>
            </w:pPr>
            <w:r>
              <w:rPr>
                <w:rStyle w:val="DefaultParagraphFont"/>
                <w:rFonts w:ascii="Times New Roman" w:hAnsi="Times New Roman" w:cs="Times New Roman"/>
                <w:sz w:val="20"/>
                <w:szCs w:val="24"/>
              </w:rPr>
              <w:t>CAS</w:t>
            </w:r>
            <w:r>
              <w:rPr>
                <w:rStyle w:val="DefaultParagraphFont"/>
                <w:rFonts w:ascii="Times New Roman" w:hAnsi="Times New Roman" w:cs="Times New Roman"/>
                <w:sz w:val="20"/>
                <w:szCs w:val="24"/>
                <w:vertAlign w:val="superscript"/>
              </w:rPr>
              <w:t>2)</w:t>
            </w:r>
          </w:p>
        </w:tc>
        <w:tc>
          <w:tcPr>
            <w:tcW w:w="1305" w:type="dxa"/>
            <w:gridSpan w:val="3"/>
            <w:tcBorders>
              <w:top w:val="single" w:sz="8" w:space="0" w:color="000000"/>
              <w:left w:val="single" w:sz="2" w:space="0" w:color="000000"/>
              <w:bottom w:val="single" w:sz="8" w:space="0" w:color="000000"/>
              <w:right w:val="nil"/>
              <w:tl2br w:val="nil"/>
              <w:tr2bl w:val="nil"/>
            </w:tcBorders>
            <w:shd w:val="clear" w:color="FFFFFF" w:fill="FFFFFF"/>
            <w:textDirection w:val="lrTb"/>
            <w:vAlign w:val="center"/>
          </w:tcPr>
          <w:p w:rsidR="00F1062D">
            <w:pPr>
              <w:pStyle w:val="BodyTextIndent"/>
              <w:ind w:left="0"/>
              <w:jc w:val="center"/>
              <w:rPr>
                <w:rStyle w:val="DefaultParagraphFont"/>
                <w:rFonts w:ascii="Times New Roman" w:hAnsi="Times New Roman" w:cs="Times New Roman"/>
                <w:sz w:val="20"/>
                <w:szCs w:val="24"/>
                <w:vertAlign w:val="superscript"/>
              </w:rPr>
            </w:pPr>
            <w:r>
              <w:rPr>
                <w:rStyle w:val="DefaultParagraphFont"/>
                <w:rFonts w:ascii="Times New Roman" w:hAnsi="Times New Roman" w:cs="Times New Roman"/>
                <w:sz w:val="20"/>
                <w:szCs w:val="24"/>
              </w:rPr>
              <w:t>TSH</w:t>
            </w:r>
            <w:r>
              <w:rPr>
                <w:rStyle w:val="DefaultParagraphFont"/>
                <w:rFonts w:ascii="Times New Roman" w:hAnsi="Times New Roman" w:cs="Times New Roman"/>
                <w:sz w:val="20"/>
                <w:szCs w:val="24"/>
                <w:vertAlign w:val="superscript"/>
              </w:rPr>
              <w:t>3)</w:t>
            </w:r>
          </w:p>
        </w:tc>
        <w:tc>
          <w:tcPr>
            <w:tcW w:w="2740" w:type="dxa"/>
            <w:gridSpan w:val="6"/>
            <w:tcBorders>
              <w:top w:val="single" w:sz="8" w:space="0" w:color="000000"/>
              <w:left w:val="single" w:sz="2" w:space="0" w:color="000000"/>
              <w:bottom w:val="single" w:sz="8" w:space="0" w:color="000000"/>
              <w:right w:val="single" w:sz="2" w:space="0" w:color="000000"/>
              <w:tl2br w:val="nil"/>
              <w:tr2bl w:val="nil"/>
            </w:tcBorders>
            <w:shd w:val="clear" w:color="FFFFFF" w:fill="FFFFFF"/>
            <w:textDirection w:val="lrTb"/>
            <w:vAlign w:val="center"/>
          </w:tcPr>
          <w:p w:rsidR="00F1062D">
            <w:pPr>
              <w:pStyle w:val="BodyTextIndent"/>
              <w:ind w:left="0"/>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Účinky</w:t>
            </w:r>
          </w:p>
        </w:tc>
      </w:tr>
      <w:tr>
        <w:tblPrEx>
          <w:tblW w:w="0" w:type="auto"/>
          <w:jc w:val="right"/>
          <w:tblLayout w:type="fixed"/>
          <w:tblCellMar>
            <w:top w:w="0" w:type="dxa"/>
            <w:left w:w="0" w:type="dxa"/>
            <w:bottom w:w="0" w:type="dxa"/>
            <w:right w:w="0" w:type="dxa"/>
          </w:tblCellMar>
        </w:tblPrEx>
        <w:trPr>
          <w:cantSplit/>
          <w:trHeight w:hRule="exact" w:val="669"/>
          <w:jc w:val="right"/>
        </w:trPr>
        <w:tc>
          <w:tcPr>
            <w:tcW w:w="1301" w:type="dxa"/>
            <w:vMerge/>
            <w:tcBorders>
              <w:top w:val="single" w:sz="8" w:space="0" w:color="000000"/>
              <w:left w:val="single" w:sz="8" w:space="0" w:color="000000"/>
              <w:bottom w:val="single" w:sz="2" w:space="0" w:color="000000"/>
              <w:right w:val="nil"/>
              <w:tl2br w:val="nil"/>
              <w:tr2bl w:val="nil"/>
            </w:tcBorders>
            <w:textDirection w:val="lrTb"/>
            <w:vAlign w:val="center"/>
          </w:tcPr>
          <w:p w:rsidR="00F1062D">
            <w:pPr>
              <w:rPr>
                <w:rStyle w:val="DefaultParagraphFont"/>
                <w:rFonts w:ascii="Times New Roman" w:hAnsi="Times New Roman" w:cs="Times New Roman"/>
                <w:sz w:val="20"/>
                <w:szCs w:val="24"/>
              </w:rPr>
            </w:pPr>
          </w:p>
        </w:tc>
        <w:tc>
          <w:tcPr>
            <w:tcW w:w="1040" w:type="dxa"/>
            <w:vMerge/>
            <w:tcBorders>
              <w:top w:val="single" w:sz="8" w:space="0" w:color="000000"/>
              <w:left w:val="single" w:sz="2" w:space="0" w:color="000000"/>
              <w:bottom w:val="single" w:sz="2" w:space="0" w:color="000000"/>
              <w:right w:val="nil"/>
              <w:tl2br w:val="nil"/>
              <w:tr2bl w:val="nil"/>
            </w:tcBorders>
            <w:textDirection w:val="lrTb"/>
            <w:vAlign w:val="center"/>
          </w:tcPr>
          <w:p w:rsidR="00F1062D">
            <w:pPr>
              <w:rPr>
                <w:rStyle w:val="DefaultParagraphFont"/>
                <w:rFonts w:ascii="Times New Roman" w:hAnsi="Times New Roman" w:cs="Times New Roman"/>
                <w:sz w:val="20"/>
                <w:szCs w:val="24"/>
              </w:rPr>
            </w:pPr>
          </w:p>
        </w:tc>
        <w:tc>
          <w:tcPr>
            <w:tcW w:w="1041" w:type="dxa"/>
            <w:vMerge/>
            <w:tcBorders>
              <w:top w:val="single" w:sz="8" w:space="0" w:color="000000"/>
              <w:left w:val="single" w:sz="2" w:space="0" w:color="000000"/>
              <w:bottom w:val="single" w:sz="2" w:space="0" w:color="000000"/>
              <w:right w:val="nil"/>
              <w:tl2br w:val="nil"/>
              <w:tr2bl w:val="nil"/>
            </w:tcBorders>
            <w:textDirection w:val="lrTb"/>
            <w:vAlign w:val="center"/>
          </w:tcPr>
          <w:p w:rsidR="00F1062D">
            <w:pPr>
              <w:rPr>
                <w:rStyle w:val="DefaultParagraphFont"/>
                <w:rFonts w:ascii="Times New Roman" w:hAnsi="Times New Roman" w:cs="Times New Roman"/>
                <w:sz w:val="20"/>
                <w:szCs w:val="24"/>
              </w:rPr>
            </w:pPr>
          </w:p>
        </w:tc>
        <w:tc>
          <w:tcPr>
            <w:tcW w:w="780" w:type="dxa"/>
            <w:tcBorders>
              <w:top w:val="nil"/>
              <w:left w:val="single" w:sz="2" w:space="0" w:color="000000"/>
              <w:bottom w:val="single" w:sz="2" w:space="0" w:color="000000"/>
              <w:right w:val="nil"/>
              <w:tl2br w:val="nil"/>
              <w:tr2bl w:val="nil"/>
            </w:tcBorders>
            <w:shd w:val="clear" w:color="FFFFFF" w:fill="FFFFFF"/>
            <w:textDirection w:val="lrTb"/>
            <w:vAlign w:val="center"/>
          </w:tcPr>
          <w:p w:rsidR="00F1062D">
            <w:pPr>
              <w:pStyle w:val="BodyText"/>
              <w:jc w:val="center"/>
              <w:rPr>
                <w:rStyle w:val="DefaultParagraphFont"/>
                <w:rFonts w:ascii="Times New Roman" w:hAnsi="Times New Roman" w:cs="Times New Roman"/>
                <w:sz w:val="20"/>
                <w:szCs w:val="24"/>
                <w:vertAlign w:val="superscript"/>
              </w:rPr>
            </w:pPr>
            <w:r>
              <w:rPr>
                <w:rStyle w:val="DefaultParagraphFont"/>
                <w:rFonts w:ascii="Times New Roman" w:hAnsi="Times New Roman" w:cs="Times New Roman"/>
                <w:sz w:val="20"/>
                <w:szCs w:val="24"/>
              </w:rPr>
              <w:t>mg/m</w:t>
            </w:r>
            <w:r>
              <w:rPr>
                <w:rStyle w:val="DefaultParagraphFont"/>
                <w:rFonts w:ascii="Times New Roman" w:hAnsi="Times New Roman" w:cs="Times New Roman"/>
                <w:sz w:val="20"/>
                <w:szCs w:val="24"/>
                <w:vertAlign w:val="superscript"/>
              </w:rPr>
              <w:t>3</w:t>
            </w:r>
          </w:p>
        </w:tc>
        <w:tc>
          <w:tcPr>
            <w:tcW w:w="780" w:type="dxa"/>
            <w:tcBorders>
              <w:top w:val="nil"/>
              <w:left w:val="single" w:sz="2" w:space="0" w:color="000000"/>
              <w:bottom w:val="single" w:sz="2" w:space="0" w:color="000000"/>
              <w:right w:val="nil"/>
              <w:tl2br w:val="nil"/>
              <w:tr2bl w:val="nil"/>
            </w:tcBorders>
            <w:shd w:val="clear" w:color="FFFFFF" w:fill="FFFFFF"/>
            <w:textDirection w:val="lrTb"/>
            <w:vAlign w:val="center"/>
          </w:tcPr>
          <w:p w:rsidR="00F1062D">
            <w:pPr>
              <w:pStyle w:val="BodyText"/>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ppm</w:t>
            </w:r>
          </w:p>
        </w:tc>
        <w:tc>
          <w:tcPr>
            <w:tcW w:w="521" w:type="dxa"/>
            <w:vMerge/>
            <w:tcBorders>
              <w:top w:val="single" w:sz="8" w:space="0" w:color="000000"/>
              <w:left w:val="single" w:sz="2" w:space="0" w:color="000000"/>
              <w:bottom w:val="single" w:sz="2" w:space="0" w:color="000000"/>
              <w:right w:val="nil"/>
              <w:tl2br w:val="nil"/>
              <w:tr2bl w:val="nil"/>
            </w:tcBorders>
            <w:textDirection w:val="lrTb"/>
            <w:vAlign w:val="center"/>
          </w:tcPr>
          <w:p w:rsidR="00F1062D">
            <w:pPr>
              <w:rPr>
                <w:rStyle w:val="DefaultParagraphFont"/>
                <w:rFonts w:ascii="Times New Roman" w:hAnsi="Times New Roman" w:cs="Times New Roman"/>
                <w:sz w:val="20"/>
                <w:szCs w:val="24"/>
              </w:rPr>
            </w:pPr>
          </w:p>
        </w:tc>
        <w:tc>
          <w:tcPr>
            <w:tcW w:w="1431" w:type="dxa"/>
            <w:vMerge/>
            <w:tcBorders>
              <w:top w:val="single" w:sz="8" w:space="0" w:color="000000"/>
              <w:left w:val="single" w:sz="2" w:space="0" w:color="000000"/>
              <w:bottom w:val="single" w:sz="2" w:space="0" w:color="000000"/>
              <w:right w:val="single" w:sz="8" w:space="0" w:color="000000"/>
              <w:tl2br w:val="nil"/>
              <w:tr2bl w:val="nil"/>
            </w:tcBorders>
            <w:textDirection w:val="lrTb"/>
            <w:vAlign w:val="center"/>
          </w:tcPr>
          <w:p w:rsidR="00F1062D">
            <w:pPr>
              <w:rPr>
                <w:rStyle w:val="DefaultParagraphFont"/>
                <w:rFonts w:ascii="Times New Roman" w:hAnsi="Times New Roman" w:cs="Times New Roman"/>
                <w:sz w:val="20"/>
                <w:szCs w:val="24"/>
              </w:rPr>
            </w:pPr>
          </w:p>
        </w:tc>
        <w:tc>
          <w:tcPr>
            <w:tcW w:w="259" w:type="dxa"/>
            <w:vMerge/>
            <w:tcBorders>
              <w:top w:val="nil"/>
              <w:left w:val="nil"/>
              <w:bottom w:val="nil"/>
              <w:right w:val="nil"/>
              <w:tl2br w:val="nil"/>
              <w:tr2bl w:val="nil"/>
            </w:tcBorders>
            <w:textDirection w:val="lrTb"/>
            <w:vAlign w:val="center"/>
          </w:tcPr>
          <w:p w:rsidR="00F1062D">
            <w:pPr>
              <w:rPr>
                <w:rStyle w:val="DefaultParagraphFont"/>
                <w:rFonts w:ascii="Times New Roman" w:hAnsi="Times New Roman" w:cs="Times New Roman"/>
                <w:sz w:val="20"/>
                <w:szCs w:val="24"/>
              </w:rPr>
            </w:pPr>
          </w:p>
        </w:tc>
        <w:tc>
          <w:tcPr>
            <w:tcW w:w="525" w:type="dxa"/>
            <w:vMerge/>
            <w:tcBorders>
              <w:top w:val="single" w:sz="8" w:space="0" w:color="000000"/>
              <w:left w:val="single" w:sz="8" w:space="0" w:color="000000"/>
              <w:bottom w:val="single" w:sz="2" w:space="0" w:color="000000"/>
              <w:right w:val="nil"/>
              <w:tl2br w:val="nil"/>
              <w:tr2bl w:val="nil"/>
            </w:tcBorders>
            <w:textDirection w:val="lrTb"/>
            <w:vAlign w:val="center"/>
          </w:tcPr>
          <w:p w:rsidR="00F1062D">
            <w:pPr>
              <w:rPr>
                <w:rStyle w:val="DefaultParagraphFont"/>
                <w:rFonts w:ascii="Times New Roman" w:hAnsi="Times New Roman" w:cs="Times New Roman"/>
                <w:sz w:val="20"/>
                <w:szCs w:val="24"/>
              </w:rPr>
            </w:pPr>
          </w:p>
        </w:tc>
        <w:tc>
          <w:tcPr>
            <w:tcW w:w="1171" w:type="dxa"/>
            <w:vMerge/>
            <w:tcBorders>
              <w:top w:val="single" w:sz="8" w:space="0" w:color="000000"/>
              <w:left w:val="single" w:sz="2" w:space="0" w:color="000000"/>
              <w:bottom w:val="single" w:sz="2" w:space="0" w:color="000000"/>
              <w:right w:val="nil"/>
              <w:tl2br w:val="nil"/>
              <w:tr2bl w:val="nil"/>
            </w:tcBorders>
            <w:textDirection w:val="lrTb"/>
            <w:vAlign w:val="center"/>
          </w:tcPr>
          <w:p w:rsidR="00F1062D">
            <w:pPr>
              <w:rPr>
                <w:rStyle w:val="DefaultParagraphFont"/>
                <w:rFonts w:ascii="Times New Roman" w:hAnsi="Times New Roman" w:cs="Times New Roman"/>
                <w:sz w:val="20"/>
                <w:szCs w:val="24"/>
              </w:rPr>
            </w:pPr>
          </w:p>
        </w:tc>
        <w:tc>
          <w:tcPr>
            <w:tcW w:w="915" w:type="dxa"/>
            <w:vMerge/>
            <w:tcBorders>
              <w:top w:val="single" w:sz="8" w:space="0" w:color="000000"/>
              <w:left w:val="single" w:sz="2" w:space="0" w:color="000000"/>
              <w:bottom w:val="single" w:sz="2" w:space="0" w:color="000000"/>
              <w:right w:val="nil"/>
              <w:tl2br w:val="nil"/>
              <w:tr2bl w:val="nil"/>
            </w:tcBorders>
            <w:textDirection w:val="lrTb"/>
            <w:vAlign w:val="center"/>
          </w:tcPr>
          <w:p w:rsidR="00F1062D">
            <w:pPr>
              <w:rPr>
                <w:rStyle w:val="DefaultParagraphFont"/>
                <w:rFonts w:ascii="Times New Roman" w:hAnsi="Times New Roman" w:cs="Times New Roman"/>
                <w:sz w:val="20"/>
                <w:szCs w:val="24"/>
              </w:rPr>
            </w:pPr>
          </w:p>
        </w:tc>
        <w:tc>
          <w:tcPr>
            <w:tcW w:w="781" w:type="dxa"/>
            <w:vMerge/>
            <w:tcBorders>
              <w:top w:val="single" w:sz="8" w:space="0" w:color="000000"/>
              <w:left w:val="single" w:sz="2" w:space="0" w:color="000000"/>
              <w:bottom w:val="single" w:sz="2" w:space="0" w:color="000000"/>
              <w:right w:val="nil"/>
              <w:tl2br w:val="nil"/>
              <w:tr2bl w:val="nil"/>
            </w:tcBorders>
            <w:textDirection w:val="lrTb"/>
            <w:vAlign w:val="center"/>
          </w:tcPr>
          <w:p w:rsidR="00F1062D">
            <w:pPr>
              <w:rPr>
                <w:rStyle w:val="DefaultParagraphFont"/>
                <w:rFonts w:ascii="Times New Roman" w:hAnsi="Times New Roman" w:cs="Times New Roman"/>
                <w:sz w:val="20"/>
                <w:szCs w:val="24"/>
              </w:rPr>
            </w:pPr>
          </w:p>
        </w:tc>
        <w:tc>
          <w:tcPr>
            <w:tcW w:w="651" w:type="dxa"/>
            <w:gridSpan w:val="2"/>
            <w:vMerge w:val="restart"/>
            <w:tcBorders>
              <w:top w:val="single" w:sz="2" w:space="0" w:color="000000"/>
              <w:left w:val="single" w:sz="2" w:space="0" w:color="000000"/>
              <w:bottom w:val="single" w:sz="2" w:space="0" w:color="000000"/>
              <w:right w:val="nil"/>
              <w:tl2br w:val="nil"/>
              <w:tr2bl w:val="nil"/>
            </w:tcBorders>
            <w:shd w:val="clear" w:color="FFFFFF" w:fill="FFFFFF"/>
            <w:textDirection w:val="lrTb"/>
            <w:vAlign w:val="center"/>
          </w:tcPr>
          <w:p w:rsidR="00F1062D">
            <w:pPr>
              <w:jc w:val="center"/>
              <w:rPr>
                <w:rStyle w:val="DefaultParagraphFont"/>
                <w:rFonts w:ascii="Times New Roman" w:hAnsi="Times New Roman" w:cs="Times New Roman"/>
                <w:sz w:val="20"/>
                <w:szCs w:val="24"/>
                <w:vertAlign w:val="superscript"/>
              </w:rPr>
            </w:pPr>
            <w:r>
              <w:rPr>
                <w:rStyle w:val="DefaultParagraphFont"/>
                <w:rFonts w:ascii="Times New Roman" w:hAnsi="Times New Roman" w:cs="Times New Roman"/>
                <w:sz w:val="20"/>
                <w:szCs w:val="24"/>
              </w:rPr>
              <w:t>ml.m</w:t>
            </w:r>
            <w:r>
              <w:rPr>
                <w:rStyle w:val="DefaultParagraphFont"/>
                <w:rFonts w:ascii="Times New Roman" w:hAnsi="Times New Roman" w:cs="Times New Roman"/>
                <w:sz w:val="20"/>
                <w:szCs w:val="24"/>
                <w:vertAlign w:val="superscript"/>
              </w:rPr>
              <w:t xml:space="preserve">-3  </w:t>
            </w:r>
            <w:r>
              <w:rPr>
                <w:rStyle w:val="DefaultParagraphFont"/>
                <w:rFonts w:ascii="Times New Roman" w:hAnsi="Times New Roman" w:cs="Times New Roman"/>
                <w:sz w:val="20"/>
                <w:szCs w:val="24"/>
              </w:rPr>
              <w:t>(ppm)</w:t>
            </w:r>
            <w:r>
              <w:rPr>
                <w:rStyle w:val="DefaultParagraphFont"/>
                <w:rFonts w:ascii="Times New Roman" w:hAnsi="Times New Roman" w:cs="Times New Roman"/>
                <w:sz w:val="20"/>
                <w:szCs w:val="24"/>
                <w:vertAlign w:val="superscript"/>
              </w:rPr>
              <w:t>4)</w:t>
            </w:r>
          </w:p>
        </w:tc>
        <w:tc>
          <w:tcPr>
            <w:tcW w:w="654" w:type="dxa"/>
            <w:vMerge w:val="restart"/>
            <w:tcBorders>
              <w:top w:val="single" w:sz="2" w:space="0" w:color="000000"/>
              <w:left w:val="single" w:sz="2" w:space="0" w:color="000000"/>
              <w:bottom w:val="single" w:sz="2" w:space="0" w:color="000000"/>
              <w:right w:val="nil"/>
              <w:tl2br w:val="nil"/>
              <w:tr2bl w:val="nil"/>
            </w:tcBorders>
            <w:shd w:val="clear" w:color="FFFFFF" w:fill="FFFFFF"/>
            <w:textDirection w:val="lrTb"/>
            <w:vAlign w:val="center"/>
          </w:tcPr>
          <w:p w:rsidR="00F1062D">
            <w:pPr>
              <w:jc w:val="center"/>
              <w:rPr>
                <w:rStyle w:val="DefaultParagraphFont"/>
                <w:rFonts w:ascii="Times New Roman" w:hAnsi="Times New Roman" w:cs="Times New Roman"/>
                <w:sz w:val="20"/>
                <w:szCs w:val="24"/>
                <w:vertAlign w:val="superscript"/>
              </w:rPr>
            </w:pPr>
            <w:r>
              <w:rPr>
                <w:rStyle w:val="DefaultParagraphFont"/>
                <w:rFonts w:ascii="Times New Roman" w:hAnsi="Times New Roman" w:cs="Times New Roman"/>
                <w:sz w:val="20"/>
                <w:szCs w:val="24"/>
              </w:rPr>
              <w:t>mg.m</w:t>
            </w:r>
            <w:r>
              <w:rPr>
                <w:rStyle w:val="DefaultParagraphFont"/>
                <w:rFonts w:ascii="Times New Roman" w:hAnsi="Times New Roman" w:cs="Times New Roman"/>
                <w:sz w:val="20"/>
                <w:szCs w:val="24"/>
                <w:vertAlign w:val="superscript"/>
              </w:rPr>
              <w:t>-3</w:t>
            </w:r>
          </w:p>
          <w:p w:rsidR="00F1062D">
            <w:pPr>
              <w:jc w:val="center"/>
              <w:rPr>
                <w:rStyle w:val="DefaultParagraphFont"/>
                <w:rFonts w:ascii="Times New Roman" w:hAnsi="Times New Roman" w:cs="Times New Roman"/>
                <w:sz w:val="20"/>
                <w:szCs w:val="24"/>
                <w:vertAlign w:val="superscript"/>
              </w:rPr>
            </w:pPr>
            <w:r>
              <w:rPr>
                <w:rStyle w:val="DefaultParagraphFont"/>
                <w:rFonts w:ascii="Times New Roman" w:hAnsi="Times New Roman" w:cs="Times New Roman"/>
                <w:sz w:val="20"/>
                <w:szCs w:val="24"/>
                <w:vertAlign w:val="superscript"/>
              </w:rPr>
              <w:t>5)</w:t>
            </w:r>
          </w:p>
        </w:tc>
        <w:tc>
          <w:tcPr>
            <w:tcW w:w="651" w:type="dxa"/>
            <w:gridSpan w:val="2"/>
            <w:vMerge w:val="restart"/>
            <w:tcBorders>
              <w:top w:val="nil"/>
              <w:left w:val="single" w:sz="2" w:space="0" w:color="000000"/>
              <w:bottom w:val="single" w:sz="2" w:space="0" w:color="000000"/>
              <w:right w:val="nil"/>
              <w:tl2br w:val="nil"/>
              <w:tr2bl w:val="nil"/>
            </w:tcBorders>
            <w:shd w:val="clear" w:color="FFFFFF" w:fill="FFFFFF"/>
            <w:textDirection w:val="lrTb"/>
            <w:vAlign w:val="center"/>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Kateg.</w:t>
            </w:r>
          </w:p>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karcin</w:t>
            </w:r>
          </w:p>
          <w:p w:rsidR="00F1062D">
            <w:pPr>
              <w:jc w:val="center"/>
              <w:rPr>
                <w:rStyle w:val="DefaultParagraphFont"/>
                <w:rFonts w:ascii="Times New Roman" w:hAnsi="Times New Roman" w:cs="Times New Roman"/>
                <w:sz w:val="20"/>
                <w:szCs w:val="24"/>
                <w:vertAlign w:val="superscript"/>
              </w:rPr>
            </w:pPr>
            <w:r>
              <w:rPr>
                <w:rStyle w:val="DefaultParagraphFont"/>
                <w:rFonts w:ascii="Times New Roman" w:hAnsi="Times New Roman" w:cs="Times New Roman"/>
                <w:sz w:val="20"/>
                <w:szCs w:val="24"/>
              </w:rPr>
              <w:t>kategénov</w:t>
            </w:r>
            <w:r>
              <w:rPr>
                <w:rStyle w:val="DefaultParagraphFont"/>
                <w:rFonts w:ascii="Times New Roman" w:hAnsi="Times New Roman" w:cs="Times New Roman"/>
                <w:sz w:val="20"/>
                <w:szCs w:val="24"/>
                <w:vertAlign w:val="superscript"/>
              </w:rPr>
              <w:t>7)</w:t>
            </w:r>
          </w:p>
        </w:tc>
        <w:tc>
          <w:tcPr>
            <w:tcW w:w="650" w:type="dxa"/>
            <w:gridSpan w:val="2"/>
            <w:vMerge w:val="restart"/>
            <w:tcBorders>
              <w:top w:val="nil"/>
              <w:left w:val="single" w:sz="2" w:space="0" w:color="000000"/>
              <w:bottom w:val="single" w:sz="2" w:space="0" w:color="000000"/>
              <w:right w:val="nil"/>
              <w:tl2br w:val="nil"/>
              <w:tr2bl w:val="nil"/>
            </w:tcBorders>
            <w:shd w:val="clear" w:color="FFFFFF" w:fill="FFFFFF"/>
            <w:textDirection w:val="lrTb"/>
            <w:vAlign w:val="center"/>
          </w:tcPr>
          <w:p w:rsidR="00F1062D">
            <w:pPr>
              <w:jc w:val="center"/>
              <w:rPr>
                <w:rStyle w:val="DefaultParagraphFont"/>
                <w:rFonts w:ascii="Times New Roman" w:hAnsi="Times New Roman" w:cs="Times New Roman"/>
                <w:sz w:val="20"/>
                <w:szCs w:val="24"/>
                <w:vertAlign w:val="superscript"/>
              </w:rPr>
            </w:pPr>
            <w:r>
              <w:rPr>
                <w:rStyle w:val="DefaultParagraphFont"/>
                <w:rFonts w:ascii="Times New Roman" w:hAnsi="Times New Roman" w:cs="Times New Roman"/>
                <w:sz w:val="20"/>
                <w:szCs w:val="24"/>
              </w:rPr>
              <w:t>Kateg. muta-génov</w:t>
            </w:r>
            <w:r>
              <w:rPr>
                <w:rStyle w:val="DefaultParagraphFont"/>
                <w:rFonts w:ascii="Times New Roman" w:hAnsi="Times New Roman" w:cs="Times New Roman"/>
                <w:sz w:val="20"/>
                <w:szCs w:val="24"/>
                <w:vertAlign w:val="superscript"/>
              </w:rPr>
              <w:t>8)</w:t>
            </w:r>
          </w:p>
        </w:tc>
        <w:tc>
          <w:tcPr>
            <w:tcW w:w="653" w:type="dxa"/>
            <w:vMerge w:val="restart"/>
            <w:tcBorders>
              <w:top w:val="nil"/>
              <w:left w:val="single" w:sz="2" w:space="0" w:color="000000"/>
              <w:bottom w:val="single" w:sz="2" w:space="0" w:color="000000"/>
              <w:right w:val="nil"/>
              <w:tl2br w:val="nil"/>
              <w:tr2bl w:val="nil"/>
            </w:tcBorders>
            <w:shd w:val="clear" w:color="FFFFFF" w:fill="FFFFFF"/>
            <w:textDirection w:val="lrTb"/>
            <w:vAlign w:val="center"/>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Senzi-bili-</w:t>
            </w:r>
          </w:p>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zujúce</w:t>
            </w:r>
          </w:p>
          <w:p w:rsidR="00F1062D">
            <w:pPr>
              <w:jc w:val="center"/>
              <w:rPr>
                <w:rStyle w:val="DefaultParagraphFont"/>
                <w:rFonts w:ascii="Times New Roman" w:hAnsi="Times New Roman" w:cs="Times New Roman"/>
                <w:sz w:val="20"/>
                <w:szCs w:val="24"/>
                <w:vertAlign w:val="superscript"/>
              </w:rPr>
            </w:pPr>
            <w:r>
              <w:rPr>
                <w:rStyle w:val="DefaultParagraphFont"/>
                <w:rFonts w:ascii="Times New Roman" w:hAnsi="Times New Roman" w:cs="Times New Roman"/>
                <w:sz w:val="20"/>
                <w:szCs w:val="24"/>
                <w:vertAlign w:val="superscript"/>
              </w:rPr>
              <w:t>9)</w:t>
            </w:r>
          </w:p>
        </w:tc>
        <w:tc>
          <w:tcPr>
            <w:tcW w:w="786" w:type="dxa"/>
            <w:vMerge w:val="restart"/>
            <w:tcBorders>
              <w:top w:val="nil"/>
              <w:left w:val="single" w:sz="2" w:space="0" w:color="000000"/>
              <w:bottom w:val="single" w:sz="2" w:space="0" w:color="000000"/>
              <w:right w:val="single" w:sz="2" w:space="0" w:color="000000"/>
              <w:tl2br w:val="nil"/>
              <w:tr2bl w:val="nil"/>
            </w:tcBorders>
            <w:shd w:val="clear" w:color="FFFFFF" w:fill="FFFFFF"/>
            <w:textDirection w:val="lrTb"/>
            <w:vAlign w:val="center"/>
          </w:tcPr>
          <w:p w:rsidR="00F1062D">
            <w:pPr>
              <w:pStyle w:val="BodyText2"/>
              <w:rPr>
                <w:rStyle w:val="DefaultParagraphFont"/>
                <w:rFonts w:ascii="Times New Roman" w:hAnsi="Times New Roman" w:cs="Times New Roman"/>
                <w:szCs w:val="24"/>
              </w:rPr>
            </w:pPr>
            <w:r>
              <w:rPr>
                <w:rStyle w:val="DefaultParagraphFont"/>
                <w:rFonts w:ascii="Times New Roman" w:hAnsi="Times New Roman" w:cs="Times New Roman"/>
                <w:szCs w:val="24"/>
              </w:rPr>
              <w:t>Prienik cez pokožku</w:t>
            </w:r>
          </w:p>
          <w:p w:rsidR="00F1062D">
            <w:pPr>
              <w:jc w:val="center"/>
              <w:rPr>
                <w:rStyle w:val="DefaultParagraphFont"/>
                <w:rFonts w:ascii="Times New Roman" w:hAnsi="Times New Roman" w:cs="Times New Roman"/>
                <w:sz w:val="20"/>
                <w:szCs w:val="24"/>
                <w:vertAlign w:val="superscript"/>
              </w:rPr>
            </w:pPr>
            <w:r>
              <w:rPr>
                <w:rStyle w:val="DefaultParagraphFont"/>
                <w:rFonts w:ascii="Times New Roman" w:hAnsi="Times New Roman" w:cs="Times New Roman"/>
                <w:sz w:val="20"/>
                <w:szCs w:val="24"/>
                <w:vertAlign w:val="superscript"/>
              </w:rPr>
              <w:t>10)</w:t>
            </w:r>
          </w:p>
        </w:tc>
      </w:tr>
      <w:tr>
        <w:tblPrEx>
          <w:tblW w:w="0" w:type="auto"/>
          <w:jc w:val="right"/>
          <w:tblLayout w:type="fixed"/>
          <w:tblCellMar>
            <w:top w:w="0" w:type="dxa"/>
            <w:left w:w="0" w:type="dxa"/>
            <w:bottom w:w="0" w:type="dxa"/>
            <w:right w:w="0" w:type="dxa"/>
          </w:tblCellMar>
        </w:tblPrEx>
        <w:trPr>
          <w:cantSplit/>
          <w:trHeight w:hRule="exact" w:val="241"/>
          <w:jc w:val="right"/>
        </w:trPr>
        <w:tc>
          <w:tcPr>
            <w:tcW w:w="1301" w:type="dxa"/>
            <w:vMerge w:val="restart"/>
            <w:tcBorders>
              <w:top w:val="nil"/>
              <w:left w:val="single" w:sz="8" w:space="0" w:color="000000"/>
              <w:bottom w:val="single" w:sz="8" w:space="0" w:color="000000"/>
              <w:right w:val="nil"/>
              <w:tl2br w:val="nil"/>
              <w:tr2bl w:val="nil"/>
            </w:tcBorders>
            <w:shd w:val="clear" w:color="FFFFFF" w:fill="FFFFFF"/>
            <w:textDirection w:val="lrTb"/>
            <w:vAlign w:val="center"/>
          </w:tcPr>
          <w:p w:rsidR="00F1062D">
            <w:pPr>
              <w:pStyle w:val="BodyText"/>
              <w:jc w:val="center"/>
              <w:rPr>
                <w:rStyle w:val="DefaultParagraphFont"/>
                <w:rFonts w:ascii="Times New Roman" w:hAnsi="Times New Roman" w:cs="Times New Roman"/>
                <w:sz w:val="20"/>
                <w:szCs w:val="24"/>
              </w:rPr>
            </w:pPr>
          </w:p>
        </w:tc>
        <w:tc>
          <w:tcPr>
            <w:tcW w:w="1040" w:type="dxa"/>
            <w:vMerge w:val="restart"/>
            <w:tcBorders>
              <w:top w:val="nil"/>
              <w:left w:val="single" w:sz="2" w:space="0" w:color="000000"/>
              <w:bottom w:val="single" w:sz="8" w:space="0" w:color="000000"/>
              <w:right w:val="nil"/>
              <w:tl2br w:val="nil"/>
              <w:tr2bl w:val="nil"/>
            </w:tcBorders>
            <w:shd w:val="clear" w:color="FFFFFF" w:fill="FFFFFF"/>
            <w:textDirection w:val="lrTb"/>
            <w:vAlign w:val="center"/>
          </w:tcPr>
          <w:p w:rsidR="00F1062D">
            <w:pPr>
              <w:pStyle w:val="BodyText"/>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(1)</w:t>
            </w:r>
          </w:p>
        </w:tc>
        <w:tc>
          <w:tcPr>
            <w:tcW w:w="1041" w:type="dxa"/>
            <w:vMerge w:val="restart"/>
            <w:tcBorders>
              <w:top w:val="nil"/>
              <w:left w:val="single" w:sz="2" w:space="0" w:color="000000"/>
              <w:bottom w:val="single" w:sz="8" w:space="0" w:color="000000"/>
              <w:right w:val="nil"/>
              <w:tl2br w:val="nil"/>
              <w:tr2bl w:val="nil"/>
            </w:tcBorders>
            <w:shd w:val="clear" w:color="FFFFFF" w:fill="FFFFFF"/>
            <w:textDirection w:val="lrTb"/>
            <w:vAlign w:val="top"/>
          </w:tcPr>
          <w:p w:rsidR="00F1062D">
            <w:pPr>
              <w:pStyle w:val="BodyText"/>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w:t>
            </w:r>
          </w:p>
        </w:tc>
        <w:tc>
          <w:tcPr>
            <w:tcW w:w="780" w:type="dxa"/>
            <w:vMerge w:val="restart"/>
            <w:tcBorders>
              <w:top w:val="nil"/>
              <w:left w:val="single" w:sz="2" w:space="0" w:color="000000"/>
              <w:bottom w:val="nil"/>
              <w:right w:val="nil"/>
              <w:tl2br w:val="nil"/>
              <w:tr2bl w:val="nil"/>
            </w:tcBorders>
            <w:shd w:val="clear" w:color="FFFFFF" w:fill="FFFFFF"/>
            <w:textDirection w:val="lrTb"/>
            <w:vAlign w:val="center"/>
          </w:tcPr>
          <w:p w:rsidR="00F1062D">
            <w:pPr>
              <w:pStyle w:val="BodyText"/>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780" w:type="dxa"/>
            <w:vMerge w:val="restart"/>
            <w:tcBorders>
              <w:top w:val="nil"/>
              <w:left w:val="single" w:sz="2" w:space="0" w:color="000000"/>
              <w:bottom w:val="nil"/>
              <w:right w:val="nil"/>
              <w:tl2br w:val="nil"/>
              <w:tr2bl w:val="nil"/>
            </w:tcBorders>
            <w:shd w:val="clear" w:color="FFFFFF" w:fill="FFFFFF"/>
            <w:textDirection w:val="lrTb"/>
            <w:vAlign w:val="center"/>
          </w:tcPr>
          <w:p w:rsidR="00F1062D">
            <w:pPr>
              <w:pStyle w:val="BodyText"/>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(4)</w:t>
            </w:r>
          </w:p>
        </w:tc>
        <w:tc>
          <w:tcPr>
            <w:tcW w:w="521" w:type="dxa"/>
            <w:vMerge w:val="restart"/>
            <w:tcBorders>
              <w:top w:val="nil"/>
              <w:left w:val="single" w:sz="2" w:space="0" w:color="000000"/>
              <w:bottom w:val="single" w:sz="8" w:space="0" w:color="000000"/>
              <w:right w:val="nil"/>
              <w:tl2br w:val="nil"/>
              <w:tr2bl w:val="nil"/>
            </w:tcBorders>
            <w:shd w:val="clear" w:color="FFFFFF" w:fill="FFFFFF"/>
            <w:textDirection w:val="lrTb"/>
            <w:vAlign w:val="center"/>
          </w:tcPr>
          <w:p w:rsidR="00F1062D">
            <w:pPr>
              <w:pStyle w:val="BodyText"/>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(6)</w:t>
            </w:r>
          </w:p>
        </w:tc>
        <w:tc>
          <w:tcPr>
            <w:tcW w:w="1431" w:type="dxa"/>
            <w:vMerge w:val="restart"/>
            <w:tcBorders>
              <w:top w:val="nil"/>
              <w:left w:val="single" w:sz="2" w:space="0" w:color="000000"/>
              <w:bottom w:val="single" w:sz="8" w:space="0" w:color="000000"/>
              <w:right w:val="single" w:sz="8" w:space="0" w:color="000000"/>
              <w:tl2br w:val="nil"/>
              <w:tr2bl w:val="nil"/>
            </w:tcBorders>
            <w:shd w:val="clear" w:color="FFFFFF" w:fill="FFFFFF"/>
            <w:textDirection w:val="lrTb"/>
            <w:vAlign w:val="center"/>
          </w:tcPr>
          <w:p w:rsidR="00F1062D">
            <w:pPr>
              <w:pStyle w:val="BodyText"/>
              <w:jc w:val="center"/>
              <w:rPr>
                <w:rStyle w:val="DefaultParagraphFont"/>
                <w:rFonts w:ascii="Times New Roman" w:hAnsi="Times New Roman" w:cs="Times New Roman"/>
                <w:sz w:val="20"/>
                <w:szCs w:val="24"/>
              </w:rPr>
            </w:pPr>
          </w:p>
        </w:tc>
        <w:tc>
          <w:tcPr>
            <w:tcW w:w="259" w:type="dxa"/>
            <w:vMerge/>
            <w:tcBorders>
              <w:top w:val="nil"/>
              <w:left w:val="nil"/>
              <w:bottom w:val="nil"/>
              <w:right w:val="nil"/>
              <w:tl2br w:val="nil"/>
              <w:tr2bl w:val="nil"/>
            </w:tcBorders>
            <w:textDirection w:val="lrTb"/>
            <w:vAlign w:val="center"/>
          </w:tcPr>
          <w:p w:rsidR="00F1062D">
            <w:pPr>
              <w:rPr>
                <w:rStyle w:val="DefaultParagraphFont"/>
                <w:rFonts w:ascii="Times New Roman" w:hAnsi="Times New Roman" w:cs="Times New Roman"/>
                <w:sz w:val="20"/>
                <w:szCs w:val="24"/>
              </w:rPr>
            </w:pPr>
          </w:p>
        </w:tc>
        <w:tc>
          <w:tcPr>
            <w:tcW w:w="525" w:type="dxa"/>
            <w:vMerge/>
            <w:tcBorders>
              <w:top w:val="single" w:sz="8" w:space="0" w:color="000000"/>
              <w:left w:val="single" w:sz="8" w:space="0" w:color="000000"/>
              <w:bottom w:val="single" w:sz="2" w:space="0" w:color="000000"/>
              <w:right w:val="nil"/>
              <w:tl2br w:val="nil"/>
              <w:tr2bl w:val="nil"/>
            </w:tcBorders>
            <w:textDirection w:val="lrTb"/>
            <w:vAlign w:val="center"/>
          </w:tcPr>
          <w:p w:rsidR="00F1062D">
            <w:pPr>
              <w:rPr>
                <w:rStyle w:val="DefaultParagraphFont"/>
                <w:rFonts w:ascii="Times New Roman" w:hAnsi="Times New Roman" w:cs="Times New Roman"/>
                <w:sz w:val="20"/>
                <w:szCs w:val="24"/>
              </w:rPr>
            </w:pPr>
          </w:p>
        </w:tc>
        <w:tc>
          <w:tcPr>
            <w:tcW w:w="1171" w:type="dxa"/>
            <w:vMerge/>
            <w:tcBorders>
              <w:top w:val="single" w:sz="8" w:space="0" w:color="000000"/>
              <w:left w:val="single" w:sz="2" w:space="0" w:color="000000"/>
              <w:bottom w:val="single" w:sz="2" w:space="0" w:color="000000"/>
              <w:right w:val="nil"/>
              <w:tl2br w:val="nil"/>
              <w:tr2bl w:val="nil"/>
            </w:tcBorders>
            <w:textDirection w:val="lrTb"/>
            <w:vAlign w:val="center"/>
          </w:tcPr>
          <w:p w:rsidR="00F1062D">
            <w:pPr>
              <w:rPr>
                <w:rStyle w:val="DefaultParagraphFont"/>
                <w:rFonts w:ascii="Times New Roman" w:hAnsi="Times New Roman" w:cs="Times New Roman"/>
                <w:sz w:val="20"/>
                <w:szCs w:val="24"/>
              </w:rPr>
            </w:pPr>
          </w:p>
        </w:tc>
        <w:tc>
          <w:tcPr>
            <w:tcW w:w="915" w:type="dxa"/>
            <w:vMerge/>
            <w:tcBorders>
              <w:top w:val="single" w:sz="8" w:space="0" w:color="000000"/>
              <w:left w:val="single" w:sz="2" w:space="0" w:color="000000"/>
              <w:bottom w:val="single" w:sz="2" w:space="0" w:color="000000"/>
              <w:right w:val="nil"/>
              <w:tl2br w:val="nil"/>
              <w:tr2bl w:val="nil"/>
            </w:tcBorders>
            <w:textDirection w:val="lrTb"/>
            <w:vAlign w:val="center"/>
          </w:tcPr>
          <w:p w:rsidR="00F1062D">
            <w:pPr>
              <w:rPr>
                <w:rStyle w:val="DefaultParagraphFont"/>
                <w:rFonts w:ascii="Times New Roman" w:hAnsi="Times New Roman" w:cs="Times New Roman"/>
                <w:sz w:val="20"/>
                <w:szCs w:val="24"/>
              </w:rPr>
            </w:pPr>
          </w:p>
        </w:tc>
        <w:tc>
          <w:tcPr>
            <w:tcW w:w="781" w:type="dxa"/>
            <w:vMerge/>
            <w:tcBorders>
              <w:top w:val="single" w:sz="8" w:space="0" w:color="000000"/>
              <w:left w:val="single" w:sz="2" w:space="0" w:color="000000"/>
              <w:bottom w:val="single" w:sz="2" w:space="0" w:color="000000"/>
              <w:right w:val="nil"/>
              <w:tl2br w:val="nil"/>
              <w:tr2bl w:val="nil"/>
            </w:tcBorders>
            <w:textDirection w:val="lrTb"/>
            <w:vAlign w:val="center"/>
          </w:tcPr>
          <w:p w:rsidR="00F1062D">
            <w:pPr>
              <w:rPr>
                <w:rStyle w:val="DefaultParagraphFont"/>
                <w:rFonts w:ascii="Times New Roman" w:hAnsi="Times New Roman" w:cs="Times New Roman"/>
                <w:sz w:val="20"/>
                <w:szCs w:val="24"/>
              </w:rPr>
            </w:pPr>
          </w:p>
        </w:tc>
        <w:tc>
          <w:tcPr>
            <w:tcW w:w="651" w:type="dxa"/>
            <w:gridSpan w:val="2"/>
            <w:vMerge/>
            <w:tcBorders>
              <w:top w:val="single" w:sz="2" w:space="0" w:color="000000"/>
              <w:left w:val="single" w:sz="2" w:space="0" w:color="000000"/>
              <w:bottom w:val="single" w:sz="2" w:space="0" w:color="000000"/>
              <w:right w:val="nil"/>
              <w:tl2br w:val="nil"/>
              <w:tr2bl w:val="nil"/>
            </w:tcBorders>
            <w:textDirection w:val="lrTb"/>
            <w:vAlign w:val="center"/>
          </w:tcPr>
          <w:p w:rsidR="00F1062D">
            <w:pPr>
              <w:rPr>
                <w:rStyle w:val="DefaultParagraphFont"/>
                <w:rFonts w:ascii="Times New Roman" w:hAnsi="Times New Roman" w:cs="Times New Roman"/>
                <w:sz w:val="20"/>
                <w:szCs w:val="24"/>
              </w:rPr>
            </w:pPr>
          </w:p>
        </w:tc>
        <w:tc>
          <w:tcPr>
            <w:tcW w:w="654" w:type="dxa"/>
            <w:vMerge/>
            <w:tcBorders>
              <w:top w:val="single" w:sz="2" w:space="0" w:color="000000"/>
              <w:left w:val="single" w:sz="2" w:space="0" w:color="000000"/>
              <w:bottom w:val="single" w:sz="2" w:space="0" w:color="000000"/>
              <w:right w:val="nil"/>
              <w:tl2br w:val="nil"/>
              <w:tr2bl w:val="nil"/>
            </w:tcBorders>
            <w:textDirection w:val="lrTb"/>
            <w:vAlign w:val="center"/>
          </w:tcPr>
          <w:p w:rsidR="00F1062D">
            <w:pPr>
              <w:rPr>
                <w:rStyle w:val="DefaultParagraphFont"/>
                <w:rFonts w:ascii="Times New Roman" w:hAnsi="Times New Roman" w:cs="Times New Roman"/>
                <w:sz w:val="20"/>
                <w:szCs w:val="24"/>
              </w:rPr>
            </w:pPr>
          </w:p>
        </w:tc>
        <w:tc>
          <w:tcPr>
            <w:tcW w:w="651" w:type="dxa"/>
            <w:gridSpan w:val="2"/>
            <w:vMerge/>
            <w:tcBorders>
              <w:top w:val="nil"/>
              <w:left w:val="single" w:sz="2" w:space="0" w:color="000000"/>
              <w:bottom w:val="single" w:sz="2" w:space="0" w:color="000000"/>
              <w:right w:val="nil"/>
              <w:tl2br w:val="nil"/>
              <w:tr2bl w:val="nil"/>
            </w:tcBorders>
            <w:textDirection w:val="lrTb"/>
            <w:vAlign w:val="center"/>
          </w:tcPr>
          <w:p w:rsidR="00F1062D">
            <w:pPr>
              <w:rPr>
                <w:rStyle w:val="DefaultParagraphFont"/>
                <w:rFonts w:ascii="Times New Roman" w:hAnsi="Times New Roman" w:cs="Times New Roman"/>
                <w:sz w:val="20"/>
                <w:szCs w:val="24"/>
              </w:rPr>
            </w:pPr>
          </w:p>
        </w:tc>
        <w:tc>
          <w:tcPr>
            <w:tcW w:w="650" w:type="dxa"/>
            <w:gridSpan w:val="2"/>
            <w:vMerge/>
            <w:tcBorders>
              <w:top w:val="nil"/>
              <w:left w:val="single" w:sz="2" w:space="0" w:color="000000"/>
              <w:bottom w:val="single" w:sz="2" w:space="0" w:color="000000"/>
              <w:right w:val="nil"/>
              <w:tl2br w:val="nil"/>
              <w:tr2bl w:val="nil"/>
            </w:tcBorders>
            <w:textDirection w:val="lrTb"/>
            <w:vAlign w:val="center"/>
          </w:tcPr>
          <w:p w:rsidR="00F1062D">
            <w:pPr>
              <w:rPr>
                <w:rStyle w:val="DefaultParagraphFont"/>
                <w:rFonts w:ascii="Times New Roman" w:hAnsi="Times New Roman" w:cs="Times New Roman"/>
                <w:sz w:val="20"/>
                <w:szCs w:val="24"/>
              </w:rPr>
            </w:pPr>
          </w:p>
        </w:tc>
        <w:tc>
          <w:tcPr>
            <w:tcW w:w="653" w:type="dxa"/>
            <w:vMerge/>
            <w:tcBorders>
              <w:top w:val="nil"/>
              <w:left w:val="single" w:sz="2" w:space="0" w:color="000000"/>
              <w:bottom w:val="single" w:sz="2" w:space="0" w:color="000000"/>
              <w:right w:val="nil"/>
              <w:tl2br w:val="nil"/>
              <w:tr2bl w:val="nil"/>
            </w:tcBorders>
            <w:textDirection w:val="lrTb"/>
            <w:vAlign w:val="center"/>
          </w:tcPr>
          <w:p w:rsidR="00F1062D">
            <w:pPr>
              <w:rPr>
                <w:rStyle w:val="DefaultParagraphFont"/>
                <w:rFonts w:ascii="Times New Roman" w:hAnsi="Times New Roman" w:cs="Times New Roman"/>
                <w:sz w:val="20"/>
                <w:szCs w:val="24"/>
              </w:rPr>
            </w:pPr>
          </w:p>
        </w:tc>
        <w:tc>
          <w:tcPr>
            <w:tcW w:w="786" w:type="dxa"/>
            <w:vMerge/>
            <w:tcBorders>
              <w:top w:val="nil"/>
              <w:left w:val="single" w:sz="2" w:space="0" w:color="000000"/>
              <w:bottom w:val="single" w:sz="2" w:space="0" w:color="000000"/>
              <w:right w:val="single" w:sz="2" w:space="0" w:color="000000"/>
              <w:tl2br w:val="nil"/>
              <w:tr2bl w:val="nil"/>
            </w:tcBorders>
            <w:textDirection w:val="lrTb"/>
            <w:vAlign w:val="center"/>
          </w:tcPr>
          <w:p w:rsidR="00F1062D">
            <w:pPr>
              <w:rPr>
                <w:rStyle w:val="DefaultParagraphFont"/>
                <w:rFonts w:ascii="Times New Roman" w:hAnsi="Times New Roman" w:cs="Times New Roman"/>
                <w:sz w:val="20"/>
                <w:szCs w:val="24"/>
              </w:rPr>
            </w:pPr>
          </w:p>
        </w:tc>
      </w:tr>
      <w:tr>
        <w:tblPrEx>
          <w:tblW w:w="0" w:type="auto"/>
          <w:jc w:val="right"/>
          <w:tblLayout w:type="fixed"/>
          <w:tblCellMar>
            <w:top w:w="0" w:type="dxa"/>
            <w:left w:w="0" w:type="dxa"/>
            <w:bottom w:w="0" w:type="dxa"/>
            <w:right w:w="0" w:type="dxa"/>
          </w:tblCellMar>
        </w:tblPrEx>
        <w:trPr>
          <w:cantSplit/>
          <w:trHeight w:hRule="exact" w:val="95"/>
          <w:jc w:val="right"/>
        </w:trPr>
        <w:tc>
          <w:tcPr>
            <w:tcW w:w="1301" w:type="dxa"/>
            <w:vMerge/>
            <w:tcBorders>
              <w:top w:val="nil"/>
              <w:left w:val="single" w:sz="8" w:space="0" w:color="000000"/>
              <w:bottom w:val="single" w:sz="8" w:space="0" w:color="000000"/>
              <w:right w:val="nil"/>
              <w:tl2br w:val="nil"/>
              <w:tr2bl w:val="nil"/>
            </w:tcBorders>
            <w:textDirection w:val="lrTb"/>
            <w:vAlign w:val="center"/>
          </w:tcPr>
          <w:p w:rsidR="00F1062D">
            <w:pPr>
              <w:rPr>
                <w:rStyle w:val="DefaultParagraphFont"/>
                <w:rFonts w:ascii="Times New Roman" w:hAnsi="Times New Roman" w:cs="Times New Roman"/>
                <w:sz w:val="20"/>
                <w:szCs w:val="24"/>
              </w:rPr>
            </w:pPr>
          </w:p>
        </w:tc>
        <w:tc>
          <w:tcPr>
            <w:tcW w:w="1040" w:type="dxa"/>
            <w:vMerge/>
            <w:tcBorders>
              <w:top w:val="nil"/>
              <w:left w:val="single" w:sz="2" w:space="0" w:color="000000"/>
              <w:bottom w:val="single" w:sz="8" w:space="0" w:color="000000"/>
              <w:right w:val="nil"/>
              <w:tl2br w:val="nil"/>
              <w:tr2bl w:val="nil"/>
            </w:tcBorders>
            <w:textDirection w:val="lrTb"/>
            <w:vAlign w:val="center"/>
          </w:tcPr>
          <w:p w:rsidR="00F1062D">
            <w:pPr>
              <w:rPr>
                <w:rStyle w:val="DefaultParagraphFont"/>
                <w:rFonts w:ascii="Times New Roman" w:hAnsi="Times New Roman" w:cs="Times New Roman"/>
                <w:sz w:val="20"/>
                <w:szCs w:val="24"/>
              </w:rPr>
            </w:pPr>
          </w:p>
        </w:tc>
        <w:tc>
          <w:tcPr>
            <w:tcW w:w="1041" w:type="dxa"/>
            <w:vMerge/>
            <w:tcBorders>
              <w:top w:val="nil"/>
              <w:left w:val="single" w:sz="2" w:space="0" w:color="000000"/>
              <w:bottom w:val="single" w:sz="8" w:space="0" w:color="000000"/>
              <w:right w:val="nil"/>
              <w:tl2br w:val="nil"/>
              <w:tr2bl w:val="nil"/>
            </w:tcBorders>
            <w:textDirection w:val="lrTb"/>
            <w:vAlign w:val="top"/>
          </w:tcPr>
          <w:p w:rsidR="00F1062D">
            <w:pPr>
              <w:rPr>
                <w:rStyle w:val="DefaultParagraphFont"/>
                <w:rFonts w:ascii="Times New Roman" w:hAnsi="Times New Roman" w:cs="Times New Roman"/>
                <w:sz w:val="20"/>
                <w:szCs w:val="24"/>
              </w:rPr>
            </w:pPr>
          </w:p>
        </w:tc>
        <w:tc>
          <w:tcPr>
            <w:tcW w:w="780" w:type="dxa"/>
            <w:vMerge/>
            <w:tcBorders>
              <w:top w:val="nil"/>
              <w:left w:val="single" w:sz="2" w:space="0" w:color="000000"/>
              <w:bottom w:val="nil"/>
              <w:right w:val="nil"/>
              <w:tl2br w:val="nil"/>
              <w:tr2bl w:val="nil"/>
            </w:tcBorders>
            <w:textDirection w:val="lrTb"/>
            <w:vAlign w:val="center"/>
          </w:tcPr>
          <w:p w:rsidR="00F1062D">
            <w:pPr>
              <w:rPr>
                <w:rStyle w:val="DefaultParagraphFont"/>
                <w:rFonts w:ascii="Times New Roman" w:hAnsi="Times New Roman" w:cs="Times New Roman"/>
                <w:sz w:val="20"/>
                <w:szCs w:val="24"/>
              </w:rPr>
            </w:pPr>
          </w:p>
        </w:tc>
        <w:tc>
          <w:tcPr>
            <w:tcW w:w="780" w:type="dxa"/>
            <w:vMerge/>
            <w:tcBorders>
              <w:top w:val="nil"/>
              <w:left w:val="single" w:sz="2" w:space="0" w:color="000000"/>
              <w:bottom w:val="nil"/>
              <w:right w:val="nil"/>
              <w:tl2br w:val="nil"/>
              <w:tr2bl w:val="nil"/>
            </w:tcBorders>
            <w:textDirection w:val="lrTb"/>
            <w:vAlign w:val="center"/>
          </w:tcPr>
          <w:p w:rsidR="00F1062D">
            <w:pPr>
              <w:rPr>
                <w:rStyle w:val="DefaultParagraphFont"/>
                <w:rFonts w:ascii="Times New Roman" w:hAnsi="Times New Roman" w:cs="Times New Roman"/>
                <w:sz w:val="20"/>
                <w:szCs w:val="24"/>
              </w:rPr>
            </w:pPr>
          </w:p>
        </w:tc>
        <w:tc>
          <w:tcPr>
            <w:tcW w:w="521" w:type="dxa"/>
            <w:vMerge/>
            <w:tcBorders>
              <w:top w:val="nil"/>
              <w:left w:val="single" w:sz="2" w:space="0" w:color="000000"/>
              <w:bottom w:val="single" w:sz="8" w:space="0" w:color="000000"/>
              <w:right w:val="nil"/>
              <w:tl2br w:val="nil"/>
              <w:tr2bl w:val="nil"/>
            </w:tcBorders>
            <w:textDirection w:val="lrTb"/>
            <w:vAlign w:val="center"/>
          </w:tcPr>
          <w:p w:rsidR="00F1062D">
            <w:pPr>
              <w:rPr>
                <w:rStyle w:val="DefaultParagraphFont"/>
                <w:rFonts w:ascii="Times New Roman" w:hAnsi="Times New Roman" w:cs="Times New Roman"/>
                <w:sz w:val="20"/>
                <w:szCs w:val="24"/>
              </w:rPr>
            </w:pPr>
          </w:p>
        </w:tc>
        <w:tc>
          <w:tcPr>
            <w:tcW w:w="1431" w:type="dxa"/>
            <w:vMerge/>
            <w:tcBorders>
              <w:top w:val="nil"/>
              <w:left w:val="single" w:sz="2" w:space="0" w:color="000000"/>
              <w:bottom w:val="single" w:sz="8" w:space="0" w:color="000000"/>
              <w:right w:val="single" w:sz="8" w:space="0" w:color="000000"/>
              <w:tl2br w:val="nil"/>
              <w:tr2bl w:val="nil"/>
            </w:tcBorders>
            <w:textDirection w:val="lrTb"/>
            <w:vAlign w:val="center"/>
          </w:tcPr>
          <w:p w:rsidR="00F1062D">
            <w:pPr>
              <w:rPr>
                <w:rStyle w:val="DefaultParagraphFont"/>
                <w:rFonts w:ascii="Times New Roman" w:hAnsi="Times New Roman" w:cs="Times New Roman"/>
                <w:sz w:val="20"/>
                <w:szCs w:val="24"/>
              </w:rPr>
            </w:pPr>
          </w:p>
        </w:tc>
        <w:tc>
          <w:tcPr>
            <w:tcW w:w="259" w:type="dxa"/>
            <w:vMerge/>
            <w:tcBorders>
              <w:top w:val="nil"/>
              <w:left w:val="nil"/>
              <w:bottom w:val="nil"/>
              <w:right w:val="nil"/>
              <w:tl2br w:val="nil"/>
              <w:tr2bl w:val="nil"/>
            </w:tcBorders>
            <w:textDirection w:val="lrTb"/>
            <w:vAlign w:val="center"/>
          </w:tcPr>
          <w:p w:rsidR="00F1062D">
            <w:pPr>
              <w:rPr>
                <w:rStyle w:val="DefaultParagraphFont"/>
                <w:rFonts w:ascii="Times New Roman" w:hAnsi="Times New Roman" w:cs="Times New Roman"/>
                <w:sz w:val="20"/>
                <w:szCs w:val="24"/>
              </w:rPr>
            </w:pPr>
          </w:p>
        </w:tc>
        <w:tc>
          <w:tcPr>
            <w:tcW w:w="525" w:type="dxa"/>
            <w:vMerge w:val="restart"/>
            <w:tcBorders>
              <w:top w:val="nil"/>
              <w:left w:val="single" w:sz="8" w:space="0" w:color="000000"/>
              <w:bottom w:val="single" w:sz="8" w:space="0" w:color="000000"/>
              <w:right w:val="nil"/>
              <w:tl2br w:val="nil"/>
              <w:tr2bl w:val="nil"/>
            </w:tcBorders>
            <w:shd w:val="clear" w:color="FFFFFF" w:fill="FFFFFF"/>
            <w:textDirection w:val="lrTb"/>
            <w:vAlign w:val="center"/>
          </w:tcPr>
          <w:p w:rsidR="00F1062D">
            <w:pPr>
              <w:jc w:val="center"/>
              <w:rPr>
                <w:rStyle w:val="DefaultParagraphFont"/>
                <w:rFonts w:ascii="Times New Roman" w:hAnsi="Times New Roman" w:cs="Times New Roman"/>
                <w:sz w:val="20"/>
                <w:szCs w:val="24"/>
              </w:rPr>
            </w:pPr>
          </w:p>
        </w:tc>
        <w:tc>
          <w:tcPr>
            <w:tcW w:w="1171" w:type="dxa"/>
            <w:vMerge w:val="restart"/>
            <w:tcBorders>
              <w:top w:val="nil"/>
              <w:left w:val="single" w:sz="2" w:space="0" w:color="000000"/>
              <w:bottom w:val="single" w:sz="8" w:space="0" w:color="000000"/>
              <w:right w:val="nil"/>
              <w:tl2br w:val="nil"/>
              <w:tr2bl w:val="nil"/>
            </w:tcBorders>
            <w:shd w:val="clear" w:color="FFFFFF" w:fill="FFFFFF"/>
            <w:textDirection w:val="lrTb"/>
            <w:vAlign w:val="center"/>
          </w:tcPr>
          <w:p w:rsidR="00F1062D">
            <w:pPr>
              <w:pStyle w:val="BodyText"/>
              <w:rPr>
                <w:rStyle w:val="DefaultParagraphFont"/>
                <w:rFonts w:ascii="Times New Roman" w:hAnsi="Times New Roman" w:cs="Times New Roman"/>
                <w:caps/>
                <w:sz w:val="20"/>
                <w:szCs w:val="24"/>
              </w:rPr>
            </w:pPr>
          </w:p>
        </w:tc>
        <w:tc>
          <w:tcPr>
            <w:tcW w:w="915" w:type="dxa"/>
            <w:vMerge w:val="restart"/>
            <w:tcBorders>
              <w:top w:val="nil"/>
              <w:left w:val="single" w:sz="2" w:space="0" w:color="000000"/>
              <w:bottom w:val="single" w:sz="8" w:space="0" w:color="000000"/>
              <w:right w:val="nil"/>
              <w:tl2br w:val="nil"/>
              <w:tr2bl w:val="nil"/>
            </w:tcBorders>
            <w:shd w:val="clear" w:color="FFFFFF" w:fill="FFFFFF"/>
            <w:textDirection w:val="lrTb"/>
            <w:vAlign w:val="center"/>
          </w:tcPr>
          <w:p w:rsidR="00F1062D">
            <w:pPr>
              <w:jc w:val="center"/>
              <w:rPr>
                <w:rStyle w:val="DefaultParagraphFont"/>
                <w:rFonts w:ascii="Times New Roman" w:hAnsi="Times New Roman" w:cs="Times New Roman"/>
                <w:sz w:val="20"/>
                <w:szCs w:val="24"/>
              </w:rPr>
            </w:pPr>
          </w:p>
        </w:tc>
        <w:tc>
          <w:tcPr>
            <w:tcW w:w="781" w:type="dxa"/>
            <w:vMerge w:val="restart"/>
            <w:tcBorders>
              <w:top w:val="nil"/>
              <w:left w:val="single" w:sz="2" w:space="0" w:color="000000"/>
              <w:bottom w:val="single" w:sz="8" w:space="0" w:color="000000"/>
              <w:right w:val="nil"/>
              <w:tl2br w:val="nil"/>
              <w:tr2bl w:val="nil"/>
            </w:tcBorders>
            <w:shd w:val="clear" w:color="FFFFFF" w:fill="FFFFFF"/>
            <w:textDirection w:val="lrTb"/>
            <w:vAlign w:val="center"/>
          </w:tcPr>
          <w:p w:rsidR="00F1062D">
            <w:pPr>
              <w:jc w:val="center"/>
              <w:rPr>
                <w:rStyle w:val="DefaultParagraphFont"/>
                <w:rFonts w:ascii="Times New Roman" w:hAnsi="Times New Roman" w:cs="Times New Roman"/>
                <w:sz w:val="20"/>
                <w:szCs w:val="24"/>
              </w:rPr>
            </w:pPr>
          </w:p>
        </w:tc>
        <w:tc>
          <w:tcPr>
            <w:tcW w:w="651" w:type="dxa"/>
            <w:gridSpan w:val="2"/>
            <w:vMerge w:val="restart"/>
            <w:tcBorders>
              <w:top w:val="nil"/>
              <w:left w:val="single" w:sz="2" w:space="0" w:color="000000"/>
              <w:bottom w:val="single" w:sz="8" w:space="0" w:color="000000"/>
              <w:right w:val="nil"/>
              <w:tl2br w:val="nil"/>
              <w:tr2bl w:val="nil"/>
            </w:tcBorders>
            <w:shd w:val="clear" w:color="FFFFFF" w:fill="FFFFFF"/>
            <w:textDirection w:val="lrTb"/>
            <w:vAlign w:val="center"/>
          </w:tcPr>
          <w:p w:rsidR="00F1062D">
            <w:pPr>
              <w:jc w:val="center"/>
              <w:rPr>
                <w:rStyle w:val="DefaultParagraphFont"/>
                <w:rFonts w:ascii="Times New Roman" w:hAnsi="Times New Roman" w:cs="Times New Roman"/>
                <w:sz w:val="20"/>
                <w:szCs w:val="24"/>
              </w:rPr>
            </w:pPr>
          </w:p>
        </w:tc>
        <w:tc>
          <w:tcPr>
            <w:tcW w:w="654" w:type="dxa"/>
            <w:vMerge w:val="restart"/>
            <w:tcBorders>
              <w:top w:val="nil"/>
              <w:left w:val="single" w:sz="2" w:space="0" w:color="000000"/>
              <w:bottom w:val="single" w:sz="8" w:space="0" w:color="000000"/>
              <w:right w:val="nil"/>
              <w:tl2br w:val="nil"/>
              <w:tr2bl w:val="nil"/>
            </w:tcBorders>
            <w:shd w:val="clear" w:color="FFFFFF" w:fill="FFFFFF"/>
            <w:textDirection w:val="lrTb"/>
            <w:vAlign w:val="center"/>
          </w:tcPr>
          <w:p w:rsidR="00F1062D">
            <w:pPr>
              <w:jc w:val="center"/>
              <w:rPr>
                <w:rStyle w:val="DefaultParagraphFont"/>
                <w:rFonts w:ascii="Times New Roman" w:hAnsi="Times New Roman" w:cs="Times New Roman"/>
                <w:sz w:val="20"/>
                <w:szCs w:val="24"/>
              </w:rPr>
            </w:pPr>
          </w:p>
        </w:tc>
        <w:tc>
          <w:tcPr>
            <w:tcW w:w="651" w:type="dxa"/>
            <w:gridSpan w:val="2"/>
            <w:vMerge w:val="restart"/>
            <w:tcBorders>
              <w:top w:val="nil"/>
              <w:left w:val="single" w:sz="2" w:space="0" w:color="000000"/>
              <w:bottom w:val="single" w:sz="8" w:space="0" w:color="000000"/>
              <w:right w:val="nil"/>
              <w:tl2br w:val="nil"/>
              <w:tr2bl w:val="nil"/>
            </w:tcBorders>
            <w:shd w:val="clear" w:color="FFFFFF" w:fill="FFFFFF"/>
            <w:textDirection w:val="lrTb"/>
            <w:vAlign w:val="center"/>
          </w:tcPr>
          <w:p w:rsidR="00F1062D">
            <w:pPr>
              <w:jc w:val="center"/>
              <w:rPr>
                <w:rStyle w:val="DefaultParagraphFont"/>
                <w:rFonts w:ascii="Times New Roman" w:hAnsi="Times New Roman" w:cs="Times New Roman"/>
                <w:sz w:val="20"/>
                <w:szCs w:val="24"/>
              </w:rPr>
            </w:pPr>
          </w:p>
        </w:tc>
        <w:tc>
          <w:tcPr>
            <w:tcW w:w="650" w:type="dxa"/>
            <w:gridSpan w:val="2"/>
            <w:vMerge w:val="restart"/>
            <w:tcBorders>
              <w:top w:val="nil"/>
              <w:left w:val="single" w:sz="2" w:space="0" w:color="000000"/>
              <w:bottom w:val="single" w:sz="8" w:space="0" w:color="000000"/>
              <w:right w:val="nil"/>
              <w:tl2br w:val="nil"/>
              <w:tr2bl w:val="nil"/>
            </w:tcBorders>
            <w:shd w:val="clear" w:color="FFFFFF" w:fill="FFFFFF"/>
            <w:textDirection w:val="lrTb"/>
            <w:vAlign w:val="center"/>
          </w:tcPr>
          <w:p w:rsidR="00F1062D">
            <w:pPr>
              <w:jc w:val="center"/>
              <w:rPr>
                <w:rStyle w:val="DefaultParagraphFont"/>
                <w:rFonts w:ascii="Times New Roman" w:hAnsi="Times New Roman" w:cs="Times New Roman"/>
                <w:sz w:val="20"/>
                <w:szCs w:val="24"/>
              </w:rPr>
            </w:pPr>
          </w:p>
        </w:tc>
        <w:tc>
          <w:tcPr>
            <w:tcW w:w="653" w:type="dxa"/>
            <w:vMerge w:val="restart"/>
            <w:tcBorders>
              <w:top w:val="nil"/>
              <w:left w:val="single" w:sz="2" w:space="0" w:color="000000"/>
              <w:bottom w:val="single" w:sz="8" w:space="0" w:color="000000"/>
              <w:right w:val="nil"/>
              <w:tl2br w:val="nil"/>
              <w:tr2bl w:val="nil"/>
            </w:tcBorders>
            <w:shd w:val="clear" w:color="FFFFFF" w:fill="FFFFFF"/>
            <w:textDirection w:val="lrTb"/>
            <w:vAlign w:val="center"/>
          </w:tcPr>
          <w:p w:rsidR="00F1062D">
            <w:pPr>
              <w:jc w:val="center"/>
              <w:rPr>
                <w:rStyle w:val="DefaultParagraphFont"/>
                <w:rFonts w:ascii="Times New Roman" w:hAnsi="Times New Roman" w:cs="Times New Roman"/>
                <w:sz w:val="20"/>
                <w:szCs w:val="24"/>
              </w:rPr>
            </w:pPr>
          </w:p>
        </w:tc>
        <w:tc>
          <w:tcPr>
            <w:tcW w:w="786" w:type="dxa"/>
            <w:vMerge w:val="restart"/>
            <w:tcBorders>
              <w:top w:val="nil"/>
              <w:left w:val="single" w:sz="2" w:space="0" w:color="000000"/>
              <w:bottom w:val="single" w:sz="8" w:space="0" w:color="000000"/>
              <w:right w:val="single" w:sz="2" w:space="0" w:color="000000"/>
              <w:tl2br w:val="nil"/>
              <w:tr2bl w:val="nil"/>
            </w:tcBorders>
            <w:shd w:val="clear" w:color="FFFFFF" w:fill="FFFFFF"/>
            <w:textDirection w:val="lrTb"/>
            <w:vAlign w:val="center"/>
          </w:tcPr>
          <w:p w:rsidR="00F1062D">
            <w:pPr>
              <w:jc w:val="center"/>
              <w:rPr>
                <w:rStyle w:val="DefaultParagraphFont"/>
                <w:rFonts w:ascii="Times New Roman" w:hAnsi="Times New Roman" w:cs="Times New Roman"/>
                <w:sz w:val="20"/>
                <w:szCs w:val="24"/>
              </w:rPr>
            </w:pPr>
          </w:p>
        </w:tc>
      </w:tr>
      <w:tr>
        <w:tblPrEx>
          <w:tblW w:w="0" w:type="auto"/>
          <w:jc w:val="right"/>
          <w:tblInd w:w="-8" w:type="dxa"/>
          <w:tblLayout w:type="fixed"/>
          <w:tblCellMar>
            <w:top w:w="0" w:type="dxa"/>
            <w:left w:w="0" w:type="dxa"/>
            <w:bottom w:w="0" w:type="dxa"/>
            <w:right w:w="0" w:type="dxa"/>
          </w:tblCellMar>
        </w:tblPrEx>
        <w:trPr>
          <w:cantSplit/>
          <w:trHeight w:hRule="exact" w:val="151"/>
          <w:jc w:val="right"/>
        </w:trPr>
        <w:tc>
          <w:tcPr>
            <w:tcW w:w="1301" w:type="dxa"/>
            <w:vMerge w:val="restart"/>
            <w:tcBorders>
              <w:top w:val="single" w:sz="2" w:space="0" w:color="000000"/>
              <w:left w:val="single" w:sz="2" w:space="0" w:color="000000"/>
              <w:bottom w:val="single" w:sz="2" w:space="0" w:color="000000"/>
              <w:right w:val="nil"/>
              <w:tl2br w:val="nil"/>
              <w:tr2bl w:val="nil"/>
            </w:tcBorders>
            <w:textDirection w:val="lrTb"/>
            <w:vAlign w:val="top"/>
          </w:tcPr>
          <w:p w:rsidR="00F1062D">
            <w:pPr>
              <w:pStyle w:val="BodyTextIndent"/>
              <w:ind w:left="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benzén</w:t>
            </w:r>
          </w:p>
        </w:tc>
        <w:tc>
          <w:tcPr>
            <w:tcW w:w="1040" w:type="dxa"/>
            <w:vMerge w:val="restart"/>
            <w:tcBorders>
              <w:top w:val="single" w:sz="2" w:space="0" w:color="000000"/>
              <w:left w:val="single" w:sz="2" w:space="0" w:color="000000"/>
              <w:bottom w:val="single" w:sz="2" w:space="0" w:color="000000"/>
              <w:right w:val="nil"/>
              <w:tl2br w:val="nil"/>
              <w:tr2bl w:val="nil"/>
            </w:tcBorders>
            <w:textDirection w:val="lrTb"/>
            <w:vAlign w:val="top"/>
          </w:tcPr>
          <w:p w:rsidR="00F1062D">
            <w:pPr>
              <w:pStyle w:val="BodyText"/>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200-753-7</w:t>
            </w:r>
          </w:p>
        </w:tc>
        <w:tc>
          <w:tcPr>
            <w:tcW w:w="1041" w:type="dxa"/>
            <w:vMerge w:val="restart"/>
            <w:tcBorders>
              <w:top w:val="single" w:sz="2" w:space="0" w:color="000000"/>
              <w:left w:val="single" w:sz="2" w:space="0" w:color="000000"/>
              <w:bottom w:val="single" w:sz="2" w:space="0" w:color="000000"/>
              <w:right w:val="nil"/>
              <w:tl2br w:val="nil"/>
              <w:tr2bl w:val="nil"/>
            </w:tcBorders>
            <w:textDirection w:val="lrTb"/>
            <w:vAlign w:val="top"/>
          </w:tcPr>
          <w:p w:rsidR="00F1062D">
            <w:pPr>
              <w:pStyle w:val="BodyText"/>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71-43-2</w:t>
            </w:r>
          </w:p>
        </w:tc>
        <w:tc>
          <w:tcPr>
            <w:tcW w:w="780" w:type="dxa"/>
            <w:vMerge w:val="restart"/>
            <w:tcBorders>
              <w:top w:val="single" w:sz="2" w:space="0" w:color="000000"/>
              <w:left w:val="single" w:sz="2" w:space="0" w:color="000000"/>
              <w:bottom w:val="single" w:sz="2" w:space="0" w:color="000000"/>
              <w:right w:val="nil"/>
              <w:tl2br w:val="nil"/>
              <w:tr2bl w:val="nil"/>
            </w:tcBorders>
            <w:textDirection w:val="lrTb"/>
            <w:vAlign w:val="top"/>
          </w:tcPr>
          <w:p w:rsidR="00F1062D">
            <w:pPr>
              <w:pStyle w:val="BodyText"/>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3,25 (5)</w:t>
            </w:r>
          </w:p>
        </w:tc>
        <w:tc>
          <w:tcPr>
            <w:tcW w:w="780" w:type="dxa"/>
            <w:vMerge w:val="restart"/>
            <w:tcBorders>
              <w:top w:val="single" w:sz="2" w:space="0" w:color="000000"/>
              <w:left w:val="single" w:sz="2" w:space="0" w:color="000000"/>
              <w:bottom w:val="single" w:sz="2" w:space="0" w:color="000000"/>
              <w:right w:val="nil"/>
              <w:tl2br w:val="nil"/>
              <w:tr2bl w:val="nil"/>
            </w:tcBorders>
            <w:textDirection w:val="lrTb"/>
            <w:vAlign w:val="top"/>
          </w:tcPr>
          <w:p w:rsidR="00F1062D">
            <w:pPr>
              <w:pStyle w:val="BodyText"/>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1,0 (5)</w:t>
            </w:r>
          </w:p>
        </w:tc>
        <w:tc>
          <w:tcPr>
            <w:tcW w:w="521" w:type="dxa"/>
            <w:vMerge w:val="restart"/>
            <w:tcBorders>
              <w:top w:val="single" w:sz="2" w:space="0" w:color="000000"/>
              <w:left w:val="single" w:sz="2" w:space="0" w:color="000000"/>
              <w:bottom w:val="single" w:sz="2" w:space="0" w:color="000000"/>
              <w:right w:val="nil"/>
              <w:tl2br w:val="nil"/>
              <w:tr2bl w:val="nil"/>
            </w:tcBorders>
            <w:textDirection w:val="lrTb"/>
            <w:vAlign w:val="top"/>
          </w:tcPr>
          <w:p w:rsidR="00F1062D">
            <w:pPr>
              <w:pStyle w:val="BodyText"/>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pokožka </w:t>
            </w:r>
          </w:p>
        </w:tc>
        <w:tc>
          <w:tcPr>
            <w:tcW w:w="1431" w:type="dxa"/>
            <w:vMerge w:val="restart"/>
            <w:tcBorders>
              <w:top w:val="single" w:sz="2" w:space="0" w:color="000000"/>
              <w:left w:val="single" w:sz="2" w:space="0" w:color="000000"/>
              <w:bottom w:val="single" w:sz="2" w:space="0" w:color="000000"/>
              <w:right w:val="single" w:sz="2" w:space="0" w:color="000000"/>
              <w:tl2br w:val="nil"/>
              <w:tr2bl w:val="nil"/>
            </w:tcBorders>
            <w:textDirection w:val="lrTb"/>
            <w:vAlign w:val="top"/>
          </w:tcPr>
          <w:p w:rsidR="00F1062D">
            <w:pPr>
              <w:pStyle w:val="BodyText"/>
              <w:rPr>
                <w:rStyle w:val="DefaultParagraphFont"/>
                <w:rFonts w:ascii="Times New Roman" w:hAnsi="Times New Roman" w:cs="Times New Roman"/>
                <w:b/>
                <w:sz w:val="20"/>
                <w:szCs w:val="24"/>
              </w:rPr>
            </w:pPr>
            <w:r>
              <w:rPr>
                <w:rStyle w:val="DefaultParagraphFont"/>
                <w:rFonts w:ascii="Times New Roman" w:hAnsi="Times New Roman" w:cs="Times New Roman"/>
                <w:b/>
                <w:sz w:val="20"/>
                <w:szCs w:val="24"/>
              </w:rPr>
              <w:t>Limitná hodnota:</w:t>
            </w:r>
          </w:p>
          <w:p w:rsidR="00F1062D">
            <w:pPr>
              <w:pStyle w:val="BodyText"/>
              <w:rPr>
                <w:rStyle w:val="DefaultParagraphFont"/>
                <w:rFonts w:ascii="Times New Roman" w:hAnsi="Times New Roman" w:cs="Times New Roman"/>
                <w:b/>
                <w:sz w:val="20"/>
                <w:szCs w:val="24"/>
              </w:rPr>
            </w:pPr>
            <w:r>
              <w:rPr>
                <w:rStyle w:val="DefaultParagraphFont"/>
                <w:rFonts w:ascii="Times New Roman" w:hAnsi="Times New Roman" w:cs="Times New Roman"/>
                <w:b/>
                <w:sz w:val="20"/>
                <w:szCs w:val="24"/>
              </w:rPr>
              <w:t>3 ppm (9,75 mg/</w:t>
            </w:r>
            <w:r>
              <w:rPr>
                <w:rStyle w:val="DefaultParagraphFont"/>
                <w:rFonts w:ascii="Times New Roman" w:hAnsi="Times New Roman" w:cs="Times New Roman"/>
                <w:sz w:val="20"/>
                <w:szCs w:val="24"/>
              </w:rPr>
              <w:t xml:space="preserve"> </w:t>
            </w:r>
            <w:r>
              <w:rPr>
                <w:rStyle w:val="DefaultParagraphFont"/>
                <w:rFonts w:ascii="Times New Roman" w:hAnsi="Times New Roman" w:cs="Times New Roman"/>
                <w:b/>
                <w:sz w:val="20"/>
                <w:szCs w:val="24"/>
              </w:rPr>
              <w:t>m</w:t>
            </w:r>
            <w:r>
              <w:rPr>
                <w:rStyle w:val="DefaultParagraphFont"/>
                <w:rFonts w:ascii="Times New Roman" w:hAnsi="Times New Roman" w:cs="Times New Roman"/>
                <w:b/>
                <w:sz w:val="20"/>
                <w:szCs w:val="24"/>
                <w:vertAlign w:val="superscript"/>
              </w:rPr>
              <w:t>3</w:t>
            </w:r>
            <w:r>
              <w:rPr>
                <w:rStyle w:val="DefaultParagraphFont"/>
                <w:rFonts w:ascii="Times New Roman" w:hAnsi="Times New Roman" w:cs="Times New Roman"/>
                <w:b/>
                <w:sz w:val="20"/>
                <w:szCs w:val="24"/>
              </w:rPr>
              <w:t>) do 3 rokov od dátumu v čl.2 (1) Smernice 97/42/ES (*)</w:t>
            </w:r>
          </w:p>
        </w:tc>
        <w:tc>
          <w:tcPr>
            <w:tcW w:w="259" w:type="dxa"/>
            <w:vMerge/>
            <w:tcBorders>
              <w:top w:val="nil"/>
              <w:left w:val="nil"/>
              <w:bottom w:val="nil"/>
              <w:right w:val="nil"/>
              <w:tl2br w:val="nil"/>
              <w:tr2bl w:val="nil"/>
            </w:tcBorders>
            <w:textDirection w:val="lrTb"/>
            <w:vAlign w:val="center"/>
          </w:tcPr>
          <w:p w:rsidR="00F1062D">
            <w:pPr>
              <w:rPr>
                <w:rStyle w:val="DefaultParagraphFont"/>
                <w:rFonts w:ascii="Times New Roman" w:hAnsi="Times New Roman" w:cs="Times New Roman"/>
                <w:sz w:val="20"/>
                <w:szCs w:val="24"/>
              </w:rPr>
            </w:pPr>
          </w:p>
        </w:tc>
        <w:tc>
          <w:tcPr>
            <w:tcW w:w="525" w:type="dxa"/>
            <w:vMerge/>
            <w:tcBorders>
              <w:top w:val="nil"/>
              <w:left w:val="single" w:sz="8" w:space="0" w:color="000000"/>
              <w:bottom w:val="single" w:sz="8" w:space="0" w:color="000000"/>
              <w:right w:val="nil"/>
              <w:tl2br w:val="nil"/>
              <w:tr2bl w:val="nil"/>
            </w:tcBorders>
            <w:textDirection w:val="lrTb"/>
            <w:vAlign w:val="center"/>
          </w:tcPr>
          <w:p w:rsidR="00F1062D">
            <w:pPr>
              <w:rPr>
                <w:rStyle w:val="DefaultParagraphFont"/>
                <w:rFonts w:ascii="Times New Roman" w:hAnsi="Times New Roman" w:cs="Times New Roman"/>
                <w:sz w:val="20"/>
                <w:szCs w:val="24"/>
              </w:rPr>
            </w:pPr>
          </w:p>
        </w:tc>
        <w:tc>
          <w:tcPr>
            <w:tcW w:w="1171" w:type="dxa"/>
            <w:vMerge/>
            <w:tcBorders>
              <w:top w:val="nil"/>
              <w:left w:val="single" w:sz="2" w:space="0" w:color="000000"/>
              <w:bottom w:val="single" w:sz="8" w:space="0" w:color="000000"/>
              <w:right w:val="nil"/>
              <w:tl2br w:val="nil"/>
              <w:tr2bl w:val="nil"/>
            </w:tcBorders>
            <w:textDirection w:val="lrTb"/>
            <w:vAlign w:val="center"/>
          </w:tcPr>
          <w:p w:rsidR="00F1062D">
            <w:pPr>
              <w:rPr>
                <w:rStyle w:val="DefaultParagraphFont"/>
                <w:rFonts w:ascii="Times New Roman" w:hAnsi="Times New Roman" w:cs="Times New Roman"/>
                <w:sz w:val="20"/>
                <w:szCs w:val="24"/>
              </w:rPr>
            </w:pPr>
          </w:p>
        </w:tc>
        <w:tc>
          <w:tcPr>
            <w:tcW w:w="915" w:type="dxa"/>
            <w:vMerge/>
            <w:tcBorders>
              <w:top w:val="nil"/>
              <w:left w:val="single" w:sz="2" w:space="0" w:color="000000"/>
              <w:bottom w:val="single" w:sz="8" w:space="0" w:color="000000"/>
              <w:right w:val="nil"/>
              <w:tl2br w:val="nil"/>
              <w:tr2bl w:val="nil"/>
            </w:tcBorders>
            <w:textDirection w:val="lrTb"/>
            <w:vAlign w:val="center"/>
          </w:tcPr>
          <w:p w:rsidR="00F1062D">
            <w:pPr>
              <w:rPr>
                <w:rStyle w:val="DefaultParagraphFont"/>
                <w:rFonts w:ascii="Times New Roman" w:hAnsi="Times New Roman" w:cs="Times New Roman"/>
                <w:sz w:val="20"/>
                <w:szCs w:val="24"/>
              </w:rPr>
            </w:pPr>
          </w:p>
        </w:tc>
        <w:tc>
          <w:tcPr>
            <w:tcW w:w="781" w:type="dxa"/>
            <w:vMerge/>
            <w:tcBorders>
              <w:top w:val="nil"/>
              <w:left w:val="single" w:sz="2" w:space="0" w:color="000000"/>
              <w:bottom w:val="single" w:sz="8" w:space="0" w:color="000000"/>
              <w:right w:val="nil"/>
              <w:tl2br w:val="nil"/>
              <w:tr2bl w:val="nil"/>
            </w:tcBorders>
            <w:textDirection w:val="lrTb"/>
            <w:vAlign w:val="center"/>
          </w:tcPr>
          <w:p w:rsidR="00F1062D">
            <w:pPr>
              <w:rPr>
                <w:rStyle w:val="DefaultParagraphFont"/>
                <w:rFonts w:ascii="Times New Roman" w:hAnsi="Times New Roman" w:cs="Times New Roman"/>
                <w:sz w:val="20"/>
                <w:szCs w:val="24"/>
              </w:rPr>
            </w:pPr>
          </w:p>
        </w:tc>
        <w:tc>
          <w:tcPr>
            <w:tcW w:w="651" w:type="dxa"/>
            <w:gridSpan w:val="2"/>
            <w:vMerge/>
            <w:tcBorders>
              <w:top w:val="nil"/>
              <w:left w:val="single" w:sz="2" w:space="0" w:color="000000"/>
              <w:bottom w:val="single" w:sz="8" w:space="0" w:color="000000"/>
              <w:right w:val="nil"/>
              <w:tl2br w:val="nil"/>
              <w:tr2bl w:val="nil"/>
            </w:tcBorders>
            <w:textDirection w:val="lrTb"/>
            <w:vAlign w:val="center"/>
          </w:tcPr>
          <w:p w:rsidR="00F1062D">
            <w:pPr>
              <w:rPr>
                <w:rStyle w:val="DefaultParagraphFont"/>
                <w:rFonts w:ascii="Times New Roman" w:hAnsi="Times New Roman" w:cs="Times New Roman"/>
                <w:sz w:val="20"/>
                <w:szCs w:val="24"/>
              </w:rPr>
            </w:pPr>
          </w:p>
        </w:tc>
        <w:tc>
          <w:tcPr>
            <w:tcW w:w="654" w:type="dxa"/>
            <w:vMerge/>
            <w:tcBorders>
              <w:top w:val="nil"/>
              <w:left w:val="single" w:sz="2" w:space="0" w:color="000000"/>
              <w:bottom w:val="single" w:sz="8" w:space="0" w:color="000000"/>
              <w:right w:val="nil"/>
              <w:tl2br w:val="nil"/>
              <w:tr2bl w:val="nil"/>
            </w:tcBorders>
            <w:textDirection w:val="lrTb"/>
            <w:vAlign w:val="center"/>
          </w:tcPr>
          <w:p w:rsidR="00F1062D">
            <w:pPr>
              <w:rPr>
                <w:rStyle w:val="DefaultParagraphFont"/>
                <w:rFonts w:ascii="Times New Roman" w:hAnsi="Times New Roman" w:cs="Times New Roman"/>
                <w:sz w:val="20"/>
                <w:szCs w:val="24"/>
              </w:rPr>
            </w:pPr>
          </w:p>
        </w:tc>
        <w:tc>
          <w:tcPr>
            <w:tcW w:w="651" w:type="dxa"/>
            <w:gridSpan w:val="2"/>
            <w:vMerge/>
            <w:tcBorders>
              <w:top w:val="nil"/>
              <w:left w:val="single" w:sz="2" w:space="0" w:color="000000"/>
              <w:bottom w:val="single" w:sz="8" w:space="0" w:color="000000"/>
              <w:right w:val="nil"/>
              <w:tl2br w:val="nil"/>
              <w:tr2bl w:val="nil"/>
            </w:tcBorders>
            <w:textDirection w:val="lrTb"/>
            <w:vAlign w:val="center"/>
          </w:tcPr>
          <w:p w:rsidR="00F1062D">
            <w:pPr>
              <w:rPr>
                <w:rStyle w:val="DefaultParagraphFont"/>
                <w:rFonts w:ascii="Times New Roman" w:hAnsi="Times New Roman" w:cs="Times New Roman"/>
                <w:sz w:val="20"/>
                <w:szCs w:val="24"/>
              </w:rPr>
            </w:pPr>
          </w:p>
        </w:tc>
        <w:tc>
          <w:tcPr>
            <w:tcW w:w="650" w:type="dxa"/>
            <w:gridSpan w:val="2"/>
            <w:vMerge/>
            <w:tcBorders>
              <w:top w:val="nil"/>
              <w:left w:val="single" w:sz="2" w:space="0" w:color="000000"/>
              <w:bottom w:val="single" w:sz="8" w:space="0" w:color="000000"/>
              <w:right w:val="nil"/>
              <w:tl2br w:val="nil"/>
              <w:tr2bl w:val="nil"/>
            </w:tcBorders>
            <w:textDirection w:val="lrTb"/>
            <w:vAlign w:val="center"/>
          </w:tcPr>
          <w:p w:rsidR="00F1062D">
            <w:pPr>
              <w:rPr>
                <w:rStyle w:val="DefaultParagraphFont"/>
                <w:rFonts w:ascii="Times New Roman" w:hAnsi="Times New Roman" w:cs="Times New Roman"/>
                <w:sz w:val="20"/>
                <w:szCs w:val="24"/>
              </w:rPr>
            </w:pPr>
          </w:p>
        </w:tc>
        <w:tc>
          <w:tcPr>
            <w:tcW w:w="653" w:type="dxa"/>
            <w:vMerge/>
            <w:tcBorders>
              <w:top w:val="nil"/>
              <w:left w:val="single" w:sz="2" w:space="0" w:color="000000"/>
              <w:bottom w:val="single" w:sz="8" w:space="0" w:color="000000"/>
              <w:right w:val="nil"/>
              <w:tl2br w:val="nil"/>
              <w:tr2bl w:val="nil"/>
            </w:tcBorders>
            <w:textDirection w:val="lrTb"/>
            <w:vAlign w:val="center"/>
          </w:tcPr>
          <w:p w:rsidR="00F1062D">
            <w:pPr>
              <w:rPr>
                <w:rStyle w:val="DefaultParagraphFont"/>
                <w:rFonts w:ascii="Times New Roman" w:hAnsi="Times New Roman" w:cs="Times New Roman"/>
                <w:sz w:val="20"/>
                <w:szCs w:val="24"/>
              </w:rPr>
            </w:pPr>
          </w:p>
        </w:tc>
        <w:tc>
          <w:tcPr>
            <w:tcW w:w="786" w:type="dxa"/>
            <w:vMerge/>
            <w:tcBorders>
              <w:top w:val="nil"/>
              <w:left w:val="single" w:sz="2" w:space="0" w:color="000000"/>
              <w:bottom w:val="single" w:sz="8" w:space="0" w:color="000000"/>
              <w:right w:val="single" w:sz="2" w:space="0" w:color="000000"/>
              <w:tl2br w:val="nil"/>
              <w:tr2bl w:val="nil"/>
            </w:tcBorders>
            <w:textDirection w:val="lrTb"/>
            <w:vAlign w:val="center"/>
          </w:tcPr>
          <w:p w:rsidR="00F1062D">
            <w:pPr>
              <w:rPr>
                <w:rStyle w:val="DefaultParagraphFont"/>
                <w:rFonts w:ascii="Times New Roman" w:hAnsi="Times New Roman" w:cs="Times New Roman"/>
                <w:sz w:val="20"/>
                <w:szCs w:val="24"/>
              </w:rPr>
            </w:pPr>
          </w:p>
        </w:tc>
      </w:tr>
      <w:tr>
        <w:tblPrEx>
          <w:tblW w:w="0" w:type="auto"/>
          <w:jc w:val="right"/>
          <w:tblInd w:w="-8" w:type="dxa"/>
          <w:tblLayout w:type="fixed"/>
          <w:tblCellMar>
            <w:top w:w="0" w:type="dxa"/>
            <w:left w:w="0" w:type="dxa"/>
            <w:bottom w:w="0" w:type="dxa"/>
            <w:right w:w="0" w:type="dxa"/>
          </w:tblCellMar>
        </w:tblPrEx>
        <w:trPr>
          <w:cantSplit/>
          <w:trHeight w:val="1369"/>
          <w:jc w:val="right"/>
        </w:trPr>
        <w:tc>
          <w:tcPr>
            <w:tcW w:w="1301" w:type="dxa"/>
            <w:vMerge/>
            <w:tcBorders>
              <w:top w:val="single" w:sz="2" w:space="0" w:color="000000"/>
              <w:left w:val="single" w:sz="2" w:space="0" w:color="000000"/>
              <w:bottom w:val="single" w:sz="2" w:space="0" w:color="000000"/>
              <w:right w:val="nil"/>
              <w:tl2br w:val="nil"/>
              <w:tr2bl w:val="nil"/>
            </w:tcBorders>
            <w:textDirection w:val="lrTb"/>
            <w:vAlign w:val="top"/>
          </w:tcPr>
          <w:p w:rsidR="00F1062D">
            <w:pPr>
              <w:rPr>
                <w:rStyle w:val="DefaultParagraphFont"/>
                <w:rFonts w:ascii="Times New Roman" w:hAnsi="Times New Roman" w:cs="Times New Roman"/>
                <w:sz w:val="20"/>
                <w:szCs w:val="24"/>
              </w:rPr>
            </w:pPr>
          </w:p>
        </w:tc>
        <w:tc>
          <w:tcPr>
            <w:tcW w:w="1040" w:type="dxa"/>
            <w:vMerge/>
            <w:tcBorders>
              <w:top w:val="single" w:sz="2" w:space="0" w:color="000000"/>
              <w:left w:val="single" w:sz="2" w:space="0" w:color="000000"/>
              <w:bottom w:val="single" w:sz="2" w:space="0" w:color="000000"/>
              <w:right w:val="nil"/>
              <w:tl2br w:val="nil"/>
              <w:tr2bl w:val="nil"/>
            </w:tcBorders>
            <w:textDirection w:val="lrTb"/>
            <w:vAlign w:val="top"/>
          </w:tcPr>
          <w:p w:rsidR="00F1062D">
            <w:pPr>
              <w:rPr>
                <w:rStyle w:val="DefaultParagraphFont"/>
                <w:rFonts w:ascii="Times New Roman" w:hAnsi="Times New Roman" w:cs="Times New Roman"/>
                <w:sz w:val="20"/>
                <w:szCs w:val="24"/>
              </w:rPr>
            </w:pPr>
          </w:p>
        </w:tc>
        <w:tc>
          <w:tcPr>
            <w:tcW w:w="1041" w:type="dxa"/>
            <w:vMerge/>
            <w:tcBorders>
              <w:top w:val="single" w:sz="2" w:space="0" w:color="000000"/>
              <w:left w:val="single" w:sz="2" w:space="0" w:color="000000"/>
              <w:bottom w:val="single" w:sz="2" w:space="0" w:color="000000"/>
              <w:right w:val="nil"/>
              <w:tl2br w:val="nil"/>
              <w:tr2bl w:val="nil"/>
            </w:tcBorders>
            <w:textDirection w:val="lrTb"/>
            <w:vAlign w:val="top"/>
          </w:tcPr>
          <w:p w:rsidR="00F1062D">
            <w:pPr>
              <w:rPr>
                <w:rStyle w:val="DefaultParagraphFont"/>
                <w:rFonts w:ascii="Times New Roman" w:hAnsi="Times New Roman" w:cs="Times New Roman"/>
                <w:sz w:val="20"/>
                <w:szCs w:val="24"/>
              </w:rPr>
            </w:pPr>
          </w:p>
        </w:tc>
        <w:tc>
          <w:tcPr>
            <w:tcW w:w="780" w:type="dxa"/>
            <w:vMerge/>
            <w:tcBorders>
              <w:top w:val="single" w:sz="2" w:space="0" w:color="000000"/>
              <w:left w:val="single" w:sz="2" w:space="0" w:color="000000"/>
              <w:bottom w:val="single" w:sz="2" w:space="0" w:color="000000"/>
              <w:right w:val="nil"/>
              <w:tl2br w:val="nil"/>
              <w:tr2bl w:val="nil"/>
            </w:tcBorders>
            <w:textDirection w:val="lrTb"/>
            <w:vAlign w:val="top"/>
          </w:tcPr>
          <w:p w:rsidR="00F1062D">
            <w:pPr>
              <w:rPr>
                <w:rStyle w:val="DefaultParagraphFont"/>
                <w:rFonts w:ascii="Times New Roman" w:hAnsi="Times New Roman" w:cs="Times New Roman"/>
                <w:sz w:val="20"/>
                <w:szCs w:val="24"/>
              </w:rPr>
            </w:pPr>
          </w:p>
        </w:tc>
        <w:tc>
          <w:tcPr>
            <w:tcW w:w="780" w:type="dxa"/>
            <w:vMerge/>
            <w:tcBorders>
              <w:top w:val="single" w:sz="2" w:space="0" w:color="000000"/>
              <w:left w:val="single" w:sz="2" w:space="0" w:color="000000"/>
              <w:bottom w:val="single" w:sz="2" w:space="0" w:color="000000"/>
              <w:right w:val="nil"/>
              <w:tl2br w:val="nil"/>
              <w:tr2bl w:val="nil"/>
            </w:tcBorders>
            <w:textDirection w:val="lrTb"/>
            <w:vAlign w:val="top"/>
          </w:tcPr>
          <w:p w:rsidR="00F1062D">
            <w:pPr>
              <w:rPr>
                <w:rStyle w:val="DefaultParagraphFont"/>
                <w:rFonts w:ascii="Times New Roman" w:hAnsi="Times New Roman" w:cs="Times New Roman"/>
                <w:sz w:val="20"/>
                <w:szCs w:val="24"/>
              </w:rPr>
            </w:pPr>
          </w:p>
        </w:tc>
        <w:tc>
          <w:tcPr>
            <w:tcW w:w="521" w:type="dxa"/>
            <w:vMerge/>
            <w:tcBorders>
              <w:top w:val="single" w:sz="2" w:space="0" w:color="000000"/>
              <w:left w:val="single" w:sz="2" w:space="0" w:color="000000"/>
              <w:bottom w:val="single" w:sz="2" w:space="0" w:color="000000"/>
              <w:right w:val="nil"/>
              <w:tl2br w:val="nil"/>
              <w:tr2bl w:val="nil"/>
            </w:tcBorders>
            <w:textDirection w:val="lrTb"/>
            <w:vAlign w:val="top"/>
          </w:tcPr>
          <w:p w:rsidR="00F1062D">
            <w:pPr>
              <w:rPr>
                <w:rStyle w:val="DefaultParagraphFont"/>
                <w:rFonts w:ascii="Times New Roman" w:hAnsi="Times New Roman" w:cs="Times New Roman"/>
                <w:sz w:val="20"/>
                <w:szCs w:val="24"/>
              </w:rPr>
            </w:pPr>
          </w:p>
        </w:tc>
        <w:tc>
          <w:tcPr>
            <w:tcW w:w="1431" w:type="dxa"/>
            <w:vMerge/>
            <w:tcBorders>
              <w:top w:val="single" w:sz="2" w:space="0" w:color="000000"/>
              <w:left w:val="single" w:sz="2" w:space="0" w:color="000000"/>
              <w:bottom w:val="single" w:sz="2" w:space="0" w:color="000000"/>
              <w:right w:val="single" w:sz="2" w:space="0" w:color="000000"/>
              <w:tl2br w:val="nil"/>
              <w:tr2bl w:val="nil"/>
            </w:tcBorders>
            <w:textDirection w:val="lrTb"/>
            <w:vAlign w:val="top"/>
          </w:tcPr>
          <w:p w:rsidR="00F1062D">
            <w:pPr>
              <w:rPr>
                <w:rStyle w:val="DefaultParagraphFont"/>
                <w:rFonts w:ascii="Times New Roman" w:hAnsi="Times New Roman" w:cs="Times New Roman"/>
                <w:sz w:val="20"/>
                <w:szCs w:val="24"/>
              </w:rPr>
            </w:pPr>
          </w:p>
        </w:tc>
        <w:tc>
          <w:tcPr>
            <w:tcW w:w="259" w:type="dxa"/>
            <w:vMerge/>
            <w:tcBorders>
              <w:top w:val="nil"/>
              <w:left w:val="nil"/>
              <w:bottom w:val="nil"/>
              <w:right w:val="nil"/>
              <w:tl2br w:val="nil"/>
              <w:tr2bl w:val="nil"/>
            </w:tcBorders>
            <w:textDirection w:val="lrTb"/>
            <w:vAlign w:val="center"/>
          </w:tcPr>
          <w:p w:rsidR="00F1062D">
            <w:pPr>
              <w:rPr>
                <w:rStyle w:val="DefaultParagraphFont"/>
                <w:rFonts w:ascii="Times New Roman" w:hAnsi="Times New Roman" w:cs="Times New Roman"/>
                <w:sz w:val="20"/>
                <w:szCs w:val="24"/>
              </w:rPr>
            </w:pPr>
          </w:p>
        </w:tc>
        <w:tc>
          <w:tcPr>
            <w:tcW w:w="525" w:type="dxa"/>
            <w:tcBorders>
              <w:top w:val="single" w:sz="2" w:space="0" w:color="000000"/>
              <w:left w:val="single" w:sz="2" w:space="0" w:color="000000"/>
              <w:bottom w:val="nil"/>
              <w:right w:val="nil"/>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6.</w:t>
            </w:r>
          </w:p>
        </w:tc>
        <w:tc>
          <w:tcPr>
            <w:tcW w:w="1171" w:type="dxa"/>
            <w:tcBorders>
              <w:top w:val="single" w:sz="2" w:space="0" w:color="000000"/>
              <w:left w:val="single" w:sz="2" w:space="0" w:color="000000"/>
              <w:bottom w:val="nil"/>
              <w:right w:val="nil"/>
              <w:tl2br w:val="nil"/>
              <w:tr2bl w:val="nil"/>
            </w:tcBorders>
            <w:textDirection w:val="lrTb"/>
            <w:vAlign w:val="top"/>
          </w:tcPr>
          <w:p w:rsidR="00F1062D">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benzén</w:t>
            </w:r>
          </w:p>
          <w:p w:rsidR="00F1062D">
            <w:pPr>
              <w:jc w:val="both"/>
              <w:rPr>
                <w:rStyle w:val="DefaultParagraphFont"/>
                <w:rFonts w:ascii="Times New Roman" w:hAnsi="Times New Roman" w:cs="Times New Roman"/>
                <w:sz w:val="20"/>
                <w:szCs w:val="24"/>
              </w:rPr>
            </w:pPr>
          </w:p>
          <w:p w:rsidR="00F1062D">
            <w:pPr>
              <w:jc w:val="both"/>
              <w:rPr>
                <w:rStyle w:val="DefaultParagraphFont"/>
                <w:rFonts w:ascii="Times New Roman" w:hAnsi="Times New Roman" w:cs="Times New Roman"/>
                <w:sz w:val="20"/>
                <w:szCs w:val="24"/>
              </w:rPr>
            </w:pPr>
          </w:p>
          <w:p w:rsidR="00F1062D">
            <w:pPr>
              <w:jc w:val="both"/>
              <w:rPr>
                <w:rStyle w:val="DefaultParagraphFont"/>
                <w:rFonts w:ascii="Times New Roman" w:hAnsi="Times New Roman" w:cs="Times New Roman"/>
                <w:sz w:val="20"/>
                <w:szCs w:val="24"/>
              </w:rPr>
            </w:pPr>
          </w:p>
          <w:p w:rsidR="00F1062D">
            <w:pPr>
              <w:jc w:val="both"/>
              <w:rPr>
                <w:rStyle w:val="DefaultParagraphFont"/>
                <w:rFonts w:ascii="Times New Roman" w:hAnsi="Times New Roman" w:cs="Times New Roman"/>
                <w:sz w:val="20"/>
                <w:szCs w:val="24"/>
              </w:rPr>
            </w:pPr>
          </w:p>
        </w:tc>
        <w:tc>
          <w:tcPr>
            <w:tcW w:w="915" w:type="dxa"/>
            <w:tcBorders>
              <w:top w:val="single" w:sz="2" w:space="0" w:color="000000"/>
              <w:left w:val="single" w:sz="2" w:space="0" w:color="000000"/>
              <w:bottom w:val="nil"/>
              <w:right w:val="nil"/>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200-753-7</w:t>
            </w:r>
          </w:p>
        </w:tc>
        <w:tc>
          <w:tcPr>
            <w:tcW w:w="781" w:type="dxa"/>
            <w:tcBorders>
              <w:top w:val="single" w:sz="2" w:space="0" w:color="000000"/>
              <w:left w:val="single" w:sz="2" w:space="0" w:color="000000"/>
              <w:bottom w:val="nil"/>
              <w:right w:val="nil"/>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71-43-2</w:t>
            </w:r>
          </w:p>
        </w:tc>
        <w:tc>
          <w:tcPr>
            <w:tcW w:w="651" w:type="dxa"/>
            <w:gridSpan w:val="2"/>
            <w:tcBorders>
              <w:top w:val="single" w:sz="2" w:space="0" w:color="000000"/>
              <w:left w:val="single" w:sz="2" w:space="0" w:color="000000"/>
              <w:bottom w:val="nil"/>
              <w:right w:val="nil"/>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1,0</w:t>
            </w:r>
          </w:p>
        </w:tc>
        <w:tc>
          <w:tcPr>
            <w:tcW w:w="654" w:type="dxa"/>
            <w:tcBorders>
              <w:top w:val="single" w:sz="2" w:space="0" w:color="000000"/>
              <w:left w:val="single" w:sz="2" w:space="0" w:color="000000"/>
              <w:bottom w:val="nil"/>
              <w:right w:val="nil"/>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3,25</w:t>
            </w:r>
          </w:p>
        </w:tc>
        <w:tc>
          <w:tcPr>
            <w:tcW w:w="651" w:type="dxa"/>
            <w:gridSpan w:val="2"/>
            <w:tcBorders>
              <w:top w:val="nil"/>
              <w:left w:val="single" w:sz="2" w:space="0" w:color="000000"/>
              <w:bottom w:val="nil"/>
              <w:right w:val="nil"/>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1</w:t>
            </w:r>
          </w:p>
        </w:tc>
        <w:tc>
          <w:tcPr>
            <w:tcW w:w="650" w:type="dxa"/>
            <w:gridSpan w:val="2"/>
            <w:tcBorders>
              <w:top w:val="nil"/>
              <w:left w:val="single" w:sz="2" w:space="0" w:color="000000"/>
              <w:bottom w:val="nil"/>
              <w:right w:val="nil"/>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w:t>
            </w:r>
          </w:p>
        </w:tc>
        <w:tc>
          <w:tcPr>
            <w:tcW w:w="653" w:type="dxa"/>
            <w:tcBorders>
              <w:top w:val="nil"/>
              <w:left w:val="single" w:sz="2" w:space="0" w:color="000000"/>
              <w:bottom w:val="nil"/>
              <w:right w:val="nil"/>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w:t>
            </w:r>
          </w:p>
        </w:tc>
        <w:tc>
          <w:tcPr>
            <w:tcW w:w="786" w:type="dxa"/>
            <w:tcBorders>
              <w:top w:val="nil"/>
              <w:left w:val="single" w:sz="2" w:space="0" w:color="000000"/>
              <w:bottom w:val="nil"/>
              <w:right w:val="single" w:sz="2" w:space="0" w:color="000000"/>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w:t>
            </w:r>
          </w:p>
        </w:tc>
      </w:tr>
      <w:tr>
        <w:tblPrEx>
          <w:tblW w:w="0" w:type="auto"/>
          <w:jc w:val="right"/>
          <w:tblInd w:w="-8" w:type="dxa"/>
          <w:tblLayout w:type="fixed"/>
          <w:tblCellMar>
            <w:top w:w="0" w:type="dxa"/>
            <w:left w:w="0" w:type="dxa"/>
            <w:bottom w:w="0" w:type="dxa"/>
            <w:right w:w="0" w:type="dxa"/>
          </w:tblCellMar>
        </w:tblPrEx>
        <w:trPr>
          <w:cantSplit/>
          <w:trHeight w:hRule="exact" w:val="233"/>
          <w:jc w:val="right"/>
        </w:trPr>
        <w:tc>
          <w:tcPr>
            <w:tcW w:w="1301" w:type="dxa"/>
            <w:vMerge/>
            <w:tcBorders>
              <w:top w:val="single" w:sz="2" w:space="0" w:color="000000"/>
              <w:left w:val="single" w:sz="2" w:space="0" w:color="000000"/>
              <w:bottom w:val="single" w:sz="4" w:space="0" w:color="auto"/>
              <w:right w:val="nil"/>
              <w:tl2br w:val="nil"/>
              <w:tr2bl w:val="nil"/>
            </w:tcBorders>
            <w:textDirection w:val="lrTb"/>
            <w:vAlign w:val="top"/>
          </w:tcPr>
          <w:p w:rsidR="00F1062D">
            <w:pPr>
              <w:rPr>
                <w:rStyle w:val="DefaultParagraphFont"/>
                <w:rFonts w:ascii="Times New Roman" w:hAnsi="Times New Roman" w:cs="Times New Roman"/>
                <w:sz w:val="20"/>
                <w:szCs w:val="24"/>
              </w:rPr>
            </w:pPr>
          </w:p>
        </w:tc>
        <w:tc>
          <w:tcPr>
            <w:tcW w:w="1040" w:type="dxa"/>
            <w:vMerge/>
            <w:tcBorders>
              <w:top w:val="single" w:sz="2" w:space="0" w:color="000000"/>
              <w:left w:val="single" w:sz="2" w:space="0" w:color="000000"/>
              <w:bottom w:val="single" w:sz="4" w:space="0" w:color="auto"/>
              <w:right w:val="nil"/>
              <w:tl2br w:val="nil"/>
              <w:tr2bl w:val="nil"/>
            </w:tcBorders>
            <w:textDirection w:val="lrTb"/>
            <w:vAlign w:val="top"/>
          </w:tcPr>
          <w:p w:rsidR="00F1062D">
            <w:pPr>
              <w:rPr>
                <w:rStyle w:val="DefaultParagraphFont"/>
                <w:rFonts w:ascii="Times New Roman" w:hAnsi="Times New Roman" w:cs="Times New Roman"/>
                <w:sz w:val="20"/>
                <w:szCs w:val="24"/>
              </w:rPr>
            </w:pPr>
          </w:p>
        </w:tc>
        <w:tc>
          <w:tcPr>
            <w:tcW w:w="1041" w:type="dxa"/>
            <w:vMerge/>
            <w:tcBorders>
              <w:top w:val="single" w:sz="2" w:space="0" w:color="000000"/>
              <w:left w:val="single" w:sz="2" w:space="0" w:color="000000"/>
              <w:bottom w:val="single" w:sz="4" w:space="0" w:color="auto"/>
              <w:right w:val="nil"/>
              <w:tl2br w:val="nil"/>
              <w:tr2bl w:val="nil"/>
            </w:tcBorders>
            <w:textDirection w:val="lrTb"/>
            <w:vAlign w:val="top"/>
          </w:tcPr>
          <w:p w:rsidR="00F1062D">
            <w:pPr>
              <w:rPr>
                <w:rStyle w:val="DefaultParagraphFont"/>
                <w:rFonts w:ascii="Times New Roman" w:hAnsi="Times New Roman" w:cs="Times New Roman"/>
                <w:sz w:val="20"/>
                <w:szCs w:val="24"/>
              </w:rPr>
            </w:pPr>
          </w:p>
        </w:tc>
        <w:tc>
          <w:tcPr>
            <w:tcW w:w="780" w:type="dxa"/>
            <w:vMerge/>
            <w:tcBorders>
              <w:top w:val="single" w:sz="2" w:space="0" w:color="000000"/>
              <w:left w:val="single" w:sz="2" w:space="0" w:color="000000"/>
              <w:bottom w:val="single" w:sz="4" w:space="0" w:color="auto"/>
              <w:right w:val="nil"/>
              <w:tl2br w:val="nil"/>
              <w:tr2bl w:val="nil"/>
            </w:tcBorders>
            <w:textDirection w:val="lrTb"/>
            <w:vAlign w:val="top"/>
          </w:tcPr>
          <w:p w:rsidR="00F1062D">
            <w:pPr>
              <w:rPr>
                <w:rStyle w:val="DefaultParagraphFont"/>
                <w:rFonts w:ascii="Times New Roman" w:hAnsi="Times New Roman" w:cs="Times New Roman"/>
                <w:sz w:val="20"/>
                <w:szCs w:val="24"/>
              </w:rPr>
            </w:pPr>
          </w:p>
        </w:tc>
        <w:tc>
          <w:tcPr>
            <w:tcW w:w="780" w:type="dxa"/>
            <w:vMerge/>
            <w:tcBorders>
              <w:top w:val="single" w:sz="2" w:space="0" w:color="000000"/>
              <w:left w:val="single" w:sz="2" w:space="0" w:color="000000"/>
              <w:bottom w:val="single" w:sz="4" w:space="0" w:color="auto"/>
              <w:right w:val="nil"/>
              <w:tl2br w:val="nil"/>
              <w:tr2bl w:val="nil"/>
            </w:tcBorders>
            <w:textDirection w:val="lrTb"/>
            <w:vAlign w:val="top"/>
          </w:tcPr>
          <w:p w:rsidR="00F1062D">
            <w:pPr>
              <w:rPr>
                <w:rStyle w:val="DefaultParagraphFont"/>
                <w:rFonts w:ascii="Times New Roman" w:hAnsi="Times New Roman" w:cs="Times New Roman"/>
                <w:sz w:val="20"/>
                <w:szCs w:val="24"/>
              </w:rPr>
            </w:pPr>
          </w:p>
        </w:tc>
        <w:tc>
          <w:tcPr>
            <w:tcW w:w="521" w:type="dxa"/>
            <w:vMerge/>
            <w:tcBorders>
              <w:top w:val="single" w:sz="2" w:space="0" w:color="000000"/>
              <w:left w:val="single" w:sz="2" w:space="0" w:color="000000"/>
              <w:bottom w:val="single" w:sz="4" w:space="0" w:color="auto"/>
              <w:right w:val="nil"/>
              <w:tl2br w:val="nil"/>
              <w:tr2bl w:val="nil"/>
            </w:tcBorders>
            <w:textDirection w:val="lrTb"/>
            <w:vAlign w:val="top"/>
          </w:tcPr>
          <w:p w:rsidR="00F1062D">
            <w:pPr>
              <w:rPr>
                <w:rStyle w:val="DefaultParagraphFont"/>
                <w:rFonts w:ascii="Times New Roman" w:hAnsi="Times New Roman" w:cs="Times New Roman"/>
                <w:sz w:val="20"/>
                <w:szCs w:val="24"/>
              </w:rPr>
            </w:pPr>
          </w:p>
        </w:tc>
        <w:tc>
          <w:tcPr>
            <w:tcW w:w="1431" w:type="dxa"/>
            <w:vMerge/>
            <w:tcBorders>
              <w:top w:val="single" w:sz="2" w:space="0" w:color="000000"/>
              <w:left w:val="single" w:sz="2" w:space="0" w:color="000000"/>
              <w:bottom w:val="single" w:sz="4" w:space="0" w:color="auto"/>
              <w:right w:val="single" w:sz="2" w:space="0" w:color="000000"/>
              <w:tl2br w:val="nil"/>
              <w:tr2bl w:val="nil"/>
            </w:tcBorders>
            <w:textDirection w:val="lrTb"/>
            <w:vAlign w:val="top"/>
          </w:tcPr>
          <w:p w:rsidR="00F1062D">
            <w:pPr>
              <w:rPr>
                <w:rStyle w:val="DefaultParagraphFont"/>
                <w:rFonts w:ascii="Times New Roman" w:hAnsi="Times New Roman" w:cs="Times New Roman"/>
                <w:sz w:val="20"/>
                <w:szCs w:val="24"/>
              </w:rPr>
            </w:pPr>
          </w:p>
        </w:tc>
        <w:tc>
          <w:tcPr>
            <w:tcW w:w="259" w:type="dxa"/>
            <w:vMerge/>
            <w:tcBorders>
              <w:top w:val="nil"/>
              <w:left w:val="nil"/>
              <w:bottom w:val="nil"/>
              <w:right w:val="nil"/>
              <w:tl2br w:val="nil"/>
              <w:tr2bl w:val="nil"/>
            </w:tcBorders>
            <w:textDirection w:val="lrTb"/>
            <w:vAlign w:val="center"/>
          </w:tcPr>
          <w:p w:rsidR="00F1062D">
            <w:pPr>
              <w:rPr>
                <w:rStyle w:val="DefaultParagraphFont"/>
                <w:rFonts w:ascii="Times New Roman" w:hAnsi="Times New Roman" w:cs="Times New Roman"/>
                <w:sz w:val="20"/>
                <w:szCs w:val="24"/>
              </w:rPr>
            </w:pPr>
          </w:p>
        </w:tc>
        <w:tc>
          <w:tcPr>
            <w:tcW w:w="525" w:type="dxa"/>
            <w:vMerge w:val="restart"/>
            <w:tcBorders>
              <w:top w:val="single" w:sz="4" w:space="0" w:color="auto"/>
              <w:left w:val="single" w:sz="4" w:space="0" w:color="auto"/>
              <w:bottom w:val="single" w:sz="4" w:space="0" w:color="000000"/>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35.</w:t>
            </w:r>
          </w:p>
        </w:tc>
        <w:tc>
          <w:tcPr>
            <w:tcW w:w="1171" w:type="dxa"/>
            <w:vMerge w:val="restart"/>
            <w:tcBorders>
              <w:top w:val="single" w:sz="4" w:space="0" w:color="auto"/>
              <w:left w:val="nil"/>
              <w:bottom w:val="single" w:sz="4" w:space="0" w:color="000000"/>
              <w:right w:val="single" w:sz="4" w:space="0" w:color="auto"/>
              <w:tl2br w:val="nil"/>
              <w:tr2bl w:val="nil"/>
            </w:tcBorders>
            <w:textDirection w:val="lrTb"/>
            <w:vAlign w:val="top"/>
          </w:tcPr>
          <w:p w:rsidR="00F1062D">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monomér vinylchloridu (chlóretén)</w:t>
            </w:r>
          </w:p>
        </w:tc>
        <w:tc>
          <w:tcPr>
            <w:tcW w:w="915" w:type="dxa"/>
            <w:vMerge w:val="restart"/>
            <w:tcBorders>
              <w:top w:val="single" w:sz="4" w:space="0" w:color="auto"/>
              <w:left w:val="nil"/>
              <w:bottom w:val="single" w:sz="4" w:space="0" w:color="000000"/>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200-831-0</w:t>
            </w:r>
          </w:p>
        </w:tc>
        <w:tc>
          <w:tcPr>
            <w:tcW w:w="781" w:type="dxa"/>
            <w:vMerge w:val="restart"/>
            <w:tcBorders>
              <w:top w:val="single" w:sz="4" w:space="0" w:color="auto"/>
              <w:left w:val="nil"/>
              <w:bottom w:val="single" w:sz="4" w:space="0" w:color="000000"/>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75-01-4</w:t>
            </w:r>
          </w:p>
        </w:tc>
        <w:tc>
          <w:tcPr>
            <w:tcW w:w="651" w:type="dxa"/>
            <w:gridSpan w:val="2"/>
            <w:vMerge w:val="restart"/>
            <w:tcBorders>
              <w:top w:val="single" w:sz="4" w:space="0" w:color="auto"/>
              <w:left w:val="nil"/>
              <w:bottom w:val="single" w:sz="4" w:space="0" w:color="000000"/>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w:t>
            </w:r>
          </w:p>
        </w:tc>
        <w:tc>
          <w:tcPr>
            <w:tcW w:w="654" w:type="dxa"/>
            <w:vMerge w:val="restart"/>
            <w:tcBorders>
              <w:top w:val="single" w:sz="4" w:space="0" w:color="auto"/>
              <w:left w:val="nil"/>
              <w:bottom w:val="single" w:sz="4" w:space="0" w:color="000000"/>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7,77</w:t>
            </w:r>
          </w:p>
        </w:tc>
        <w:tc>
          <w:tcPr>
            <w:tcW w:w="651" w:type="dxa"/>
            <w:gridSpan w:val="2"/>
            <w:vMerge w:val="restart"/>
            <w:tcBorders>
              <w:top w:val="single" w:sz="4" w:space="0" w:color="auto"/>
              <w:left w:val="nil"/>
              <w:bottom w:val="single" w:sz="4" w:space="0" w:color="000000"/>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1</w:t>
            </w:r>
          </w:p>
        </w:tc>
        <w:tc>
          <w:tcPr>
            <w:tcW w:w="650" w:type="dxa"/>
            <w:gridSpan w:val="2"/>
            <w:vMerge w:val="restart"/>
            <w:tcBorders>
              <w:top w:val="single" w:sz="4" w:space="0" w:color="auto"/>
              <w:left w:val="nil"/>
              <w:bottom w:val="single" w:sz="4" w:space="0" w:color="000000"/>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w:t>
            </w:r>
          </w:p>
        </w:tc>
        <w:tc>
          <w:tcPr>
            <w:tcW w:w="653" w:type="dxa"/>
            <w:vMerge w:val="restart"/>
            <w:tcBorders>
              <w:top w:val="single" w:sz="4" w:space="0" w:color="auto"/>
              <w:left w:val="nil"/>
              <w:bottom w:val="single" w:sz="4" w:space="0" w:color="000000"/>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w:t>
            </w:r>
          </w:p>
        </w:tc>
        <w:tc>
          <w:tcPr>
            <w:tcW w:w="786" w:type="dxa"/>
            <w:vMerge w:val="restart"/>
            <w:tcBorders>
              <w:top w:val="single" w:sz="4" w:space="0" w:color="auto"/>
              <w:left w:val="nil"/>
              <w:bottom w:val="single" w:sz="4" w:space="0" w:color="000000"/>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w:t>
            </w:r>
          </w:p>
        </w:tc>
      </w:tr>
      <w:tr>
        <w:tblPrEx>
          <w:tblW w:w="0" w:type="auto"/>
          <w:jc w:val="right"/>
          <w:tblInd w:w="-8" w:type="dxa"/>
          <w:tblLayout w:type="fixed"/>
          <w:tblCellMar>
            <w:top w:w="0" w:type="dxa"/>
            <w:left w:w="0" w:type="dxa"/>
            <w:bottom w:w="0" w:type="dxa"/>
            <w:right w:w="0" w:type="dxa"/>
          </w:tblCellMar>
        </w:tblPrEx>
        <w:trPr>
          <w:cantSplit/>
          <w:trHeight w:hRule="exact" w:val="678"/>
          <w:jc w:val="right"/>
        </w:trPr>
        <w:tc>
          <w:tcPr>
            <w:tcW w:w="1301" w:type="dxa"/>
            <w:vMerge w:val="restart"/>
            <w:tcBorders>
              <w:top w:val="single" w:sz="4" w:space="0" w:color="auto"/>
              <w:left w:val="single" w:sz="2" w:space="0" w:color="000000"/>
              <w:bottom w:val="single" w:sz="2" w:space="0" w:color="000000"/>
              <w:right w:val="nil"/>
              <w:tl2br w:val="nil"/>
              <w:tr2bl w:val="nil"/>
            </w:tcBorders>
            <w:textDirection w:val="lrTb"/>
            <w:vAlign w:val="top"/>
          </w:tcPr>
          <w:p w:rsidR="00F1062D">
            <w:pPr>
              <w:pStyle w:val="BodyText"/>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monomér vinyl chloridu</w:t>
            </w:r>
          </w:p>
        </w:tc>
        <w:tc>
          <w:tcPr>
            <w:tcW w:w="1040" w:type="dxa"/>
            <w:vMerge w:val="restart"/>
            <w:tcBorders>
              <w:top w:val="single" w:sz="4" w:space="0" w:color="auto"/>
              <w:left w:val="single" w:sz="2" w:space="0" w:color="000000"/>
              <w:bottom w:val="single" w:sz="2" w:space="0" w:color="000000"/>
              <w:right w:val="nil"/>
              <w:tl2br w:val="nil"/>
              <w:tr2bl w:val="nil"/>
            </w:tcBorders>
            <w:textDirection w:val="lrTb"/>
            <w:vAlign w:val="top"/>
          </w:tcPr>
          <w:p w:rsidR="00F1062D">
            <w:pPr>
              <w:pStyle w:val="BodyText"/>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200-831</w:t>
            </w:r>
          </w:p>
        </w:tc>
        <w:tc>
          <w:tcPr>
            <w:tcW w:w="1041" w:type="dxa"/>
            <w:vMerge w:val="restart"/>
            <w:tcBorders>
              <w:top w:val="single" w:sz="4" w:space="0" w:color="auto"/>
              <w:left w:val="single" w:sz="2" w:space="0" w:color="000000"/>
              <w:bottom w:val="single" w:sz="2" w:space="0" w:color="000000"/>
              <w:right w:val="nil"/>
              <w:tl2br w:val="nil"/>
              <w:tr2bl w:val="nil"/>
            </w:tcBorders>
            <w:textDirection w:val="lrTb"/>
            <w:vAlign w:val="top"/>
          </w:tcPr>
          <w:p w:rsidR="00F1062D">
            <w:pPr>
              <w:pStyle w:val="BodyText"/>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75-01-4</w:t>
            </w:r>
          </w:p>
        </w:tc>
        <w:tc>
          <w:tcPr>
            <w:tcW w:w="780" w:type="dxa"/>
            <w:vMerge w:val="restart"/>
            <w:tcBorders>
              <w:top w:val="single" w:sz="4" w:space="0" w:color="auto"/>
              <w:left w:val="single" w:sz="2" w:space="0" w:color="000000"/>
              <w:bottom w:val="single" w:sz="2" w:space="0" w:color="000000"/>
              <w:right w:val="nil"/>
              <w:tl2br w:val="nil"/>
              <w:tr2bl w:val="nil"/>
            </w:tcBorders>
            <w:textDirection w:val="lrTb"/>
            <w:vAlign w:val="top"/>
          </w:tcPr>
          <w:p w:rsidR="00F1062D">
            <w:pPr>
              <w:pStyle w:val="BodyText"/>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7,77 (5)</w:t>
            </w:r>
          </w:p>
        </w:tc>
        <w:tc>
          <w:tcPr>
            <w:tcW w:w="780" w:type="dxa"/>
            <w:vMerge w:val="restart"/>
            <w:tcBorders>
              <w:top w:val="single" w:sz="4" w:space="0" w:color="auto"/>
              <w:left w:val="single" w:sz="2" w:space="0" w:color="000000"/>
              <w:bottom w:val="single" w:sz="2" w:space="0" w:color="000000"/>
              <w:right w:val="nil"/>
              <w:tl2br w:val="nil"/>
              <w:tr2bl w:val="nil"/>
            </w:tcBorders>
            <w:textDirection w:val="lrTb"/>
            <w:vAlign w:val="top"/>
          </w:tcPr>
          <w:p w:rsidR="00F1062D">
            <w:pPr>
              <w:pStyle w:val="BodyText"/>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3,0 (5)</w:t>
            </w:r>
          </w:p>
        </w:tc>
        <w:tc>
          <w:tcPr>
            <w:tcW w:w="521" w:type="dxa"/>
            <w:vMerge w:val="restart"/>
            <w:tcBorders>
              <w:top w:val="single" w:sz="4" w:space="0" w:color="auto"/>
              <w:left w:val="single" w:sz="2" w:space="0" w:color="000000"/>
              <w:bottom w:val="single" w:sz="2" w:space="0" w:color="000000"/>
              <w:right w:val="nil"/>
              <w:tl2br w:val="nil"/>
              <w:tr2bl w:val="nil"/>
            </w:tcBorders>
            <w:textDirection w:val="lrTb"/>
            <w:vAlign w:val="top"/>
          </w:tcPr>
          <w:p w:rsidR="00F1062D">
            <w:pPr>
              <w:pStyle w:val="BodyText"/>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w:t>
            </w:r>
          </w:p>
        </w:tc>
        <w:tc>
          <w:tcPr>
            <w:tcW w:w="1431" w:type="dxa"/>
            <w:vMerge w:val="restart"/>
            <w:tcBorders>
              <w:top w:val="single" w:sz="4" w:space="0" w:color="auto"/>
              <w:left w:val="single" w:sz="2" w:space="0" w:color="000000"/>
              <w:bottom w:val="single" w:sz="2" w:space="0" w:color="000000"/>
              <w:right w:val="single" w:sz="2" w:space="0" w:color="000000"/>
              <w:tl2br w:val="nil"/>
              <w:tr2bl w:val="nil"/>
            </w:tcBorders>
            <w:textDirection w:val="lrTb"/>
            <w:vAlign w:val="top"/>
          </w:tcPr>
          <w:p w:rsidR="00F1062D">
            <w:pPr>
              <w:pStyle w:val="BodyText"/>
              <w:jc w:val="center"/>
              <w:rPr>
                <w:rStyle w:val="DefaultParagraphFont"/>
                <w:rFonts w:ascii="Times New Roman" w:hAnsi="Times New Roman" w:cs="Times New Roman"/>
                <w:b/>
                <w:sz w:val="20"/>
                <w:szCs w:val="24"/>
              </w:rPr>
            </w:pPr>
            <w:r>
              <w:rPr>
                <w:rStyle w:val="DefaultParagraphFont"/>
                <w:rFonts w:ascii="Times New Roman" w:hAnsi="Times New Roman" w:cs="Times New Roman"/>
                <w:b/>
                <w:sz w:val="20"/>
                <w:szCs w:val="24"/>
              </w:rPr>
              <w:t>-</w:t>
            </w:r>
          </w:p>
        </w:tc>
        <w:tc>
          <w:tcPr>
            <w:tcW w:w="259" w:type="dxa"/>
            <w:vMerge/>
            <w:tcBorders>
              <w:top w:val="nil"/>
              <w:left w:val="nil"/>
              <w:bottom w:val="nil"/>
              <w:right w:val="nil"/>
              <w:tl2br w:val="nil"/>
              <w:tr2bl w:val="nil"/>
            </w:tcBorders>
            <w:textDirection w:val="lrTb"/>
            <w:vAlign w:val="center"/>
          </w:tcPr>
          <w:p w:rsidR="00F1062D">
            <w:pPr>
              <w:rPr>
                <w:rStyle w:val="DefaultParagraphFont"/>
                <w:rFonts w:ascii="Times New Roman" w:hAnsi="Times New Roman" w:cs="Times New Roman"/>
                <w:sz w:val="20"/>
                <w:szCs w:val="24"/>
              </w:rPr>
            </w:pPr>
          </w:p>
        </w:tc>
        <w:tc>
          <w:tcPr>
            <w:tcW w:w="525" w:type="dxa"/>
            <w:vMerge/>
            <w:tcBorders>
              <w:top w:val="nil"/>
              <w:left w:val="single" w:sz="4" w:space="0" w:color="auto"/>
              <w:bottom w:val="single" w:sz="4" w:space="0" w:color="auto"/>
              <w:right w:val="single" w:sz="4" w:space="0" w:color="auto"/>
              <w:tl2br w:val="nil"/>
              <w:tr2bl w:val="nil"/>
            </w:tcBorders>
            <w:textDirection w:val="lrTb"/>
            <w:vAlign w:val="top"/>
          </w:tcPr>
          <w:p w:rsidR="00F1062D">
            <w:pPr>
              <w:rPr>
                <w:rStyle w:val="DefaultParagraphFont"/>
                <w:rFonts w:ascii="Times New Roman" w:hAnsi="Times New Roman" w:cs="Times New Roman"/>
                <w:sz w:val="20"/>
                <w:szCs w:val="24"/>
              </w:rPr>
            </w:pPr>
          </w:p>
        </w:tc>
        <w:tc>
          <w:tcPr>
            <w:tcW w:w="1171" w:type="dxa"/>
            <w:vMerge/>
            <w:tcBorders>
              <w:top w:val="nil"/>
              <w:left w:val="nil"/>
              <w:bottom w:val="single" w:sz="4" w:space="0" w:color="auto"/>
              <w:right w:val="single" w:sz="4" w:space="0" w:color="auto"/>
              <w:tl2br w:val="nil"/>
              <w:tr2bl w:val="nil"/>
            </w:tcBorders>
            <w:textDirection w:val="lrTb"/>
            <w:vAlign w:val="top"/>
          </w:tcPr>
          <w:p w:rsidR="00F1062D">
            <w:pPr>
              <w:rPr>
                <w:rStyle w:val="DefaultParagraphFont"/>
                <w:rFonts w:ascii="Times New Roman" w:hAnsi="Times New Roman" w:cs="Times New Roman"/>
                <w:sz w:val="20"/>
                <w:szCs w:val="24"/>
              </w:rPr>
            </w:pPr>
          </w:p>
        </w:tc>
        <w:tc>
          <w:tcPr>
            <w:tcW w:w="915" w:type="dxa"/>
            <w:vMerge/>
            <w:tcBorders>
              <w:top w:val="nil"/>
              <w:left w:val="nil"/>
              <w:bottom w:val="single" w:sz="4" w:space="0" w:color="auto"/>
              <w:right w:val="single" w:sz="4" w:space="0" w:color="auto"/>
              <w:tl2br w:val="nil"/>
              <w:tr2bl w:val="nil"/>
            </w:tcBorders>
            <w:textDirection w:val="lrTb"/>
            <w:vAlign w:val="top"/>
          </w:tcPr>
          <w:p w:rsidR="00F1062D">
            <w:pPr>
              <w:rPr>
                <w:rStyle w:val="DefaultParagraphFont"/>
                <w:rFonts w:ascii="Times New Roman" w:hAnsi="Times New Roman" w:cs="Times New Roman"/>
                <w:sz w:val="20"/>
                <w:szCs w:val="24"/>
              </w:rPr>
            </w:pPr>
          </w:p>
        </w:tc>
        <w:tc>
          <w:tcPr>
            <w:tcW w:w="781" w:type="dxa"/>
            <w:vMerge/>
            <w:tcBorders>
              <w:top w:val="nil"/>
              <w:left w:val="nil"/>
              <w:bottom w:val="single" w:sz="4" w:space="0" w:color="auto"/>
              <w:right w:val="single" w:sz="4" w:space="0" w:color="auto"/>
              <w:tl2br w:val="nil"/>
              <w:tr2bl w:val="nil"/>
            </w:tcBorders>
            <w:textDirection w:val="lrTb"/>
            <w:vAlign w:val="top"/>
          </w:tcPr>
          <w:p w:rsidR="00F1062D">
            <w:pPr>
              <w:rPr>
                <w:rStyle w:val="DefaultParagraphFont"/>
                <w:rFonts w:ascii="Times New Roman" w:hAnsi="Times New Roman" w:cs="Times New Roman"/>
                <w:sz w:val="20"/>
                <w:szCs w:val="24"/>
              </w:rPr>
            </w:pPr>
          </w:p>
        </w:tc>
        <w:tc>
          <w:tcPr>
            <w:tcW w:w="651" w:type="dxa"/>
            <w:gridSpan w:val="2"/>
            <w:vMerge/>
            <w:tcBorders>
              <w:top w:val="nil"/>
              <w:left w:val="nil"/>
              <w:bottom w:val="single" w:sz="4" w:space="0" w:color="auto"/>
              <w:right w:val="single" w:sz="4" w:space="0" w:color="auto"/>
              <w:tl2br w:val="nil"/>
              <w:tr2bl w:val="nil"/>
            </w:tcBorders>
            <w:textDirection w:val="lrTb"/>
            <w:vAlign w:val="top"/>
          </w:tcPr>
          <w:p w:rsidR="00F1062D">
            <w:pPr>
              <w:rPr>
                <w:rStyle w:val="DefaultParagraphFont"/>
                <w:rFonts w:ascii="Times New Roman" w:hAnsi="Times New Roman" w:cs="Times New Roman"/>
                <w:sz w:val="20"/>
                <w:szCs w:val="24"/>
              </w:rPr>
            </w:pPr>
          </w:p>
        </w:tc>
        <w:tc>
          <w:tcPr>
            <w:tcW w:w="654" w:type="dxa"/>
            <w:vMerge/>
            <w:tcBorders>
              <w:top w:val="nil"/>
              <w:left w:val="nil"/>
              <w:bottom w:val="single" w:sz="4" w:space="0" w:color="auto"/>
              <w:right w:val="single" w:sz="4" w:space="0" w:color="auto"/>
              <w:tl2br w:val="nil"/>
              <w:tr2bl w:val="nil"/>
            </w:tcBorders>
            <w:textDirection w:val="lrTb"/>
            <w:vAlign w:val="top"/>
          </w:tcPr>
          <w:p w:rsidR="00F1062D">
            <w:pPr>
              <w:rPr>
                <w:rStyle w:val="DefaultParagraphFont"/>
                <w:rFonts w:ascii="Times New Roman" w:hAnsi="Times New Roman" w:cs="Times New Roman"/>
                <w:sz w:val="20"/>
                <w:szCs w:val="24"/>
              </w:rPr>
            </w:pPr>
          </w:p>
        </w:tc>
        <w:tc>
          <w:tcPr>
            <w:tcW w:w="651" w:type="dxa"/>
            <w:gridSpan w:val="2"/>
            <w:vMerge/>
            <w:tcBorders>
              <w:top w:val="nil"/>
              <w:left w:val="nil"/>
              <w:bottom w:val="single" w:sz="4" w:space="0" w:color="auto"/>
              <w:right w:val="single" w:sz="4" w:space="0" w:color="auto"/>
              <w:tl2br w:val="nil"/>
              <w:tr2bl w:val="nil"/>
            </w:tcBorders>
            <w:textDirection w:val="lrTb"/>
            <w:vAlign w:val="top"/>
          </w:tcPr>
          <w:p w:rsidR="00F1062D">
            <w:pPr>
              <w:rPr>
                <w:rStyle w:val="DefaultParagraphFont"/>
                <w:rFonts w:ascii="Times New Roman" w:hAnsi="Times New Roman" w:cs="Times New Roman"/>
                <w:sz w:val="20"/>
                <w:szCs w:val="24"/>
              </w:rPr>
            </w:pPr>
          </w:p>
        </w:tc>
        <w:tc>
          <w:tcPr>
            <w:tcW w:w="650" w:type="dxa"/>
            <w:gridSpan w:val="2"/>
            <w:vMerge/>
            <w:tcBorders>
              <w:top w:val="nil"/>
              <w:left w:val="nil"/>
              <w:bottom w:val="single" w:sz="4" w:space="0" w:color="auto"/>
              <w:right w:val="single" w:sz="4" w:space="0" w:color="auto"/>
              <w:tl2br w:val="nil"/>
              <w:tr2bl w:val="nil"/>
            </w:tcBorders>
            <w:textDirection w:val="lrTb"/>
            <w:vAlign w:val="top"/>
          </w:tcPr>
          <w:p w:rsidR="00F1062D">
            <w:pPr>
              <w:rPr>
                <w:rStyle w:val="DefaultParagraphFont"/>
                <w:rFonts w:ascii="Times New Roman" w:hAnsi="Times New Roman" w:cs="Times New Roman"/>
                <w:sz w:val="20"/>
                <w:szCs w:val="24"/>
              </w:rPr>
            </w:pPr>
          </w:p>
        </w:tc>
        <w:tc>
          <w:tcPr>
            <w:tcW w:w="653" w:type="dxa"/>
            <w:vMerge/>
            <w:tcBorders>
              <w:top w:val="nil"/>
              <w:left w:val="nil"/>
              <w:bottom w:val="single" w:sz="4" w:space="0" w:color="auto"/>
              <w:right w:val="single" w:sz="4" w:space="0" w:color="auto"/>
              <w:tl2br w:val="nil"/>
              <w:tr2bl w:val="nil"/>
            </w:tcBorders>
            <w:textDirection w:val="lrTb"/>
            <w:vAlign w:val="top"/>
          </w:tcPr>
          <w:p w:rsidR="00F1062D">
            <w:pPr>
              <w:rPr>
                <w:rStyle w:val="DefaultParagraphFont"/>
                <w:rFonts w:ascii="Times New Roman" w:hAnsi="Times New Roman" w:cs="Times New Roman"/>
                <w:sz w:val="20"/>
                <w:szCs w:val="24"/>
              </w:rPr>
            </w:pPr>
          </w:p>
        </w:tc>
        <w:tc>
          <w:tcPr>
            <w:tcW w:w="786" w:type="dxa"/>
            <w:vMerge/>
            <w:tcBorders>
              <w:top w:val="nil"/>
              <w:left w:val="nil"/>
              <w:bottom w:val="single" w:sz="4" w:space="0" w:color="000000"/>
              <w:right w:val="single" w:sz="4" w:space="0" w:color="auto"/>
              <w:tl2br w:val="nil"/>
              <w:tr2bl w:val="nil"/>
            </w:tcBorders>
            <w:textDirection w:val="lrTb"/>
            <w:vAlign w:val="top"/>
          </w:tcPr>
          <w:p w:rsidR="00F1062D">
            <w:pPr>
              <w:rPr>
                <w:rStyle w:val="DefaultParagraphFont"/>
                <w:rFonts w:ascii="Times New Roman" w:hAnsi="Times New Roman" w:cs="Times New Roman"/>
                <w:sz w:val="20"/>
                <w:szCs w:val="24"/>
              </w:rPr>
            </w:pPr>
          </w:p>
        </w:tc>
      </w:tr>
      <w:tr>
        <w:tblPrEx>
          <w:tblW w:w="0" w:type="auto"/>
          <w:jc w:val="right"/>
          <w:tblInd w:w="-8" w:type="dxa"/>
          <w:tblLayout w:type="fixed"/>
          <w:tblCellMar>
            <w:top w:w="0" w:type="dxa"/>
            <w:left w:w="0" w:type="dxa"/>
            <w:bottom w:w="0" w:type="dxa"/>
            <w:right w:w="0" w:type="dxa"/>
          </w:tblCellMar>
        </w:tblPrEx>
        <w:trPr>
          <w:cantSplit/>
          <w:trHeight w:hRule="exact" w:val="124"/>
          <w:jc w:val="right"/>
        </w:trPr>
        <w:tc>
          <w:tcPr>
            <w:tcW w:w="1301" w:type="dxa"/>
            <w:vMerge/>
            <w:tcBorders>
              <w:top w:val="nil"/>
              <w:left w:val="single" w:sz="2" w:space="0" w:color="000000"/>
              <w:bottom w:val="single" w:sz="2" w:space="0" w:color="000000"/>
              <w:right w:val="nil"/>
              <w:tl2br w:val="nil"/>
              <w:tr2bl w:val="nil"/>
            </w:tcBorders>
            <w:textDirection w:val="lrTb"/>
            <w:vAlign w:val="top"/>
          </w:tcPr>
          <w:p w:rsidR="00F1062D">
            <w:pPr>
              <w:rPr>
                <w:rStyle w:val="DefaultParagraphFont"/>
                <w:rFonts w:ascii="Times New Roman" w:hAnsi="Times New Roman" w:cs="Times New Roman"/>
                <w:sz w:val="20"/>
                <w:szCs w:val="24"/>
              </w:rPr>
            </w:pPr>
          </w:p>
        </w:tc>
        <w:tc>
          <w:tcPr>
            <w:tcW w:w="1040" w:type="dxa"/>
            <w:vMerge/>
            <w:tcBorders>
              <w:top w:val="nil"/>
              <w:left w:val="single" w:sz="2" w:space="0" w:color="000000"/>
              <w:bottom w:val="single" w:sz="2" w:space="0" w:color="000000"/>
              <w:right w:val="nil"/>
              <w:tl2br w:val="nil"/>
              <w:tr2bl w:val="nil"/>
            </w:tcBorders>
            <w:textDirection w:val="lrTb"/>
            <w:vAlign w:val="top"/>
          </w:tcPr>
          <w:p w:rsidR="00F1062D">
            <w:pPr>
              <w:rPr>
                <w:rStyle w:val="DefaultParagraphFont"/>
                <w:rFonts w:ascii="Times New Roman" w:hAnsi="Times New Roman" w:cs="Times New Roman"/>
                <w:sz w:val="20"/>
                <w:szCs w:val="24"/>
              </w:rPr>
            </w:pPr>
          </w:p>
        </w:tc>
        <w:tc>
          <w:tcPr>
            <w:tcW w:w="1041" w:type="dxa"/>
            <w:vMerge/>
            <w:tcBorders>
              <w:top w:val="nil"/>
              <w:left w:val="single" w:sz="2" w:space="0" w:color="000000"/>
              <w:bottom w:val="single" w:sz="2" w:space="0" w:color="000000"/>
              <w:right w:val="nil"/>
              <w:tl2br w:val="nil"/>
              <w:tr2bl w:val="nil"/>
            </w:tcBorders>
            <w:textDirection w:val="lrTb"/>
            <w:vAlign w:val="top"/>
          </w:tcPr>
          <w:p w:rsidR="00F1062D">
            <w:pPr>
              <w:rPr>
                <w:rStyle w:val="DefaultParagraphFont"/>
                <w:rFonts w:ascii="Times New Roman" w:hAnsi="Times New Roman" w:cs="Times New Roman"/>
                <w:sz w:val="20"/>
                <w:szCs w:val="24"/>
              </w:rPr>
            </w:pPr>
          </w:p>
        </w:tc>
        <w:tc>
          <w:tcPr>
            <w:tcW w:w="780" w:type="dxa"/>
            <w:vMerge/>
            <w:tcBorders>
              <w:top w:val="nil"/>
              <w:left w:val="single" w:sz="2" w:space="0" w:color="000000"/>
              <w:bottom w:val="single" w:sz="2" w:space="0" w:color="000000"/>
              <w:right w:val="nil"/>
              <w:tl2br w:val="nil"/>
              <w:tr2bl w:val="nil"/>
            </w:tcBorders>
            <w:textDirection w:val="lrTb"/>
            <w:vAlign w:val="top"/>
          </w:tcPr>
          <w:p w:rsidR="00F1062D">
            <w:pPr>
              <w:rPr>
                <w:rStyle w:val="DefaultParagraphFont"/>
                <w:rFonts w:ascii="Times New Roman" w:hAnsi="Times New Roman" w:cs="Times New Roman"/>
                <w:sz w:val="20"/>
                <w:szCs w:val="24"/>
              </w:rPr>
            </w:pPr>
          </w:p>
        </w:tc>
        <w:tc>
          <w:tcPr>
            <w:tcW w:w="780" w:type="dxa"/>
            <w:vMerge/>
            <w:tcBorders>
              <w:top w:val="nil"/>
              <w:left w:val="single" w:sz="2" w:space="0" w:color="000000"/>
              <w:bottom w:val="single" w:sz="2" w:space="0" w:color="000000"/>
              <w:right w:val="nil"/>
              <w:tl2br w:val="nil"/>
              <w:tr2bl w:val="nil"/>
            </w:tcBorders>
            <w:textDirection w:val="lrTb"/>
            <w:vAlign w:val="top"/>
          </w:tcPr>
          <w:p w:rsidR="00F1062D">
            <w:pPr>
              <w:rPr>
                <w:rStyle w:val="DefaultParagraphFont"/>
                <w:rFonts w:ascii="Times New Roman" w:hAnsi="Times New Roman" w:cs="Times New Roman"/>
                <w:sz w:val="20"/>
                <w:szCs w:val="24"/>
              </w:rPr>
            </w:pPr>
          </w:p>
        </w:tc>
        <w:tc>
          <w:tcPr>
            <w:tcW w:w="521" w:type="dxa"/>
            <w:vMerge/>
            <w:tcBorders>
              <w:top w:val="nil"/>
              <w:left w:val="single" w:sz="2" w:space="0" w:color="000000"/>
              <w:bottom w:val="single" w:sz="2" w:space="0" w:color="000000"/>
              <w:right w:val="nil"/>
              <w:tl2br w:val="nil"/>
              <w:tr2bl w:val="nil"/>
            </w:tcBorders>
            <w:textDirection w:val="lrTb"/>
            <w:vAlign w:val="top"/>
          </w:tcPr>
          <w:p w:rsidR="00F1062D">
            <w:pPr>
              <w:rPr>
                <w:rStyle w:val="DefaultParagraphFont"/>
                <w:rFonts w:ascii="Times New Roman" w:hAnsi="Times New Roman" w:cs="Times New Roman"/>
                <w:sz w:val="20"/>
                <w:szCs w:val="24"/>
              </w:rPr>
            </w:pPr>
          </w:p>
        </w:tc>
        <w:tc>
          <w:tcPr>
            <w:tcW w:w="1431" w:type="dxa"/>
            <w:vMerge/>
            <w:tcBorders>
              <w:top w:val="nil"/>
              <w:left w:val="single" w:sz="2" w:space="0" w:color="000000"/>
              <w:bottom w:val="single" w:sz="2" w:space="0" w:color="000000"/>
              <w:right w:val="single" w:sz="2" w:space="0" w:color="000000"/>
              <w:tl2br w:val="nil"/>
              <w:tr2bl w:val="nil"/>
            </w:tcBorders>
            <w:textDirection w:val="lrTb"/>
            <w:vAlign w:val="top"/>
          </w:tcPr>
          <w:p w:rsidR="00F1062D">
            <w:pPr>
              <w:rPr>
                <w:rStyle w:val="DefaultParagraphFont"/>
                <w:rFonts w:ascii="Times New Roman" w:hAnsi="Times New Roman" w:cs="Times New Roman"/>
                <w:sz w:val="20"/>
                <w:szCs w:val="24"/>
              </w:rPr>
            </w:pPr>
          </w:p>
        </w:tc>
        <w:tc>
          <w:tcPr>
            <w:tcW w:w="259" w:type="dxa"/>
            <w:vMerge/>
            <w:tcBorders>
              <w:top w:val="nil"/>
              <w:left w:val="nil"/>
              <w:bottom w:val="nil"/>
              <w:right w:val="nil"/>
              <w:tl2br w:val="nil"/>
              <w:tr2bl w:val="nil"/>
            </w:tcBorders>
            <w:textDirection w:val="lrTb"/>
            <w:vAlign w:val="center"/>
          </w:tcPr>
          <w:p w:rsidR="00F1062D">
            <w:pPr>
              <w:rPr>
                <w:rStyle w:val="DefaultParagraphFont"/>
                <w:rFonts w:ascii="Times New Roman" w:hAnsi="Times New Roman" w:cs="Times New Roman"/>
                <w:sz w:val="20"/>
                <w:szCs w:val="24"/>
              </w:rPr>
            </w:pPr>
          </w:p>
        </w:tc>
        <w:tc>
          <w:tcPr>
            <w:tcW w:w="525" w:type="dxa"/>
            <w:vMerge w:val="restart"/>
            <w:tcBorders>
              <w:top w:val="single" w:sz="4" w:space="0" w:color="auto"/>
              <w:left w:val="single" w:sz="2" w:space="0" w:color="000000"/>
              <w:bottom w:val="nil"/>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31.</w:t>
            </w:r>
          </w:p>
        </w:tc>
        <w:tc>
          <w:tcPr>
            <w:tcW w:w="1171" w:type="dxa"/>
            <w:vMerge w:val="restart"/>
            <w:tcBorders>
              <w:top w:val="single" w:sz="4" w:space="0" w:color="auto"/>
              <w:left w:val="single" w:sz="2" w:space="0" w:color="000000"/>
              <w:bottom w:val="nil"/>
              <w:right w:val="single" w:sz="4" w:space="0" w:color="auto"/>
              <w:tl2br w:val="nil"/>
              <w:tr2bl w:val="nil"/>
            </w:tcBorders>
            <w:textDirection w:val="lrTb"/>
            <w:vAlign w:val="top"/>
          </w:tcPr>
          <w:p w:rsidR="00F1062D">
            <w:pPr>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prach z  tvrdého dreva (dub,buk)</w:t>
            </w:r>
            <w:r>
              <w:rPr>
                <w:rStyle w:val="DefaultParagraphFont"/>
                <w:rFonts w:ascii="Times New Roman" w:hAnsi="Times New Roman" w:cs="Times New Roman"/>
                <w:sz w:val="20"/>
                <w:szCs w:val="24"/>
                <w:vertAlign w:val="superscript"/>
              </w:rPr>
              <w:t>12)</w:t>
            </w:r>
            <w:r>
              <w:rPr>
                <w:rStyle w:val="DefaultParagraphFont"/>
                <w:rFonts w:ascii="Times New Roman" w:hAnsi="Times New Roman" w:cs="Times New Roman"/>
                <w:sz w:val="20"/>
                <w:szCs w:val="24"/>
              </w:rPr>
              <w:t xml:space="preserve"> </w:t>
            </w:r>
          </w:p>
        </w:tc>
        <w:tc>
          <w:tcPr>
            <w:tcW w:w="915" w:type="dxa"/>
            <w:vMerge w:val="restart"/>
            <w:tcBorders>
              <w:top w:val="single" w:sz="4" w:space="0" w:color="auto"/>
              <w:left w:val="single" w:sz="2" w:space="0" w:color="000000"/>
              <w:bottom w:val="nil"/>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w:t>
            </w:r>
          </w:p>
        </w:tc>
        <w:tc>
          <w:tcPr>
            <w:tcW w:w="781" w:type="dxa"/>
            <w:vMerge w:val="restart"/>
            <w:tcBorders>
              <w:top w:val="single" w:sz="4" w:space="0" w:color="auto"/>
              <w:left w:val="single" w:sz="2" w:space="0" w:color="000000"/>
              <w:bottom w:val="nil"/>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w:t>
            </w:r>
          </w:p>
        </w:tc>
        <w:tc>
          <w:tcPr>
            <w:tcW w:w="645" w:type="dxa"/>
            <w:vMerge w:val="restart"/>
            <w:tcBorders>
              <w:top w:val="single" w:sz="4" w:space="0" w:color="auto"/>
              <w:left w:val="single" w:sz="2" w:space="0" w:color="000000"/>
              <w:bottom w:val="nil"/>
              <w:right w:val="single" w:sz="4" w:space="0" w:color="auto"/>
              <w:tl2br w:val="nil"/>
              <w:tr2bl w:val="nil"/>
            </w:tcBorders>
            <w:textDirection w:val="lrTb"/>
            <w:vAlign w:val="top"/>
          </w:tcPr>
          <w:p w:rsidR="00F1062D">
            <w:pPr>
              <w:rPr>
                <w:rStyle w:val="DefaultParagraphFont"/>
                <w:rFonts w:ascii="Times New Roman" w:hAnsi="Times New Roman" w:cs="Times New Roman"/>
                <w:sz w:val="20"/>
                <w:szCs w:val="24"/>
              </w:rPr>
            </w:pPr>
          </w:p>
        </w:tc>
        <w:tc>
          <w:tcPr>
            <w:tcW w:w="660" w:type="dxa"/>
            <w:gridSpan w:val="2"/>
            <w:vMerge w:val="restart"/>
            <w:tcBorders>
              <w:top w:val="single" w:sz="4" w:space="0" w:color="auto"/>
              <w:left w:val="single" w:sz="2" w:space="0" w:color="000000"/>
              <w:bottom w:val="nil"/>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5,0</w:t>
            </w:r>
          </w:p>
        </w:tc>
        <w:tc>
          <w:tcPr>
            <w:tcW w:w="645" w:type="dxa"/>
            <w:vMerge w:val="restart"/>
            <w:tcBorders>
              <w:top w:val="single" w:sz="4" w:space="0" w:color="auto"/>
              <w:left w:val="single" w:sz="2" w:space="0" w:color="000000"/>
              <w:bottom w:val="nil"/>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1</w:t>
            </w:r>
          </w:p>
        </w:tc>
        <w:tc>
          <w:tcPr>
            <w:tcW w:w="630" w:type="dxa"/>
            <w:gridSpan w:val="2"/>
            <w:vMerge w:val="restart"/>
            <w:tcBorders>
              <w:top w:val="single" w:sz="4" w:space="0" w:color="auto"/>
              <w:left w:val="single" w:sz="2" w:space="0" w:color="000000"/>
              <w:bottom w:val="nil"/>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w:t>
            </w:r>
          </w:p>
          <w:p w:rsidR="00F1062D">
            <w:pPr>
              <w:jc w:val="center"/>
              <w:rPr>
                <w:rStyle w:val="DefaultParagraphFont"/>
                <w:rFonts w:ascii="Times New Roman" w:hAnsi="Times New Roman" w:cs="Times New Roman"/>
                <w:sz w:val="20"/>
                <w:szCs w:val="24"/>
              </w:rPr>
            </w:pPr>
          </w:p>
        </w:tc>
        <w:tc>
          <w:tcPr>
            <w:tcW w:w="679" w:type="dxa"/>
            <w:gridSpan w:val="2"/>
            <w:vMerge w:val="restart"/>
            <w:tcBorders>
              <w:top w:val="single" w:sz="4" w:space="0" w:color="auto"/>
              <w:left w:val="single" w:sz="2" w:space="0" w:color="000000"/>
              <w:bottom w:val="nil"/>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w:t>
            </w:r>
          </w:p>
        </w:tc>
        <w:tc>
          <w:tcPr>
            <w:tcW w:w="786" w:type="dxa"/>
            <w:vMerge w:val="restart"/>
            <w:tcBorders>
              <w:top w:val="single" w:sz="4" w:space="0" w:color="auto"/>
              <w:left w:val="single" w:sz="2" w:space="0" w:color="000000"/>
              <w:bottom w:val="nil"/>
              <w:right w:val="single" w:sz="4" w:space="0" w:color="auto"/>
              <w:tl2br w:val="nil"/>
              <w:tr2bl w:val="nil"/>
            </w:tcBorders>
            <w:textDirection w:val="lrTb"/>
            <w:vAlign w:val="top"/>
          </w:tcPr>
          <w:p w:rsidR="00F1062D">
            <w:pPr>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w:t>
            </w:r>
          </w:p>
        </w:tc>
      </w:tr>
      <w:tr>
        <w:tblPrEx>
          <w:tblW w:w="0" w:type="auto"/>
          <w:jc w:val="right"/>
          <w:tblInd w:w="-8" w:type="dxa"/>
          <w:tblLayout w:type="fixed"/>
          <w:tblCellMar>
            <w:top w:w="0" w:type="dxa"/>
            <w:left w:w="0" w:type="dxa"/>
            <w:bottom w:w="0" w:type="dxa"/>
            <w:right w:w="0" w:type="dxa"/>
          </w:tblCellMar>
        </w:tblPrEx>
        <w:trPr>
          <w:cantSplit/>
          <w:trHeight w:hRule="exact" w:val="751"/>
          <w:jc w:val="right"/>
        </w:trPr>
        <w:tc>
          <w:tcPr>
            <w:tcW w:w="1301" w:type="dxa"/>
            <w:tcBorders>
              <w:top w:val="nil"/>
              <w:left w:val="single" w:sz="2" w:space="0" w:color="000000"/>
              <w:bottom w:val="single" w:sz="2" w:space="0" w:color="000000"/>
              <w:right w:val="nil"/>
              <w:tl2br w:val="nil"/>
              <w:tr2bl w:val="nil"/>
            </w:tcBorders>
            <w:textDirection w:val="lrTb"/>
            <w:vAlign w:val="top"/>
          </w:tcPr>
          <w:p w:rsidR="00F1062D">
            <w:pPr>
              <w:pStyle w:val="BodyText"/>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prach z tvrdého dreva</w:t>
            </w:r>
          </w:p>
        </w:tc>
        <w:tc>
          <w:tcPr>
            <w:tcW w:w="1040" w:type="dxa"/>
            <w:tcBorders>
              <w:top w:val="nil"/>
              <w:left w:val="single" w:sz="2" w:space="0" w:color="000000"/>
              <w:bottom w:val="single" w:sz="2" w:space="0" w:color="000000"/>
              <w:right w:val="nil"/>
              <w:tl2br w:val="nil"/>
              <w:tr2bl w:val="nil"/>
            </w:tcBorders>
            <w:textDirection w:val="lrTb"/>
            <w:vAlign w:val="top"/>
          </w:tcPr>
          <w:p w:rsidR="00F1062D">
            <w:pPr>
              <w:pStyle w:val="BodyText"/>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w:t>
            </w:r>
          </w:p>
        </w:tc>
        <w:tc>
          <w:tcPr>
            <w:tcW w:w="1041" w:type="dxa"/>
            <w:tcBorders>
              <w:top w:val="nil"/>
              <w:left w:val="single" w:sz="2" w:space="0" w:color="000000"/>
              <w:bottom w:val="single" w:sz="2" w:space="0" w:color="000000"/>
              <w:right w:val="nil"/>
              <w:tl2br w:val="nil"/>
              <w:tr2bl w:val="nil"/>
            </w:tcBorders>
            <w:textDirection w:val="lrTb"/>
            <w:vAlign w:val="top"/>
          </w:tcPr>
          <w:p w:rsidR="00F1062D">
            <w:pPr>
              <w:pStyle w:val="BodyText"/>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w:t>
            </w:r>
          </w:p>
        </w:tc>
        <w:tc>
          <w:tcPr>
            <w:tcW w:w="780" w:type="dxa"/>
            <w:tcBorders>
              <w:top w:val="nil"/>
              <w:left w:val="single" w:sz="2" w:space="0" w:color="000000"/>
              <w:bottom w:val="single" w:sz="2" w:space="0" w:color="000000"/>
              <w:right w:val="nil"/>
              <w:tl2br w:val="nil"/>
              <w:tr2bl w:val="nil"/>
            </w:tcBorders>
            <w:textDirection w:val="lrTb"/>
            <w:vAlign w:val="top"/>
          </w:tcPr>
          <w:p w:rsidR="00F1062D">
            <w:pPr>
              <w:pStyle w:val="BodyText"/>
              <w:jc w:val="cente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5,0 (5) (7)</w:t>
            </w:r>
          </w:p>
        </w:tc>
        <w:tc>
          <w:tcPr>
            <w:tcW w:w="780" w:type="dxa"/>
            <w:tcBorders>
              <w:top w:val="nil"/>
              <w:left w:val="single" w:sz="2" w:space="0" w:color="000000"/>
              <w:bottom w:val="single" w:sz="2" w:space="0" w:color="000000"/>
              <w:right w:val="nil"/>
              <w:tl2br w:val="nil"/>
              <w:tr2bl w:val="nil"/>
            </w:tcBorders>
            <w:textDirection w:val="lrTb"/>
            <w:vAlign w:val="top"/>
          </w:tcPr>
          <w:p w:rsidR="00F1062D">
            <w:pPr>
              <w:pStyle w:val="BodyText"/>
              <w:jc w:val="center"/>
              <w:rPr>
                <w:rStyle w:val="DefaultParagraphFont"/>
                <w:rFonts w:ascii="Times New Roman" w:hAnsi="Times New Roman" w:cs="Times New Roman"/>
                <w:sz w:val="20"/>
                <w:szCs w:val="24"/>
              </w:rPr>
            </w:pPr>
          </w:p>
        </w:tc>
        <w:tc>
          <w:tcPr>
            <w:tcW w:w="521" w:type="dxa"/>
            <w:tcBorders>
              <w:top w:val="nil"/>
              <w:left w:val="single" w:sz="2" w:space="0" w:color="000000"/>
              <w:bottom w:val="single" w:sz="2" w:space="0" w:color="000000"/>
              <w:right w:val="nil"/>
              <w:tl2br w:val="nil"/>
              <w:tr2bl w:val="nil"/>
            </w:tcBorders>
            <w:textDirection w:val="lrTb"/>
            <w:vAlign w:val="top"/>
          </w:tcPr>
          <w:p w:rsidR="00F1062D">
            <w:pPr>
              <w:pStyle w:val="BodyText"/>
              <w:jc w:val="center"/>
              <w:rPr>
                <w:rStyle w:val="DefaultParagraphFont"/>
                <w:rFonts w:ascii="Times New Roman" w:hAnsi="Times New Roman" w:cs="Times New Roman"/>
                <w:sz w:val="20"/>
                <w:szCs w:val="24"/>
              </w:rPr>
            </w:pPr>
          </w:p>
        </w:tc>
        <w:tc>
          <w:tcPr>
            <w:tcW w:w="1431" w:type="dxa"/>
            <w:tcBorders>
              <w:top w:val="nil"/>
              <w:left w:val="single" w:sz="2" w:space="0" w:color="000000"/>
              <w:bottom w:val="single" w:sz="2" w:space="0" w:color="000000"/>
              <w:right w:val="single" w:sz="2" w:space="0" w:color="000000"/>
              <w:tl2br w:val="nil"/>
              <w:tr2bl w:val="nil"/>
            </w:tcBorders>
            <w:textDirection w:val="lrTb"/>
            <w:vAlign w:val="top"/>
          </w:tcPr>
          <w:p w:rsidR="00F1062D">
            <w:pPr>
              <w:pStyle w:val="BodyText"/>
              <w:jc w:val="center"/>
              <w:rPr>
                <w:rStyle w:val="DefaultParagraphFont"/>
                <w:rFonts w:ascii="Times New Roman" w:hAnsi="Times New Roman" w:cs="Times New Roman"/>
                <w:b/>
                <w:sz w:val="20"/>
                <w:szCs w:val="24"/>
              </w:rPr>
            </w:pPr>
          </w:p>
        </w:tc>
        <w:tc>
          <w:tcPr>
            <w:tcW w:w="259" w:type="dxa"/>
            <w:vMerge/>
            <w:tcBorders>
              <w:top w:val="nil"/>
              <w:left w:val="nil"/>
              <w:bottom w:val="nil"/>
              <w:right w:val="nil"/>
              <w:tl2br w:val="nil"/>
              <w:tr2bl w:val="nil"/>
            </w:tcBorders>
            <w:textDirection w:val="lrTb"/>
            <w:vAlign w:val="center"/>
          </w:tcPr>
          <w:p w:rsidR="00F1062D">
            <w:pPr>
              <w:rPr>
                <w:rStyle w:val="DefaultParagraphFont"/>
                <w:rFonts w:ascii="Times New Roman" w:hAnsi="Times New Roman" w:cs="Times New Roman"/>
                <w:sz w:val="20"/>
                <w:szCs w:val="24"/>
              </w:rPr>
            </w:pPr>
          </w:p>
        </w:tc>
        <w:tc>
          <w:tcPr>
            <w:tcW w:w="525" w:type="dxa"/>
            <w:vMerge/>
            <w:tcBorders>
              <w:top w:val="nil"/>
              <w:left w:val="single" w:sz="2" w:space="0" w:color="000000"/>
              <w:bottom w:val="single" w:sz="4" w:space="0" w:color="auto"/>
              <w:right w:val="single" w:sz="4" w:space="0" w:color="auto"/>
              <w:tl2br w:val="nil"/>
              <w:tr2bl w:val="nil"/>
            </w:tcBorders>
            <w:textDirection w:val="lrTb"/>
            <w:vAlign w:val="top"/>
          </w:tcPr>
          <w:p w:rsidR="00F1062D">
            <w:pPr>
              <w:rPr>
                <w:rStyle w:val="DefaultParagraphFont"/>
                <w:rFonts w:ascii="Times New Roman" w:hAnsi="Times New Roman" w:cs="Times New Roman"/>
                <w:sz w:val="20"/>
                <w:szCs w:val="24"/>
              </w:rPr>
            </w:pPr>
          </w:p>
        </w:tc>
        <w:tc>
          <w:tcPr>
            <w:tcW w:w="1171" w:type="dxa"/>
            <w:vMerge/>
            <w:tcBorders>
              <w:top w:val="nil"/>
              <w:left w:val="single" w:sz="2" w:space="0" w:color="000000"/>
              <w:bottom w:val="single" w:sz="4" w:space="0" w:color="auto"/>
              <w:right w:val="single" w:sz="4" w:space="0" w:color="auto"/>
              <w:tl2br w:val="nil"/>
              <w:tr2bl w:val="nil"/>
            </w:tcBorders>
            <w:textDirection w:val="lrTb"/>
            <w:vAlign w:val="top"/>
          </w:tcPr>
          <w:p w:rsidR="00F1062D">
            <w:pPr>
              <w:rPr>
                <w:rStyle w:val="DefaultParagraphFont"/>
                <w:rFonts w:ascii="Times New Roman" w:hAnsi="Times New Roman" w:cs="Times New Roman"/>
                <w:sz w:val="20"/>
                <w:szCs w:val="24"/>
              </w:rPr>
            </w:pPr>
          </w:p>
        </w:tc>
        <w:tc>
          <w:tcPr>
            <w:tcW w:w="915" w:type="dxa"/>
            <w:vMerge/>
            <w:tcBorders>
              <w:top w:val="nil"/>
              <w:left w:val="single" w:sz="2" w:space="0" w:color="000000"/>
              <w:bottom w:val="single" w:sz="4" w:space="0" w:color="auto"/>
              <w:right w:val="single" w:sz="4" w:space="0" w:color="auto"/>
              <w:tl2br w:val="nil"/>
              <w:tr2bl w:val="nil"/>
            </w:tcBorders>
            <w:textDirection w:val="lrTb"/>
            <w:vAlign w:val="top"/>
          </w:tcPr>
          <w:p w:rsidR="00F1062D">
            <w:pPr>
              <w:rPr>
                <w:rStyle w:val="DefaultParagraphFont"/>
                <w:rFonts w:ascii="Times New Roman" w:hAnsi="Times New Roman" w:cs="Times New Roman"/>
                <w:sz w:val="20"/>
                <w:szCs w:val="24"/>
              </w:rPr>
            </w:pPr>
          </w:p>
        </w:tc>
        <w:tc>
          <w:tcPr>
            <w:tcW w:w="781" w:type="dxa"/>
            <w:vMerge/>
            <w:tcBorders>
              <w:top w:val="nil"/>
              <w:left w:val="single" w:sz="2" w:space="0" w:color="000000"/>
              <w:bottom w:val="single" w:sz="4" w:space="0" w:color="auto"/>
              <w:right w:val="single" w:sz="4" w:space="0" w:color="auto"/>
              <w:tl2br w:val="nil"/>
              <w:tr2bl w:val="nil"/>
            </w:tcBorders>
            <w:textDirection w:val="lrTb"/>
            <w:vAlign w:val="top"/>
          </w:tcPr>
          <w:p w:rsidR="00F1062D">
            <w:pPr>
              <w:rPr>
                <w:rStyle w:val="DefaultParagraphFont"/>
                <w:rFonts w:ascii="Times New Roman" w:hAnsi="Times New Roman" w:cs="Times New Roman"/>
                <w:sz w:val="20"/>
                <w:szCs w:val="24"/>
              </w:rPr>
            </w:pPr>
          </w:p>
        </w:tc>
        <w:tc>
          <w:tcPr>
            <w:tcW w:w="645" w:type="dxa"/>
            <w:vMerge/>
            <w:tcBorders>
              <w:top w:val="nil"/>
              <w:left w:val="single" w:sz="2" w:space="0" w:color="000000"/>
              <w:bottom w:val="single" w:sz="4" w:space="0" w:color="auto"/>
              <w:right w:val="single" w:sz="4" w:space="0" w:color="auto"/>
              <w:tl2br w:val="nil"/>
              <w:tr2bl w:val="nil"/>
            </w:tcBorders>
            <w:textDirection w:val="lrTb"/>
            <w:vAlign w:val="top"/>
          </w:tcPr>
          <w:p w:rsidR="00F1062D">
            <w:pPr>
              <w:rPr>
                <w:rStyle w:val="DefaultParagraphFont"/>
                <w:rFonts w:ascii="Times New Roman" w:hAnsi="Times New Roman" w:cs="Times New Roman"/>
                <w:sz w:val="20"/>
                <w:szCs w:val="24"/>
              </w:rPr>
            </w:pPr>
          </w:p>
        </w:tc>
        <w:tc>
          <w:tcPr>
            <w:tcW w:w="660" w:type="dxa"/>
            <w:gridSpan w:val="2"/>
            <w:vMerge/>
            <w:tcBorders>
              <w:top w:val="nil"/>
              <w:left w:val="single" w:sz="2" w:space="0" w:color="000000"/>
              <w:bottom w:val="single" w:sz="4" w:space="0" w:color="auto"/>
              <w:right w:val="single" w:sz="4" w:space="0" w:color="auto"/>
              <w:tl2br w:val="nil"/>
              <w:tr2bl w:val="nil"/>
            </w:tcBorders>
            <w:textDirection w:val="lrTb"/>
            <w:vAlign w:val="top"/>
          </w:tcPr>
          <w:p w:rsidR="00F1062D">
            <w:pPr>
              <w:rPr>
                <w:rStyle w:val="DefaultParagraphFont"/>
                <w:rFonts w:ascii="Times New Roman" w:hAnsi="Times New Roman" w:cs="Times New Roman"/>
                <w:sz w:val="20"/>
                <w:szCs w:val="24"/>
              </w:rPr>
            </w:pPr>
          </w:p>
        </w:tc>
        <w:tc>
          <w:tcPr>
            <w:tcW w:w="645" w:type="dxa"/>
            <w:vMerge/>
            <w:tcBorders>
              <w:top w:val="nil"/>
              <w:left w:val="single" w:sz="2" w:space="0" w:color="000000"/>
              <w:bottom w:val="single" w:sz="4" w:space="0" w:color="auto"/>
              <w:right w:val="single" w:sz="4" w:space="0" w:color="auto"/>
              <w:tl2br w:val="nil"/>
              <w:tr2bl w:val="nil"/>
            </w:tcBorders>
            <w:textDirection w:val="lrTb"/>
            <w:vAlign w:val="top"/>
          </w:tcPr>
          <w:p w:rsidR="00F1062D">
            <w:pPr>
              <w:rPr>
                <w:rStyle w:val="DefaultParagraphFont"/>
                <w:rFonts w:ascii="Times New Roman" w:hAnsi="Times New Roman" w:cs="Times New Roman"/>
                <w:sz w:val="20"/>
                <w:szCs w:val="24"/>
              </w:rPr>
            </w:pPr>
          </w:p>
        </w:tc>
        <w:tc>
          <w:tcPr>
            <w:tcW w:w="630" w:type="dxa"/>
            <w:gridSpan w:val="2"/>
            <w:vMerge/>
            <w:tcBorders>
              <w:top w:val="nil"/>
              <w:left w:val="single" w:sz="2" w:space="0" w:color="000000"/>
              <w:bottom w:val="single" w:sz="4" w:space="0" w:color="auto"/>
              <w:right w:val="single" w:sz="4" w:space="0" w:color="auto"/>
              <w:tl2br w:val="nil"/>
              <w:tr2bl w:val="nil"/>
            </w:tcBorders>
            <w:textDirection w:val="lrTb"/>
            <w:vAlign w:val="top"/>
          </w:tcPr>
          <w:p w:rsidR="00F1062D">
            <w:pPr>
              <w:rPr>
                <w:rStyle w:val="DefaultParagraphFont"/>
                <w:rFonts w:ascii="Times New Roman" w:hAnsi="Times New Roman" w:cs="Times New Roman"/>
                <w:sz w:val="20"/>
                <w:szCs w:val="24"/>
              </w:rPr>
            </w:pPr>
          </w:p>
        </w:tc>
        <w:tc>
          <w:tcPr>
            <w:tcW w:w="679" w:type="dxa"/>
            <w:gridSpan w:val="2"/>
            <w:vMerge/>
            <w:tcBorders>
              <w:top w:val="nil"/>
              <w:left w:val="single" w:sz="2" w:space="0" w:color="000000"/>
              <w:bottom w:val="single" w:sz="4" w:space="0" w:color="auto"/>
              <w:right w:val="single" w:sz="4" w:space="0" w:color="auto"/>
              <w:tl2br w:val="nil"/>
              <w:tr2bl w:val="nil"/>
            </w:tcBorders>
            <w:textDirection w:val="lrTb"/>
            <w:vAlign w:val="top"/>
          </w:tcPr>
          <w:p w:rsidR="00F1062D">
            <w:pPr>
              <w:rPr>
                <w:rStyle w:val="DefaultParagraphFont"/>
                <w:rFonts w:ascii="Times New Roman" w:hAnsi="Times New Roman" w:cs="Times New Roman"/>
                <w:sz w:val="20"/>
                <w:szCs w:val="24"/>
              </w:rPr>
            </w:pPr>
          </w:p>
        </w:tc>
        <w:tc>
          <w:tcPr>
            <w:tcW w:w="786" w:type="dxa"/>
            <w:vMerge/>
            <w:tcBorders>
              <w:top w:val="nil"/>
              <w:left w:val="single" w:sz="2" w:space="0" w:color="000000"/>
              <w:bottom w:val="single" w:sz="4" w:space="0" w:color="auto"/>
              <w:right w:val="single" w:sz="4" w:space="0" w:color="auto"/>
              <w:tl2br w:val="nil"/>
              <w:tr2bl w:val="nil"/>
            </w:tcBorders>
            <w:textDirection w:val="lrTb"/>
            <w:vAlign w:val="top"/>
          </w:tcPr>
          <w:p w:rsidR="00F1062D">
            <w:pPr>
              <w:rPr>
                <w:rStyle w:val="DefaultParagraphFont"/>
                <w:rFonts w:ascii="Times New Roman" w:hAnsi="Times New Roman" w:cs="Times New Roman"/>
                <w:sz w:val="20"/>
                <w:szCs w:val="24"/>
              </w:rPr>
            </w:pPr>
          </w:p>
        </w:tc>
      </w:tr>
    </w:tbl>
    <w:p w:rsidR="00F1062D">
      <w:pPr>
        <w:pStyle w:val="BodyText"/>
        <w:tabs>
          <w:tab w:val="left" w:pos="426"/>
        </w:tabs>
        <w:spacing w:after="0"/>
        <w:rPr>
          <w:rStyle w:val="DefaultParagraphFont"/>
          <w:rFonts w:ascii="Times New Roman" w:hAnsi="Times New Roman" w:cs="Times New Roman"/>
          <w:b/>
          <w:sz w:val="2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70" w:type="dxa"/>
          <w:bottom w:w="0" w:type="dxa"/>
          <w:right w:w="70" w:type="dxa"/>
        </w:tblCellMar>
      </w:tblPr>
      <w:tblGrid>
        <w:gridCol w:w="7638"/>
        <w:gridCol w:w="7638"/>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70" w:type="dxa"/>
            <w:bottom w:w="0" w:type="dxa"/>
            <w:right w:w="70" w:type="dxa"/>
          </w:tblCellMar>
        </w:tblPrEx>
        <w:trPr>
          <w:trHeight w:val="1187"/>
        </w:trPr>
        <w:tc>
          <w:tcPr>
            <w:tcW w:w="763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BodyText"/>
              <w:tabs>
                <w:tab w:val="left" w:pos="426"/>
              </w:tabs>
              <w:spacing w:after="0"/>
              <w:rPr>
                <w:rStyle w:val="DefaultParagraphFont"/>
                <w:rFonts w:ascii="Times New Roman" w:hAnsi="Times New Roman" w:cs="Times New Roman"/>
                <w:b/>
                <w:sz w:val="20"/>
                <w:szCs w:val="24"/>
              </w:rPr>
            </w:pPr>
            <w:r>
              <w:rPr>
                <w:rStyle w:val="DefaultParagraphFont"/>
                <w:rFonts w:ascii="Times New Roman" w:hAnsi="Times New Roman" w:cs="Times New Roman"/>
                <w:b/>
                <w:sz w:val="20"/>
                <w:szCs w:val="24"/>
              </w:rPr>
              <w:t>Vysvetlivky k tabuľke č.1</w:t>
            </w:r>
          </w:p>
          <w:p w:rsidR="00F1062D">
            <w:pPr>
              <w:numPr>
                <w:ilvl w:val="0"/>
                <w:numId w:val="26"/>
              </w:numPr>
              <w:ind w:right="-2"/>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EINECS: Európsky zoznam existujúcich chemických látok.</w:t>
            </w:r>
          </w:p>
          <w:p w:rsidR="00F1062D">
            <w:pPr>
              <w:numPr>
                <w:ilvl w:val="0"/>
                <w:numId w:val="26"/>
              </w:numPr>
              <w:ind w:right="-2"/>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CAS: Registračné číslo určené službou pre chemické abstrakty.</w:t>
            </w:r>
          </w:p>
          <w:p w:rsidR="00F1062D">
            <w:pPr>
              <w:numPr>
                <w:ilvl w:val="0"/>
                <w:numId w:val="26"/>
              </w:numPr>
              <w:ind w:right="-2"/>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mg/m3 = miligramy na meter</w:t>
            </w:r>
            <w:r>
              <w:rPr>
                <w:rStyle w:val="DefaultParagraphFont"/>
                <w:rFonts w:ascii="Times New Roman" w:hAnsi="Times New Roman" w:cs="Times New Roman"/>
                <w:sz w:val="20"/>
                <w:szCs w:val="24"/>
              </w:rPr>
              <w:t xml:space="preserve"> kubický vzduchu pri 20°C a 101,3 Kpa (760 mm ortuťového stĺpca).</w:t>
            </w:r>
          </w:p>
          <w:p w:rsidR="00F1062D">
            <w:pPr>
              <w:numPr>
                <w:ilvl w:val="0"/>
                <w:numId w:val="26"/>
              </w:numPr>
              <w:ind w:right="-2"/>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ppm =  objem látky vyjadrený v milióntinách z celkového objemu vzduchu (ml/m3).</w:t>
            </w:r>
          </w:p>
          <w:p w:rsidR="00F1062D">
            <w:pPr>
              <w:numPr>
                <w:ilvl w:val="0"/>
                <w:numId w:val="26"/>
              </w:numPr>
              <w:ind w:right="-2"/>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Merané alebo vypočítané vo vzťahu k  osemhodinovému referenčnému času.</w:t>
            </w:r>
          </w:p>
          <w:p w:rsidR="00F1062D">
            <w:pPr>
              <w:numPr>
                <w:ilvl w:val="0"/>
                <w:numId w:val="26"/>
              </w:numPr>
              <w:ind w:right="-2"/>
              <w:rPr>
                <w:rStyle w:val="DefaultParagraphFont"/>
                <w:rFonts w:ascii="Times New Roman" w:hAnsi="Times New Roman" w:cs="Times New Roman"/>
                <w:b/>
                <w:sz w:val="20"/>
                <w:szCs w:val="24"/>
              </w:rPr>
            </w:pPr>
            <w:r>
              <w:rPr>
                <w:rStyle w:val="DefaultParagraphFont"/>
                <w:rFonts w:ascii="Times New Roman" w:hAnsi="Times New Roman" w:cs="Times New Roman"/>
                <w:sz w:val="20"/>
                <w:szCs w:val="24"/>
              </w:rPr>
              <w:t xml:space="preserve">Môže podstatne </w:t>
            </w:r>
            <w:r>
              <w:rPr>
                <w:rStyle w:val="DefaultParagraphFont"/>
                <w:rFonts w:ascii="Times New Roman" w:hAnsi="Times New Roman" w:cs="Times New Roman"/>
                <w:sz w:val="20"/>
                <w:szCs w:val="24"/>
              </w:rPr>
              <w:t>zvýšiť celkové zaťaženie organizmu expozíciou cez pokožku.</w:t>
            </w:r>
          </w:p>
          <w:p w:rsidR="00F1062D">
            <w:pPr>
              <w:pStyle w:val="BodyText"/>
              <w:tabs>
                <w:tab w:val="left" w:pos="426"/>
                <w:tab w:val="left" w:pos="1134"/>
              </w:tabs>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 (7) Inhalovateľná frakcia: ak prach z tvrdého dreva je zmiešaný s iným drevným prachom, bude sa uplatňovať táto technická smerná hodnota pre všetky druhy dreva prítomné v zmesi.</w:t>
            </w:r>
          </w:p>
          <w:p w:rsidR="00F1062D">
            <w:pPr>
              <w:pStyle w:val="BodyText"/>
              <w:tabs>
                <w:tab w:val="left" w:pos="426"/>
              </w:tabs>
              <w:spacing w:after="0"/>
              <w:rPr>
                <w:rStyle w:val="DefaultParagraphFont"/>
                <w:rFonts w:ascii="Times New Roman" w:hAnsi="Times New Roman" w:cs="Times New Roman"/>
                <w:b/>
                <w:sz w:val="20"/>
                <w:szCs w:val="24"/>
              </w:rPr>
            </w:pPr>
          </w:p>
        </w:tc>
        <w:tc>
          <w:tcPr>
            <w:tcW w:w="763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1062D">
            <w:pPr>
              <w:pStyle w:val="BodyText"/>
              <w:tabs>
                <w:tab w:val="left" w:pos="426"/>
              </w:tabs>
              <w:spacing w:after="0"/>
              <w:rPr>
                <w:rStyle w:val="DefaultParagraphFont"/>
                <w:rFonts w:ascii="Times New Roman" w:hAnsi="Times New Roman" w:cs="Times New Roman"/>
                <w:b/>
                <w:sz w:val="20"/>
                <w:szCs w:val="24"/>
              </w:rPr>
            </w:pPr>
            <w:r>
              <w:rPr>
                <w:rStyle w:val="DefaultParagraphFont"/>
                <w:rFonts w:ascii="Times New Roman" w:hAnsi="Times New Roman" w:cs="Times New Roman"/>
                <w:b/>
                <w:sz w:val="20"/>
                <w:szCs w:val="24"/>
              </w:rPr>
              <w:t>Vysvetlivky k </w:t>
            </w:r>
            <w:r>
              <w:rPr>
                <w:rStyle w:val="DefaultParagraphFont"/>
                <w:rFonts w:ascii="Times New Roman" w:hAnsi="Times New Roman" w:cs="Times New Roman"/>
                <w:b/>
                <w:sz w:val="20"/>
                <w:szCs w:val="24"/>
              </w:rPr>
              <w:t>tabuľke č.2:</w:t>
            </w:r>
          </w:p>
          <w:p w:rsidR="00F1062D">
            <w:pPr>
              <w:pStyle w:val="BodyText"/>
              <w:spacing w:after="0"/>
              <w:rPr>
                <w:rStyle w:val="DefaultParagraphFont"/>
                <w:rFonts w:ascii="Times New Roman" w:hAnsi="Times New Roman" w:cs="Times New Roman"/>
                <w:sz w:val="20"/>
                <w:szCs w:val="24"/>
              </w:rPr>
            </w:pPr>
            <w:r>
              <w:rPr>
                <w:rStyle w:val="DefaultParagraphFont"/>
                <w:rFonts w:ascii="Times New Roman" w:hAnsi="Times New Roman" w:cs="Times New Roman"/>
                <w:b/>
                <w:sz w:val="20"/>
                <w:szCs w:val="24"/>
              </w:rPr>
              <w:t>1)</w:t>
            </w:r>
            <w:r>
              <w:rPr>
                <w:rStyle w:val="DefaultParagraphFont"/>
                <w:rFonts w:ascii="Times New Roman" w:hAnsi="Times New Roman" w:cs="Times New Roman"/>
                <w:sz w:val="20"/>
                <w:szCs w:val="24"/>
              </w:rPr>
              <w:t xml:space="preserve"> EINECS číslo:</w:t>
            </w:r>
          </w:p>
          <w:p w:rsidR="00F1062D">
            <w:pPr>
              <w:pStyle w:val="BodyText"/>
              <w:spacing w:after="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Číslo priradené chemickej látke, ktorá sa nachádza v Európskom zozname existujúcich komerčných chemických látok.</w:t>
            </w:r>
          </w:p>
          <w:p w:rsidR="00F1062D">
            <w:pPr>
              <w:pStyle w:val="BodyText"/>
              <w:spacing w:after="0"/>
              <w:rPr>
                <w:rStyle w:val="DefaultParagraphFont"/>
                <w:rFonts w:ascii="Times New Roman" w:hAnsi="Times New Roman" w:cs="Times New Roman"/>
                <w:sz w:val="20"/>
                <w:szCs w:val="24"/>
              </w:rPr>
            </w:pPr>
            <w:r>
              <w:rPr>
                <w:rStyle w:val="DefaultParagraphFont"/>
                <w:rFonts w:ascii="Times New Roman" w:hAnsi="Times New Roman" w:cs="Times New Roman"/>
                <w:b/>
                <w:sz w:val="20"/>
                <w:szCs w:val="24"/>
              </w:rPr>
              <w:t>2)</w:t>
            </w:r>
            <w:r>
              <w:rPr>
                <w:rStyle w:val="DefaultParagraphFont"/>
                <w:rFonts w:ascii="Times New Roman" w:hAnsi="Times New Roman" w:cs="Times New Roman"/>
                <w:sz w:val="20"/>
                <w:szCs w:val="24"/>
              </w:rPr>
              <w:t xml:space="preserve"> CAS číslo: </w:t>
            </w:r>
          </w:p>
          <w:p w:rsidR="00F1062D">
            <w:pPr>
              <w:pStyle w:val="BodyText"/>
              <w:spacing w:after="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Medzinárodne stanovené číslo priradené danej chemickej látke na účely jej presnej identifikácie za</w:t>
            </w:r>
            <w:r>
              <w:rPr>
                <w:rStyle w:val="DefaultParagraphFont"/>
                <w:rFonts w:ascii="Times New Roman" w:hAnsi="Times New Roman" w:cs="Times New Roman"/>
                <w:sz w:val="20"/>
                <w:szCs w:val="24"/>
              </w:rPr>
              <w:t xml:space="preserve"> predpokladu, že údaje boli publikované v odbornej literatúre.</w:t>
            </w:r>
          </w:p>
          <w:p w:rsidR="00F1062D">
            <w:pPr>
              <w:pStyle w:val="BodyText"/>
              <w:tabs>
                <w:tab w:val="left" w:pos="426"/>
              </w:tabs>
              <w:spacing w:after="0"/>
              <w:rPr>
                <w:rStyle w:val="DefaultParagraphFont"/>
                <w:rFonts w:ascii="Times New Roman" w:hAnsi="Times New Roman" w:cs="Times New Roman"/>
                <w:sz w:val="20"/>
                <w:szCs w:val="24"/>
              </w:rPr>
            </w:pPr>
            <w:r>
              <w:rPr>
                <w:rStyle w:val="DefaultParagraphFont"/>
                <w:rFonts w:ascii="Times New Roman" w:hAnsi="Times New Roman" w:cs="Times New Roman"/>
                <w:b/>
                <w:sz w:val="20"/>
                <w:szCs w:val="24"/>
              </w:rPr>
              <w:t>3)</w:t>
            </w:r>
            <w:r>
              <w:rPr>
                <w:rStyle w:val="DefaultParagraphFont"/>
                <w:rFonts w:ascii="Times New Roman" w:hAnsi="Times New Roman" w:cs="Times New Roman"/>
                <w:sz w:val="20"/>
                <w:szCs w:val="24"/>
              </w:rPr>
              <w:t xml:space="preserve"> Technické smerné hodnoty (TSH) </w:t>
            </w:r>
          </w:p>
          <w:p w:rsidR="00F1062D">
            <w:pPr>
              <w:pStyle w:val="BodyText"/>
              <w:tabs>
                <w:tab w:val="left" w:pos="426"/>
              </w:tabs>
              <w:spacing w:after="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Určujú sa len pre karcinogény a mutagény zaradené do kategórií 1 a 2, pre ktoré nemôžu byť v súčasnosti stanovené najvyššie prípustné expozičné limity</w:t>
            </w:r>
            <w:r>
              <w:rPr>
                <w:rStyle w:val="FootnoteReference"/>
                <w:rFonts w:ascii="Times New Roman" w:hAnsi="Times New Roman" w:cs="Times New Roman"/>
                <w:sz w:val="20"/>
                <w:szCs w:val="24"/>
                <w:rtl w:val="0"/>
              </w:rPr>
              <w:footnoteReference w:id="25"/>
            </w:r>
            <w:r>
              <w:rPr>
                <w:rStyle w:val="DefaultParagraphFont"/>
                <w:rFonts w:ascii="Times New Roman" w:hAnsi="Times New Roman" w:cs="Times New Roman"/>
                <w:sz w:val="20"/>
                <w:szCs w:val="24"/>
              </w:rPr>
              <w:t xml:space="preserve"> vzhľadom na ich predpokladané bezprahové účinky. Sú to minimálne hodnoty zistiteľné v pracovnom ovzduší dostupnými analytickými metódami a  možno ich dodržať technickými opatreniami. Ich dodržiavanie znižuje pravdepodobnosť škodlivých účinkov na zdravie, ale nemôže ich úplne vylúčiť. Sú základom pre preventívne a ochranné opatrenia.</w:t>
            </w:r>
          </w:p>
          <w:p w:rsidR="00F1062D">
            <w:pPr>
              <w:pStyle w:val="BodyText"/>
              <w:tabs>
                <w:tab w:val="left" w:pos="0"/>
                <w:tab w:val="left" w:pos="426"/>
              </w:tabs>
              <w:spacing w:after="0"/>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TSH znamenajú časovo vážený priemer koncentrácie plynov, pár a aerosólov, vrátane minerálnych vlákien za 8-hodinovú zmenu a 40-hodinový pracovný týždeň.</w:t>
            </w:r>
          </w:p>
          <w:p w:rsidR="00F1062D">
            <w:pPr>
              <w:pStyle w:val="BodyText"/>
              <w:tabs>
                <w:tab w:val="left" w:pos="0"/>
                <w:tab w:val="left" w:pos="426"/>
              </w:tabs>
              <w:spacing w:after="0"/>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Na obmedzenie nadmernej expozície pri kolísaní hodnôt nad priemernú TSH  platia tieto pravidlá:</w:t>
            </w:r>
          </w:p>
          <w:p w:rsidR="00F1062D">
            <w:pPr>
              <w:pStyle w:val="BodyText"/>
              <w:numPr>
                <w:ilvl w:val="0"/>
                <w:numId w:val="20"/>
              </w:numPr>
              <w:tabs>
                <w:tab w:val="left" w:pos="317"/>
                <w:tab w:val="left" w:pos="426"/>
                <w:tab w:val="left" w:pos="720"/>
              </w:tabs>
              <w:spacing w:after="0"/>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krátkodobá hodnota expozície maximálne 5 x TSH,</w:t>
            </w:r>
          </w:p>
          <w:p w:rsidR="00F1062D">
            <w:pPr>
              <w:pStyle w:val="BodyText"/>
              <w:numPr>
                <w:ilvl w:val="0"/>
                <w:numId w:val="20"/>
              </w:numPr>
              <w:tabs>
                <w:tab w:val="left" w:pos="317"/>
                <w:tab w:val="left" w:pos="426"/>
                <w:tab w:val="left" w:pos="720"/>
              </w:tabs>
              <w:spacing w:after="0"/>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krátkodobé trvanie expozície                        15 min.</w:t>
            </w:r>
          </w:p>
          <w:p w:rsidR="00F1062D">
            <w:pPr>
              <w:pStyle w:val="BodyText"/>
              <w:numPr>
                <w:ilvl w:val="0"/>
                <w:numId w:val="20"/>
              </w:numPr>
              <w:tabs>
                <w:tab w:val="left" w:pos="317"/>
                <w:tab w:val="left" w:pos="426"/>
                <w:tab w:val="left" w:pos="720"/>
              </w:tabs>
              <w:spacing w:after="0"/>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frekvencia za zmenu                                      5-krát</w:t>
            </w:r>
          </w:p>
          <w:p w:rsidR="00F1062D">
            <w:pPr>
              <w:pStyle w:val="BodyText"/>
              <w:numPr>
                <w:ilvl w:val="0"/>
                <w:numId w:val="20"/>
              </w:numPr>
              <w:tabs>
                <w:tab w:val="left" w:pos="317"/>
                <w:tab w:val="left" w:pos="426"/>
                <w:tab w:val="left" w:pos="720"/>
              </w:tabs>
              <w:spacing w:after="0"/>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interval medzi expozíciou                              1 h. </w:t>
            </w:r>
          </w:p>
          <w:p w:rsidR="00F1062D">
            <w:pPr>
              <w:pStyle w:val="BodyText"/>
              <w:tabs>
                <w:tab w:val="left" w:pos="426"/>
              </w:tabs>
              <w:spacing w:after="0"/>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V týchto prípadoch musí byť vždy dodržaná priemerná TSH za </w:t>
            </w:r>
            <w:r>
              <w:rPr>
                <w:rStyle w:val="DefaultParagraphFont"/>
                <w:rFonts w:ascii="Times New Roman" w:hAnsi="Times New Roman" w:cs="Times New Roman"/>
                <w:sz w:val="20"/>
                <w:szCs w:val="24"/>
              </w:rPr>
              <w:t>osemhodinovú zmenu.</w:t>
            </w:r>
          </w:p>
          <w:p w:rsidR="00F1062D">
            <w:pPr>
              <w:pStyle w:val="BodyText"/>
              <w:tabs>
                <w:tab w:val="left" w:pos="426"/>
              </w:tabs>
              <w:spacing w:after="0"/>
              <w:jc w:val="both"/>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Vyjadrujú sa v:</w:t>
            </w:r>
          </w:p>
          <w:p w:rsidR="00F1062D">
            <w:pPr>
              <w:rPr>
                <w:rStyle w:val="DefaultParagraphFont"/>
                <w:rFonts w:ascii="Times New Roman" w:hAnsi="Times New Roman" w:cs="Times New Roman"/>
                <w:sz w:val="20"/>
                <w:szCs w:val="24"/>
              </w:rPr>
            </w:pPr>
            <w:r>
              <w:rPr>
                <w:rStyle w:val="DefaultParagraphFont"/>
                <w:rFonts w:ascii="Times New Roman" w:hAnsi="Times New Roman" w:cs="Times New Roman"/>
                <w:b/>
                <w:sz w:val="20"/>
                <w:szCs w:val="24"/>
              </w:rPr>
              <w:t>4)</w:t>
            </w:r>
            <w:r>
              <w:rPr>
                <w:rStyle w:val="DefaultParagraphFont"/>
                <w:rFonts w:ascii="Times New Roman" w:hAnsi="Times New Roman" w:cs="Times New Roman"/>
                <w:sz w:val="20"/>
                <w:szCs w:val="24"/>
              </w:rPr>
              <w:t xml:space="preserve"> mg . m </w:t>
            </w:r>
            <w:r>
              <w:rPr>
                <w:rStyle w:val="DefaultParagraphFont"/>
                <w:rFonts w:ascii="Times New Roman" w:hAnsi="Times New Roman" w:cs="Times New Roman"/>
                <w:sz w:val="20"/>
                <w:szCs w:val="24"/>
                <w:vertAlign w:val="superscript"/>
              </w:rPr>
              <w:t>-3</w:t>
            </w:r>
            <w:r>
              <w:rPr>
                <w:rStyle w:val="DefaultParagraphFont"/>
                <w:rFonts w:ascii="Times New Roman" w:hAnsi="Times New Roman" w:cs="Times New Roman"/>
                <w:sz w:val="20"/>
                <w:szCs w:val="24"/>
              </w:rPr>
              <w:t>-  miligramy na meter kubický vzduchu pri 20</w:t>
            </w:r>
            <w:r>
              <w:rPr>
                <w:rStyle w:val="DefaultParagraphFont"/>
                <w:rFonts w:ascii="Times New Roman" w:hAnsi="Times New Roman" w:cs="Times New Roman"/>
                <w:sz w:val="20"/>
                <w:szCs w:val="24"/>
                <w:vertAlign w:val="superscript"/>
              </w:rPr>
              <w:t>o</w:t>
            </w:r>
            <w:r>
              <w:rPr>
                <w:rStyle w:val="DefaultParagraphFont"/>
                <w:rFonts w:ascii="Times New Roman" w:hAnsi="Times New Roman" w:cs="Times New Roman"/>
                <w:sz w:val="20"/>
                <w:szCs w:val="24"/>
              </w:rPr>
              <w:t>C a 101,3 kPa,</w:t>
            </w:r>
          </w:p>
          <w:p w:rsidR="00F1062D">
            <w:pPr>
              <w:rPr>
                <w:rStyle w:val="DefaultParagraphFont"/>
                <w:rFonts w:ascii="Times New Roman" w:hAnsi="Times New Roman" w:cs="Times New Roman"/>
                <w:sz w:val="20"/>
                <w:szCs w:val="24"/>
              </w:rPr>
            </w:pPr>
            <w:r>
              <w:rPr>
                <w:rStyle w:val="DefaultParagraphFont"/>
                <w:rFonts w:ascii="Times New Roman" w:hAnsi="Times New Roman" w:cs="Times New Roman"/>
                <w:b/>
                <w:sz w:val="20"/>
                <w:szCs w:val="24"/>
              </w:rPr>
              <w:t>5)</w:t>
            </w:r>
            <w:r>
              <w:rPr>
                <w:rStyle w:val="DefaultParagraphFont"/>
                <w:rFonts w:ascii="Times New Roman" w:hAnsi="Times New Roman" w:cs="Times New Roman"/>
                <w:sz w:val="20"/>
                <w:szCs w:val="24"/>
              </w:rPr>
              <w:t xml:space="preserve"> ppm       -  počet objemových častí chemickej látky na milión objemových častí vzduchu </w:t>
            </w:r>
          </w:p>
          <w:p w:rsidR="00F1062D">
            <w:pPr>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 xml:space="preserve">                     (ml . m </w:t>
            </w:r>
            <w:r>
              <w:rPr>
                <w:rStyle w:val="DefaultParagraphFont"/>
                <w:rFonts w:ascii="Times New Roman" w:hAnsi="Times New Roman" w:cs="Times New Roman"/>
                <w:sz w:val="20"/>
                <w:szCs w:val="24"/>
                <w:vertAlign w:val="superscript"/>
              </w:rPr>
              <w:t>-3</w:t>
            </w:r>
            <w:r>
              <w:rPr>
                <w:rStyle w:val="DefaultParagraphFont"/>
                <w:rFonts w:ascii="Times New Roman" w:hAnsi="Times New Roman" w:cs="Times New Roman"/>
                <w:sz w:val="20"/>
                <w:szCs w:val="24"/>
              </w:rPr>
              <w:t>)</w:t>
            </w:r>
          </w:p>
          <w:p w:rsidR="00F1062D">
            <w:pPr>
              <w:rPr>
                <w:rStyle w:val="DefaultParagraphFont"/>
                <w:rFonts w:ascii="Times New Roman" w:hAnsi="Times New Roman" w:cs="Times New Roman"/>
                <w:sz w:val="20"/>
                <w:szCs w:val="24"/>
              </w:rPr>
            </w:pPr>
            <w:r>
              <w:rPr>
                <w:rStyle w:val="DefaultParagraphFont"/>
                <w:rFonts w:ascii="Times New Roman" w:hAnsi="Times New Roman" w:cs="Times New Roman"/>
                <w:b/>
                <w:sz w:val="20"/>
                <w:szCs w:val="24"/>
              </w:rPr>
              <w:t>6)</w:t>
            </w:r>
            <w:r>
              <w:rPr>
                <w:rStyle w:val="DefaultParagraphFont"/>
                <w:rFonts w:ascii="Times New Roman" w:hAnsi="Times New Roman" w:cs="Times New Roman"/>
                <w:sz w:val="20"/>
                <w:szCs w:val="24"/>
              </w:rPr>
              <w:t xml:space="preserve"> vl.cm </w:t>
            </w:r>
            <w:r>
              <w:rPr>
                <w:rStyle w:val="DefaultParagraphFont"/>
                <w:rFonts w:ascii="Times New Roman" w:hAnsi="Times New Roman" w:cs="Times New Roman"/>
                <w:sz w:val="20"/>
                <w:szCs w:val="24"/>
                <w:vertAlign w:val="superscript"/>
              </w:rPr>
              <w:t xml:space="preserve">–3 </w:t>
            </w:r>
            <w:r>
              <w:rPr>
                <w:rStyle w:val="DefaultParagraphFont"/>
                <w:rFonts w:ascii="Times New Roman" w:hAnsi="Times New Roman" w:cs="Times New Roman"/>
                <w:sz w:val="20"/>
                <w:szCs w:val="24"/>
              </w:rPr>
              <w:t>-  vlákno na centimeter kubický vzduchu</w:t>
            </w:r>
          </w:p>
          <w:p w:rsidR="00F1062D">
            <w:pPr>
              <w:rPr>
                <w:rStyle w:val="DefaultParagraphFont"/>
                <w:rFonts w:ascii="Times New Roman" w:hAnsi="Times New Roman" w:cs="Times New Roman"/>
                <w:b/>
                <w:sz w:val="20"/>
                <w:szCs w:val="24"/>
              </w:rPr>
            </w:pPr>
            <w:r>
              <w:rPr>
                <w:rStyle w:val="DefaultParagraphFont"/>
                <w:rFonts w:ascii="Times New Roman" w:hAnsi="Times New Roman" w:cs="Times New Roman"/>
                <w:b/>
                <w:sz w:val="20"/>
                <w:szCs w:val="24"/>
              </w:rPr>
              <w:t>Účinky:</w:t>
            </w:r>
          </w:p>
          <w:p w:rsidR="00F1062D">
            <w:pPr>
              <w:pStyle w:val="BodyText"/>
              <w:tabs>
                <w:tab w:val="left" w:pos="426"/>
              </w:tabs>
              <w:spacing w:after="0"/>
              <w:rPr>
                <w:rStyle w:val="DefaultParagraphFont"/>
                <w:rFonts w:ascii="Times New Roman" w:hAnsi="Times New Roman" w:cs="Times New Roman"/>
                <w:b/>
                <w:sz w:val="20"/>
                <w:szCs w:val="24"/>
              </w:rPr>
            </w:pPr>
            <w:r>
              <w:rPr>
                <w:rStyle w:val="DefaultParagraphFont"/>
                <w:rFonts w:ascii="Times New Roman" w:hAnsi="Times New Roman" w:cs="Times New Roman"/>
                <w:b/>
                <w:sz w:val="20"/>
                <w:szCs w:val="24"/>
              </w:rPr>
              <w:t>7) Kategórie karcinogénov:</w:t>
            </w:r>
          </w:p>
          <w:p w:rsidR="00F1062D">
            <w:pPr>
              <w:pStyle w:val="BodyText"/>
              <w:tabs>
                <w:tab w:val="left" w:pos="426"/>
              </w:tabs>
              <w:spacing w:after="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kategória 1    Dokázaný karcinogén pre ľudí</w:t>
            </w:r>
          </w:p>
          <w:p w:rsidR="00F1062D">
            <w:pPr>
              <w:pStyle w:val="BodyText"/>
              <w:tabs>
                <w:tab w:val="left" w:pos="426"/>
              </w:tabs>
              <w:spacing w:after="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kategória 2    Pravdepodobný karcinogén</w:t>
            </w:r>
          </w:p>
          <w:p w:rsidR="00F1062D">
            <w:pPr>
              <w:pStyle w:val="BodyText"/>
              <w:tabs>
                <w:tab w:val="left" w:pos="0"/>
                <w:tab w:val="left" w:pos="426"/>
                <w:tab w:val="left" w:pos="1134"/>
              </w:tabs>
              <w:spacing w:after="0"/>
              <w:rPr>
                <w:rStyle w:val="DefaultParagraphFont"/>
                <w:rFonts w:ascii="Times New Roman" w:hAnsi="Times New Roman" w:cs="Times New Roman"/>
                <w:b/>
                <w:sz w:val="20"/>
                <w:szCs w:val="24"/>
              </w:rPr>
            </w:pPr>
            <w:r>
              <w:rPr>
                <w:rStyle w:val="DefaultParagraphFont"/>
                <w:rFonts w:ascii="Times New Roman" w:hAnsi="Times New Roman" w:cs="Times New Roman"/>
                <w:b/>
                <w:sz w:val="20"/>
                <w:szCs w:val="24"/>
              </w:rPr>
              <w:t>8) Kategórie mutagénov:</w:t>
            </w:r>
          </w:p>
          <w:p w:rsidR="00F1062D">
            <w:pPr>
              <w:pStyle w:val="BodyText"/>
              <w:tabs>
                <w:tab w:val="left" w:pos="426"/>
              </w:tabs>
              <w:spacing w:after="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kategória 1    Dokázaný mutagén pre ľudí</w:t>
            </w:r>
          </w:p>
          <w:p w:rsidR="00F1062D">
            <w:pPr>
              <w:pStyle w:val="BodyText"/>
              <w:tabs>
                <w:tab w:val="left" w:pos="426"/>
              </w:tabs>
              <w:spacing w:after="0"/>
              <w:rPr>
                <w:rStyle w:val="DefaultParagraphFont"/>
                <w:rFonts w:ascii="Times New Roman" w:hAnsi="Times New Roman" w:cs="Times New Roman"/>
                <w:sz w:val="20"/>
                <w:szCs w:val="24"/>
              </w:rPr>
            </w:pPr>
            <w:r>
              <w:rPr>
                <w:rStyle w:val="DefaultParagraphFont"/>
                <w:rFonts w:ascii="Times New Roman" w:hAnsi="Times New Roman" w:cs="Times New Roman"/>
                <w:sz w:val="20"/>
                <w:szCs w:val="24"/>
              </w:rPr>
              <w:t>kategória 2    Pravdepodobný mutagén</w:t>
            </w:r>
          </w:p>
          <w:p w:rsidR="00F1062D">
            <w:pPr>
              <w:pStyle w:val="BodyText"/>
              <w:tabs>
                <w:tab w:val="left" w:pos="426"/>
                <w:tab w:val="left" w:pos="1134"/>
              </w:tabs>
              <w:spacing w:after="0"/>
              <w:rPr>
                <w:rStyle w:val="DefaultParagraphFont"/>
                <w:rFonts w:ascii="Times New Roman" w:hAnsi="Times New Roman" w:cs="Times New Roman"/>
                <w:sz w:val="20"/>
                <w:szCs w:val="24"/>
              </w:rPr>
            </w:pPr>
            <w:r>
              <w:rPr>
                <w:rStyle w:val="DefaultParagraphFont"/>
                <w:rFonts w:ascii="Times New Roman" w:hAnsi="Times New Roman" w:cs="Times New Roman"/>
                <w:b/>
                <w:sz w:val="20"/>
                <w:szCs w:val="24"/>
              </w:rPr>
              <w:t>9</w:t>
            </w:r>
            <w:r>
              <w:rPr>
                <w:rStyle w:val="DefaultParagraphFont"/>
                <w:rFonts w:ascii="Times New Roman" w:hAnsi="Times New Roman" w:cs="Times New Roman"/>
                <w:b/>
                <w:sz w:val="20"/>
                <w:szCs w:val="24"/>
              </w:rPr>
              <w:t>) Senzibilizujúce účinky</w:t>
            </w:r>
            <w:r>
              <w:rPr>
                <w:rStyle w:val="DefaultParagraphFont"/>
                <w:rFonts w:ascii="Times New Roman" w:hAnsi="Times New Roman" w:cs="Times New Roman"/>
                <w:sz w:val="20"/>
                <w:szCs w:val="24"/>
              </w:rPr>
              <w:t xml:space="preserve"> majú látky, ktoré spôsobujú oveľa vyšší výskyt precitlivenosti alergického typu, ako je bežný. Pri práci s nimi je potrebná osobitná opatrnosť. Dodržiavanie technických smerných hodnôt nezaručuje, že nevzniknú u vnímavých osôb aler</w:t>
            </w:r>
            <w:r>
              <w:rPr>
                <w:rStyle w:val="DefaultParagraphFont"/>
                <w:rFonts w:ascii="Times New Roman" w:hAnsi="Times New Roman" w:cs="Times New Roman"/>
                <w:sz w:val="20"/>
                <w:szCs w:val="24"/>
              </w:rPr>
              <w:t>gické reakcie.</w:t>
            </w:r>
          </w:p>
          <w:p w:rsidR="00F1062D">
            <w:pPr>
              <w:pStyle w:val="BodyText"/>
              <w:tabs>
                <w:tab w:val="left" w:pos="426"/>
                <w:tab w:val="left" w:pos="1134"/>
              </w:tabs>
              <w:spacing w:after="0"/>
              <w:rPr>
                <w:rStyle w:val="DefaultParagraphFont"/>
                <w:rFonts w:ascii="Times New Roman" w:hAnsi="Times New Roman" w:cs="Times New Roman"/>
                <w:sz w:val="20"/>
                <w:szCs w:val="24"/>
              </w:rPr>
            </w:pPr>
            <w:r>
              <w:rPr>
                <w:rStyle w:val="DefaultParagraphFont"/>
                <w:rFonts w:ascii="Times New Roman" w:hAnsi="Times New Roman" w:cs="Times New Roman"/>
                <w:b/>
                <w:sz w:val="20"/>
                <w:szCs w:val="24"/>
              </w:rPr>
              <w:t>10) Prienik cez pokožku:</w:t>
            </w:r>
            <w:r>
              <w:rPr>
                <w:rStyle w:val="DefaultParagraphFont"/>
                <w:rFonts w:ascii="Times New Roman" w:hAnsi="Times New Roman" w:cs="Times New Roman"/>
                <w:sz w:val="20"/>
                <w:szCs w:val="24"/>
              </w:rPr>
              <w:t xml:space="preserve"> Niektoré látky môžu prenikať ľahko cez pokožku a spôsobovať smrteľné otravy, často bez varovných príznakov (napr. anilín, nitrobenzén, nitroglykol, fenoly a pod.)</w:t>
            </w:r>
          </w:p>
          <w:p w:rsidR="00F1062D">
            <w:pPr>
              <w:ind w:hanging="426"/>
              <w:jc w:val="both"/>
              <w:rPr>
                <w:rStyle w:val="DefaultParagraphFont"/>
                <w:rFonts w:ascii="Times New Roman" w:hAnsi="Times New Roman" w:cs="Times New Roman"/>
                <w:sz w:val="20"/>
                <w:szCs w:val="24"/>
              </w:rPr>
            </w:pPr>
            <w:r>
              <w:rPr>
                <w:rStyle w:val="DefaultParagraphFont"/>
                <w:rFonts w:ascii="Times New Roman" w:hAnsi="Times New Roman" w:cs="Times New Roman"/>
                <w:b/>
                <w:sz w:val="20"/>
                <w:szCs w:val="24"/>
              </w:rPr>
              <w:t xml:space="preserve">         11)</w:t>
            </w:r>
            <w:r>
              <w:rPr>
                <w:rStyle w:val="DefaultParagraphFont"/>
                <w:rFonts w:ascii="Times New Roman" w:hAnsi="Times New Roman" w:cs="Times New Roman"/>
                <w:sz w:val="20"/>
                <w:szCs w:val="24"/>
              </w:rPr>
              <w:t xml:space="preserve"> </w:t>
            </w:r>
            <w:r>
              <w:rPr>
                <w:rStyle w:val="DefaultParagraphFont"/>
                <w:rFonts w:ascii="Times New Roman" w:hAnsi="Times New Roman" w:cs="Times New Roman"/>
                <w:b/>
                <w:sz w:val="20"/>
                <w:szCs w:val="24"/>
              </w:rPr>
              <w:t>R</w:t>
            </w:r>
            <w:r>
              <w:rPr>
                <w:rStyle w:val="DefaultParagraphFont"/>
                <w:rFonts w:ascii="Times New Roman" w:hAnsi="Times New Roman" w:cs="Times New Roman"/>
                <w:sz w:val="20"/>
                <w:szCs w:val="24"/>
              </w:rPr>
              <w:t xml:space="preserve"> - merané ako respirabilná frakcia.</w:t>
            </w:r>
          </w:p>
          <w:p w:rsidR="00F1062D">
            <w:pPr>
              <w:pStyle w:val="BodyText"/>
              <w:tabs>
                <w:tab w:val="left" w:pos="426"/>
                <w:tab w:val="left" w:pos="1134"/>
              </w:tabs>
              <w:spacing w:after="0"/>
              <w:rPr>
                <w:rStyle w:val="DefaultParagraphFont"/>
                <w:rFonts w:ascii="Times New Roman" w:hAnsi="Times New Roman" w:cs="Times New Roman"/>
                <w:sz w:val="20"/>
                <w:szCs w:val="24"/>
              </w:rPr>
            </w:pPr>
            <w:r>
              <w:rPr>
                <w:rStyle w:val="DefaultParagraphFont"/>
                <w:rFonts w:ascii="Times New Roman" w:hAnsi="Times New Roman" w:cs="Times New Roman"/>
                <w:b/>
                <w:sz w:val="20"/>
                <w:szCs w:val="24"/>
              </w:rPr>
              <w:t xml:space="preserve">12) </w:t>
            </w:r>
            <w:r>
              <w:rPr>
                <w:rStyle w:val="DefaultParagraphFont"/>
                <w:rFonts w:ascii="Times New Roman" w:hAnsi="Times New Roman" w:cs="Times New Roman"/>
                <w:sz w:val="20"/>
                <w:szCs w:val="24"/>
              </w:rPr>
              <w:t>Stanovuje sa ako inhalovateľná frakcia: ak prach z tvrdého dreva je zmiešaný s iným drevným prachom (mäkké drevo), bude sa uplatňovať technická smerná hodnota pre všetky druhy dreva prítomné v zmesi.</w:t>
            </w:r>
          </w:p>
          <w:p w:rsidR="00F1062D">
            <w:pPr>
              <w:pStyle w:val="BodyText"/>
              <w:tabs>
                <w:tab w:val="left" w:pos="426"/>
              </w:tabs>
              <w:spacing w:after="0"/>
              <w:rPr>
                <w:rStyle w:val="DefaultParagraphFont"/>
                <w:rFonts w:ascii="Times New Roman" w:hAnsi="Times New Roman" w:cs="Times New Roman"/>
                <w:b/>
                <w:sz w:val="20"/>
                <w:szCs w:val="24"/>
              </w:rPr>
            </w:pPr>
            <w:r>
              <w:rPr>
                <w:rStyle w:val="DefaultParagraphFont"/>
                <w:rFonts w:ascii="Times New Roman" w:hAnsi="Times New Roman" w:cs="Times New Roman"/>
                <w:b/>
                <w:sz w:val="20"/>
                <w:szCs w:val="24"/>
              </w:rPr>
              <w:t xml:space="preserve">13) I – </w:t>
            </w:r>
            <w:r>
              <w:rPr>
                <w:rStyle w:val="DefaultParagraphFont"/>
                <w:rFonts w:ascii="Times New Roman" w:hAnsi="Times New Roman" w:cs="Times New Roman"/>
                <w:sz w:val="20"/>
                <w:szCs w:val="24"/>
              </w:rPr>
              <w:t>merané ako inhalovateľná frakcia.</w:t>
            </w:r>
            <w:r>
              <w:rPr>
                <w:rStyle w:val="DefaultParagraphFont"/>
                <w:rFonts w:ascii="Times New Roman" w:hAnsi="Times New Roman" w:cs="Times New Roman"/>
                <w:b/>
                <w:sz w:val="20"/>
                <w:szCs w:val="24"/>
              </w:rPr>
              <w:t xml:space="preserve"> </w:t>
            </w:r>
          </w:p>
        </w:tc>
      </w:tr>
    </w:tbl>
    <w:p w:rsidR="00F1062D">
      <w:pPr>
        <w:pStyle w:val="Normlny"/>
        <w:rPr>
          <w:rStyle w:val="DefaultParagraphFont"/>
          <w:rFonts w:ascii="Times New Roman" w:hAnsi="Times New Roman" w:cs="Times New Roman"/>
          <w:szCs w:val="24"/>
        </w:rPr>
      </w:pPr>
    </w:p>
    <w:sectPr>
      <w:footerReference w:type="default" r:id="rId5"/>
      <w:pgSz w:w="16838" w:h="11906" w:orient="landscape" w:code="9"/>
      <w:pgMar w:top="851" w:right="851" w:bottom="851" w:left="851" w:header="708" w:footer="708"/>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00000000" w:usb1="00000000" w:usb2="00000000" w:usb3="00000000" w:csb0="00000001" w:csb1="00000000"/>
  </w:font>
  <w:font w:name="Courier New">
    <w:altName w:val="Courier New"/>
    <w:panose1 w:val="02070309020205020404"/>
    <w:charset w:val="00"/>
    <w:family w:val="modern"/>
    <w:pitch w:val="fixed"/>
    <w:sig w:usb0="00000000" w:usb1="00000000" w:usb2="00000000" w:usb3="00000000" w:csb0="00000001" w:csb1="00000000"/>
  </w:font>
  <w:font w:name="Symbol">
    <w:altName w:val="Times New Roman"/>
    <w:panose1 w:val="05050102010706020507"/>
    <w:charset w:val="00"/>
    <w:family w:val="roman"/>
    <w:pitch w:val="variable"/>
    <w:sig w:usb0="00000000" w:usb1="00000000" w:usb2="00000000" w:usb3="00000000" w:csb0="00000001" w:csb1="00000000"/>
  </w:font>
  <w:font w:name="Wingdings">
    <w:altName w:val="Symbol"/>
    <w:panose1 w:val="05000000000000000000"/>
    <w:charset w:val="00"/>
    <w:family w:val="auto"/>
    <w:pitch w:val="variable"/>
    <w:sig w:usb0="00000000" w:usb1="00000000" w:usb2="00000000" w:usb3="00000000" w:csb0="00000001" w:csb1="00000000"/>
  </w:font>
  <w:font w:name="StarSymbol">
    <w:panose1 w:val="00000000000000000000"/>
    <w:charset w:val="00"/>
    <w:family w:val="auto"/>
    <w:pitch w:val="default"/>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062D">
    <w:pPr>
      <w:pStyle w:val="Footer"/>
      <w:framePr w:vAnchor="text" w:hAnchor="margin" w:xAlign="right"/>
      <w:rPr>
        <w:rStyle w:val="PageNumber"/>
        <w:rFonts w:ascii="Times New Roman" w:hAnsi="Times New Roman" w:cs="Times New Roman"/>
        <w:szCs w:val="24"/>
      </w:rPr>
    </w:pPr>
    <w:r>
      <w:rPr>
        <w:rStyle w:val="PageNumber"/>
        <w:rFonts w:ascii="Times New Roman" w:hAnsi="Times New Roman" w:cs="Times New Roman"/>
        <w:szCs w:val="24"/>
      </w:rPr>
      <w:fldChar w:fldCharType="begin"/>
    </w:r>
    <w:r>
      <w:rPr>
        <w:rStyle w:val="PageNumber"/>
        <w:rFonts w:ascii="Times New Roman" w:hAnsi="Times New Roman" w:cs="Times New Roman"/>
        <w:szCs w:val="24"/>
      </w:rPr>
      <w:instrText xml:space="preserve">PAGE  </w:instrText>
    </w:r>
    <w:r>
      <w:rPr>
        <w:rStyle w:val="PageNumber"/>
        <w:rFonts w:ascii="Times New Roman" w:hAnsi="Times New Roman" w:cs="Times New Roman"/>
        <w:szCs w:val="24"/>
      </w:rPr>
      <w:fldChar w:fldCharType="separate"/>
    </w:r>
    <w:r w:rsidR="00DF0E18">
      <w:rPr>
        <w:rStyle w:val="PageNumber"/>
        <w:rFonts w:ascii="Times New Roman" w:hAnsi="Times New Roman" w:cs="Times New Roman"/>
        <w:noProof/>
        <w:szCs w:val="24"/>
      </w:rPr>
      <w:t>7</w:t>
    </w:r>
    <w:r>
      <w:rPr>
        <w:rStyle w:val="PageNumber"/>
        <w:rFonts w:ascii="Times New Roman" w:hAnsi="Times New Roman" w:cs="Times New Roman"/>
        <w:szCs w:val="24"/>
      </w:rPr>
      <w:fldChar w:fldCharType="end"/>
    </w:r>
  </w:p>
  <w:p w:rsidR="00F1062D">
    <w:pPr>
      <w:pStyle w:val="Footer"/>
      <w:ind w:right="360"/>
      <w:rPr>
        <w:rStyle w:val="DefaultParagraphFont"/>
        <w:rFonts w:ascii="Times New Roman" w:hAnsi="Times New Roman" w:cs="Times New Roman"/>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footnote w:type="continuationSeparator" w:id="1"/>
  <w:footnote w:id="2">
    <w:p>
      <w:pPr>
        <w:pStyle w:val="FootnoteText"/>
        <w:rPr>
          <w:rFonts w:ascii="Times New Roman" w:hAnsi="Times New Roman" w:cs="Times New Roman"/>
        </w:rPr>
      </w:pPr>
      <w:r w:rsidR="00F1062D">
        <w:rPr>
          <w:rStyle w:val="FootnoteReference"/>
          <w:rFonts w:ascii="Times New Roman" w:hAnsi="Times New Roman" w:cs="Times New Roman"/>
          <w:szCs w:val="24"/>
        </w:rPr>
        <w:t>1</w:t>
      </w:r>
      <w:r w:rsidR="00F1062D">
        <w:rPr>
          <w:rStyle w:val="DefaultParagraphFont"/>
          <w:rFonts w:ascii="Times New Roman" w:hAnsi="Times New Roman" w:cs="Times New Roman"/>
          <w:szCs w:val="24"/>
          <w:vertAlign w:val="superscript"/>
        </w:rPr>
        <w:t>)</w:t>
      </w:r>
      <w:r w:rsidR="00F1062D">
        <w:rPr>
          <w:rStyle w:val="DefaultParagraphFont"/>
          <w:rFonts w:ascii="Times New Roman" w:hAnsi="Times New Roman" w:cs="Times New Roman"/>
          <w:szCs w:val="24"/>
        </w:rPr>
        <w:t xml:space="preserve"> Nariadenie vlády Slovenskej republiky č. 345/2006 Z. z. o základných bezpečnostných požiadavkách na ochranu zdravia pracovníkov a obyvateľov pre ionizujúcim žiarením.</w:t>
      </w:r>
    </w:p>
  </w:footnote>
  <w:footnote w:id="3">
    <w:p>
      <w:pPr>
        <w:pStyle w:val="FootnoteText"/>
        <w:rPr>
          <w:rFonts w:ascii="Times New Roman" w:hAnsi="Times New Roman" w:cs="Times New Roman"/>
        </w:rPr>
      </w:pPr>
      <w:r w:rsidR="00F1062D">
        <w:rPr>
          <w:rStyle w:val="FootnoteReference"/>
          <w:rFonts w:ascii="Times New Roman" w:hAnsi="Times New Roman" w:cs="Times New Roman"/>
          <w:szCs w:val="24"/>
        </w:rPr>
        <w:t>2)</w:t>
      </w:r>
      <w:r w:rsidR="00F1062D">
        <w:rPr>
          <w:rStyle w:val="DefaultParagraphFont"/>
          <w:rFonts w:ascii="Times New Roman" w:hAnsi="Times New Roman" w:cs="Times New Roman"/>
          <w:szCs w:val="24"/>
        </w:rPr>
        <w:t xml:space="preserve"> Zákon č.  124/2006 Z.z. o bezpečnosti a ochrane zdravia pri prá</w:t>
      </w:r>
      <w:r w:rsidR="00F1062D">
        <w:rPr>
          <w:rStyle w:val="DefaultParagraphFont"/>
          <w:rFonts w:ascii="Times New Roman" w:hAnsi="Times New Roman" w:cs="Times New Roman"/>
          <w:szCs w:val="24"/>
        </w:rPr>
        <w:t>ci a o zmene a doplnení niektorých zákonov</w:t>
      </w:r>
    </w:p>
  </w:footnote>
  <w:footnote w:id="4">
    <w:p>
      <w:pPr>
        <w:pStyle w:val="FootnoteText"/>
        <w:rPr>
          <w:rFonts w:ascii="Times New Roman" w:hAnsi="Times New Roman" w:cs="Times New Roman"/>
        </w:rPr>
      </w:pPr>
      <w:r w:rsidR="00F1062D">
        <w:rPr>
          <w:rStyle w:val="FootnoteReference"/>
          <w:rFonts w:ascii="Times New Roman" w:hAnsi="Times New Roman" w:cs="Times New Roman"/>
          <w:szCs w:val="24"/>
        </w:rPr>
        <w:t>3)</w:t>
      </w:r>
      <w:r w:rsidR="00F1062D">
        <w:rPr>
          <w:rStyle w:val="DefaultParagraphFont"/>
          <w:rFonts w:ascii="Times New Roman" w:hAnsi="Times New Roman" w:cs="Times New Roman"/>
          <w:szCs w:val="24"/>
        </w:rPr>
        <w:t xml:space="preserve"> Nariadenie vlády Slovenskej republiky č. 253/2006 Z.z. o ochrane zamestnancov pred rizikami súvisiacimi s expozí</w:t>
      </w:r>
      <w:r w:rsidR="00F1062D">
        <w:rPr>
          <w:rStyle w:val="DefaultParagraphFont"/>
          <w:rFonts w:ascii="Times New Roman" w:hAnsi="Times New Roman" w:cs="Times New Roman"/>
          <w:szCs w:val="24"/>
        </w:rPr>
        <w:t>ciou azbestu pri práci.</w:t>
      </w:r>
    </w:p>
  </w:footnote>
  <w:footnote w:id="5">
    <w:p>
      <w:pPr>
        <w:pStyle w:val="FootnoteText"/>
        <w:rPr>
          <w:rFonts w:ascii="Times New Roman" w:hAnsi="Times New Roman" w:cs="Times New Roman"/>
        </w:rPr>
      </w:pPr>
      <w:r w:rsidR="00F1062D">
        <w:rPr>
          <w:rStyle w:val="FootnoteReference"/>
          <w:rFonts w:ascii="Times New Roman" w:hAnsi="Times New Roman" w:cs="Times New Roman"/>
          <w:szCs w:val="24"/>
        </w:rPr>
        <w:t>4</w:t>
      </w:r>
      <w:r w:rsidR="00F1062D">
        <w:rPr>
          <w:rStyle w:val="DefaultParagraphFont"/>
          <w:rFonts w:ascii="Times New Roman" w:hAnsi="Times New Roman" w:cs="Times New Roman"/>
          <w:szCs w:val="24"/>
        </w:rPr>
        <w:t>) §23 zákona Národnej rady Slovenskej republiky č.163/2001 Z.z. o chemických látkach a chemických prípravkoch v znení neskorších predpisov, Výnos Ministerstva hospodárstva č.2/2002 Z.z. na vykonanie zákona č.163/2001 Z.z. o chemických látkach a chemických prípravkoch v znení neskorších predpisov.</w:t>
      </w:r>
    </w:p>
  </w:footnote>
  <w:footnote w:id="6">
    <w:p>
      <w:pPr>
        <w:pStyle w:val="FootnoteText"/>
        <w:rPr>
          <w:rFonts w:ascii="Times New Roman" w:hAnsi="Times New Roman" w:cs="Times New Roman"/>
        </w:rPr>
      </w:pPr>
      <w:r w:rsidR="00F1062D">
        <w:rPr>
          <w:rStyle w:val="FootnoteReference"/>
          <w:rFonts w:ascii="Times New Roman" w:hAnsi="Times New Roman" w:cs="Times New Roman"/>
          <w:szCs w:val="24"/>
        </w:rPr>
        <w:t>5)</w:t>
      </w:r>
      <w:r w:rsidR="00F1062D">
        <w:rPr>
          <w:rStyle w:val="DefaultParagraphFont"/>
          <w:rFonts w:ascii="Times New Roman" w:hAnsi="Times New Roman" w:cs="Times New Roman"/>
          <w:szCs w:val="24"/>
        </w:rPr>
        <w:t xml:space="preserve"> § 24 zákona Národnej rady Slovenskej republiky č.163/2001 Z.z. o chemických látkach a chemických prípravkoch v znení neskorších predpisov,  Výnos Ministerstva hospodárstva č.2/2002 Z.z na vykonanie zákona č.163/2001 Z.z. o chemických látkach a chemických prípravkoch v znení neskorších predpisov.</w:t>
      </w:r>
    </w:p>
  </w:footnote>
  <w:footnote w:id="7">
    <w:p>
      <w:pPr>
        <w:pStyle w:val="FootnoteText"/>
        <w:rPr>
          <w:rFonts w:ascii="Times New Roman" w:hAnsi="Times New Roman" w:cs="Times New Roman"/>
        </w:rPr>
      </w:pPr>
    </w:p>
  </w:footnote>
  <w:footnote w:id="8">
    <w:p>
      <w:pPr>
        <w:pStyle w:val="FootnoteText"/>
        <w:rPr>
          <w:rFonts w:ascii="Times New Roman" w:hAnsi="Times New Roman" w:cs="Times New Roman"/>
        </w:rPr>
      </w:pPr>
    </w:p>
  </w:footnote>
  <w:footnote w:id="9">
    <w:p>
      <w:pPr>
        <w:pStyle w:val="FootnoteText"/>
        <w:rPr>
          <w:rFonts w:ascii="Times New Roman" w:hAnsi="Times New Roman" w:cs="Times New Roman"/>
        </w:rPr>
      </w:pPr>
      <w:r w:rsidR="00F1062D">
        <w:rPr>
          <w:rStyle w:val="FootnoteReference"/>
          <w:rFonts w:ascii="Times New Roman" w:hAnsi="Times New Roman" w:cs="Times New Roman"/>
          <w:szCs w:val="24"/>
        </w:rPr>
        <w:t>6)</w:t>
      </w:r>
      <w:r w:rsidR="00F1062D">
        <w:rPr>
          <w:rStyle w:val="DefaultParagraphFont"/>
          <w:rFonts w:ascii="Times New Roman" w:hAnsi="Times New Roman" w:cs="Times New Roman"/>
          <w:szCs w:val="24"/>
        </w:rPr>
        <w:t xml:space="preserve"> Nariadenie vlády Slovenskej republiky č. 355/2006 Z. z. o ochrane zdravia zamestnancov pred rizikami súvisiacimi s expozíciou chemickým faktorom pri </w:t>
      </w:r>
      <w:r w:rsidR="00F1062D">
        <w:rPr>
          <w:rStyle w:val="DefaultParagraphFont"/>
          <w:rFonts w:ascii="Times New Roman" w:hAnsi="Times New Roman" w:cs="Times New Roman"/>
          <w:szCs w:val="24"/>
        </w:rPr>
        <w:t>práci.</w:t>
      </w:r>
    </w:p>
  </w:footnote>
  <w:footnote w:id="10">
    <w:p>
      <w:pPr>
        <w:pStyle w:val="FootnoteText"/>
        <w:rPr>
          <w:rFonts w:ascii="Times New Roman" w:hAnsi="Times New Roman" w:cs="Times New Roman"/>
        </w:rPr>
      </w:pPr>
    </w:p>
  </w:footnote>
  <w:footnote w:id="11">
    <w:p>
      <w:pPr>
        <w:pStyle w:val="FootnoteText"/>
        <w:rPr>
          <w:rFonts w:ascii="Times New Roman" w:hAnsi="Times New Roman" w:cs="Times New Roman"/>
        </w:rPr>
      </w:pPr>
      <w:r w:rsidR="00F1062D">
        <w:rPr>
          <w:rStyle w:val="FootnoteReference"/>
          <w:rFonts w:ascii="Times New Roman" w:hAnsi="Times New Roman" w:cs="Times New Roman"/>
          <w:szCs w:val="24"/>
        </w:rPr>
        <w:t>7)</w:t>
      </w:r>
      <w:r w:rsidR="00F1062D">
        <w:rPr>
          <w:rStyle w:val="DefaultParagraphFont"/>
          <w:rFonts w:ascii="Times New Roman" w:hAnsi="Times New Roman" w:cs="Times New Roman"/>
          <w:szCs w:val="24"/>
        </w:rPr>
        <w:t xml:space="preserve"> Zákon č. 126/2006 Z.z. o verejnom zdravotníctve, zákon č. 125/2006 Z.z. o inšpekcii práce.</w:t>
      </w:r>
    </w:p>
  </w:footnote>
  <w:footnote w:id="12">
    <w:p>
      <w:pPr>
        <w:pStyle w:val="FootnoteText"/>
        <w:jc w:val="both"/>
        <w:rPr>
          <w:rFonts w:ascii="Times New Roman" w:hAnsi="Times New Roman" w:cs="Times New Roman"/>
        </w:rPr>
      </w:pPr>
      <w:r w:rsidR="00F1062D">
        <w:rPr>
          <w:rStyle w:val="FootnoteReference"/>
          <w:rFonts w:ascii="Times New Roman" w:hAnsi="Times New Roman" w:cs="Times New Roman"/>
          <w:szCs w:val="24"/>
        </w:rPr>
        <w:t>8)</w:t>
      </w:r>
      <w:r w:rsidR="00F1062D">
        <w:rPr>
          <w:rStyle w:val="DefaultParagraphFont"/>
          <w:rFonts w:ascii="Times New Roman" w:hAnsi="Times New Roman" w:cs="Times New Roman"/>
          <w:szCs w:val="24"/>
        </w:rPr>
        <w:t xml:space="preserve"> Nariadenie vlády Slovenskej republiky č.272/2004 Z.z, ktorým sa ustanovuje zoznam prác a pracovísk, ktoré sú zakázané tehotným ženám, matkám do konca deviateho mesiaca po pôrode a dojčiacim ženám, zoznam prác a pracovísk spojených so špecifickým rizikom pre tehotné ženy, matky do konca deviateho mesiaca po pôrode a pre dojčiace ženy, a ktorým sa ustanovujú niektoré povinnosti zamestnávateľom pri zamestnávaní týchto žien.</w:t>
      </w:r>
    </w:p>
  </w:footnote>
  <w:footnote w:id="13">
    <w:p>
      <w:pPr>
        <w:pStyle w:val="FootnoteText"/>
        <w:jc w:val="both"/>
        <w:rPr>
          <w:rFonts w:ascii="Times New Roman" w:hAnsi="Times New Roman" w:cs="Times New Roman"/>
        </w:rPr>
      </w:pPr>
      <w:r w:rsidR="00F1062D">
        <w:rPr>
          <w:rStyle w:val="FootnoteReference"/>
          <w:rFonts w:ascii="Times New Roman" w:hAnsi="Times New Roman" w:cs="Times New Roman"/>
          <w:szCs w:val="24"/>
        </w:rPr>
        <w:t>9)</w:t>
      </w:r>
      <w:r w:rsidR="00F1062D">
        <w:rPr>
          <w:rStyle w:val="DefaultParagraphFont"/>
          <w:rFonts w:ascii="Times New Roman" w:hAnsi="Times New Roman" w:cs="Times New Roman"/>
          <w:szCs w:val="24"/>
        </w:rPr>
        <w:t xml:space="preserve"> Nariadenie vlády Slovenskej republiky č.286/2004 Z.z., ktorým sa ustanovuje zoznam prác a pracovísk, ktoré sú zakázané mladistvým zamestnancom, a ktorým sa ustanovujú niektoré  povinnosti zamestnávateľom pri zamestnávaní mladistvých  zamestnancov.</w:t>
      </w:r>
    </w:p>
  </w:footnote>
  <w:footnote w:id="14">
    <w:p>
      <w:pPr>
        <w:pStyle w:val="FootnoteText"/>
        <w:rPr>
          <w:rFonts w:ascii="Times New Roman" w:hAnsi="Times New Roman" w:cs="Times New Roman"/>
        </w:rPr>
      </w:pPr>
      <w:r w:rsidR="00F1062D">
        <w:rPr>
          <w:rStyle w:val="FootnoteReference"/>
          <w:rFonts w:ascii="Times New Roman" w:hAnsi="Times New Roman" w:cs="Times New Roman"/>
          <w:szCs w:val="24"/>
        </w:rPr>
        <w:t>10)</w:t>
      </w:r>
      <w:r w:rsidR="00F1062D">
        <w:rPr>
          <w:rStyle w:val="DefaultParagraphFont"/>
          <w:rFonts w:ascii="Times New Roman" w:hAnsi="Times New Roman" w:cs="Times New Roman"/>
          <w:szCs w:val="24"/>
        </w:rPr>
        <w:t xml:space="preserve"> Zákon č. 126/2006 Z.z., zákon č. 124/2006 Z.z. </w:t>
      </w:r>
    </w:p>
  </w:footnote>
  <w:footnote w:id="15">
    <w:p>
      <w:pPr>
        <w:pStyle w:val="FootnoteText"/>
        <w:rPr>
          <w:rFonts w:ascii="Times New Roman" w:hAnsi="Times New Roman" w:cs="Times New Roman"/>
        </w:rPr>
      </w:pPr>
      <w:r w:rsidR="00DF0E18">
        <w:rPr>
          <w:rStyle w:val="FootnoteReference"/>
          <w:rFonts w:ascii="Times New Roman" w:hAnsi="Times New Roman" w:cs="Times New Roman"/>
          <w:szCs w:val="24"/>
        </w:rPr>
        <w:t>42</w:t>
      </w:r>
      <w:r w:rsidR="00DF0E18">
        <w:rPr>
          <w:rStyle w:val="DefaultParagraphFont"/>
          <w:rFonts w:ascii="Times New Roman" w:hAnsi="Times New Roman" w:cs="Times New Roman"/>
          <w:szCs w:val="24"/>
        </w:rPr>
        <w:t xml:space="preserve">) </w:t>
      </w:r>
      <w:r w:rsidR="00DF0E18">
        <w:rPr>
          <w:rStyle w:val="DefaultParagraphFont"/>
          <w:rFonts w:ascii="Times New Roman" w:hAnsi="Times New Roman" w:cs="Times New Roman"/>
          <w:szCs w:val="24"/>
        </w:rPr>
        <w:t>Nariadenie vlády Slovenskej republiky č. 356/2006 Z.z. o ochrane zamestnancov pred rizikami súvisiacimi s expozíciou karcinogénnym a mutagénnym faktorom pri práci.</w:t>
      </w:r>
    </w:p>
  </w:footnote>
  <w:footnote w:id="16">
    <w:p w:rsidR="00F1062D">
      <w:pPr>
        <w:pStyle w:val="FootnoteText"/>
        <w:ind w:hanging="180"/>
        <w:rPr>
          <w:rStyle w:val="DefaultParagraphFont"/>
          <w:rFonts w:ascii="Times New Roman" w:hAnsi="Times New Roman" w:cs="Times New Roman"/>
          <w:szCs w:val="24"/>
        </w:rPr>
      </w:pPr>
      <w:r>
        <w:rPr>
          <w:rStyle w:val="FootnoteReference"/>
          <w:rFonts w:ascii="Times New Roman" w:hAnsi="Times New Roman" w:cs="Times New Roman"/>
          <w:szCs w:val="24"/>
        </w:rPr>
        <w:t>11)</w:t>
      </w:r>
      <w:r>
        <w:rPr>
          <w:rStyle w:val="DefaultParagraphFont"/>
          <w:rFonts w:ascii="Times New Roman" w:hAnsi="Times New Roman" w:cs="Times New Roman"/>
          <w:szCs w:val="24"/>
        </w:rPr>
        <w:t xml:space="preserve"> Nariadenie vlády Slovenskej republiky č. 387/2006 Z.z. o požiadavkách na zaistenie bezpečnostného a zdravotného označenia pri práci.</w:t>
      </w:r>
    </w:p>
    <w:p>
      <w:pPr>
        <w:pStyle w:val="FootnoteText"/>
        <w:ind w:hanging="180"/>
        <w:rPr>
          <w:rFonts w:ascii="Times New Roman" w:hAnsi="Times New Roman" w:cs="Times New Roman"/>
        </w:rPr>
      </w:pPr>
    </w:p>
  </w:footnote>
  <w:footnote w:id="17">
    <w:p w:rsidR="00F1062D">
      <w:pPr>
        <w:pStyle w:val="FootnoteText"/>
        <w:rPr>
          <w:rStyle w:val="DefaultParagraphFont"/>
          <w:rFonts w:ascii="Times New Roman" w:hAnsi="Times New Roman" w:cs="Times New Roman"/>
          <w:szCs w:val="24"/>
        </w:rPr>
      </w:pPr>
      <w:r>
        <w:rPr>
          <w:rStyle w:val="FootnoteReference"/>
          <w:rFonts w:ascii="Times New Roman" w:hAnsi="Times New Roman" w:cs="Times New Roman"/>
          <w:szCs w:val="24"/>
        </w:rPr>
        <w:t>12)</w:t>
      </w:r>
      <w:r>
        <w:rPr>
          <w:rStyle w:val="DefaultParagraphFont"/>
          <w:rFonts w:ascii="Times New Roman" w:hAnsi="Times New Roman" w:cs="Times New Roman"/>
          <w:szCs w:val="24"/>
        </w:rPr>
        <w:t xml:space="preserve"> § 10 ods. 4 písm g) zákona č. 126/2006 Z.z.</w:t>
      </w:r>
    </w:p>
    <w:p>
      <w:pPr>
        <w:pStyle w:val="FootnoteText"/>
        <w:rPr>
          <w:rFonts w:ascii="Times New Roman" w:hAnsi="Times New Roman" w:cs="Times New Roman"/>
        </w:rPr>
      </w:pPr>
    </w:p>
  </w:footnote>
  <w:footnote w:id="18">
    <w:p>
      <w:pPr>
        <w:pStyle w:val="FootnoteText"/>
        <w:numPr>
          <w:ilvl w:val="0"/>
          <w:numId w:val="72"/>
        </w:numPr>
        <w:rPr>
          <w:rFonts w:ascii="Times New Roman" w:hAnsi="Times New Roman" w:cs="Times New Roman"/>
        </w:rPr>
      </w:pPr>
      <w:r w:rsidR="00F1062D">
        <w:rPr>
          <w:rStyle w:val="FootnoteReference"/>
          <w:rFonts w:ascii="Times New Roman" w:hAnsi="Times New Roman" w:cs="Times New Roman"/>
          <w:szCs w:val="24"/>
        </w:rPr>
        <w:t>13)</w:t>
      </w:r>
      <w:r w:rsidR="00F1062D">
        <w:rPr>
          <w:rStyle w:val="DefaultParagraphFont"/>
          <w:rFonts w:ascii="Times New Roman" w:hAnsi="Times New Roman" w:cs="Times New Roman"/>
          <w:szCs w:val="24"/>
        </w:rPr>
        <w:t xml:space="preserve"> Nariadenie vlády Slovenskej republiky č. 395/2006 Z.z. o minimálnych požiadavkách  na poskytovanie a používanie osobných ochranných pracovných prostriedkov.</w:t>
      </w:r>
    </w:p>
  </w:footnote>
  <w:footnote w:id="19">
    <w:p>
      <w:pPr>
        <w:pStyle w:val="FootnoteText"/>
        <w:rPr>
          <w:rFonts w:ascii="Times New Roman" w:hAnsi="Times New Roman" w:cs="Times New Roman"/>
        </w:rPr>
      </w:pPr>
      <w:r w:rsidR="00F1062D">
        <w:rPr>
          <w:rStyle w:val="FootnoteReference"/>
          <w:rFonts w:ascii="Times New Roman" w:hAnsi="Times New Roman" w:cs="Times New Roman"/>
          <w:szCs w:val="24"/>
        </w:rPr>
        <w:t>14)</w:t>
      </w:r>
      <w:r w:rsidR="00F1062D">
        <w:rPr>
          <w:rStyle w:val="DefaultParagraphFont"/>
          <w:rFonts w:ascii="Times New Roman" w:hAnsi="Times New Roman" w:cs="Times New Roman"/>
          <w:szCs w:val="24"/>
        </w:rPr>
        <w:t xml:space="preserve"> Nariadenie vlády Slovenskej republiky č. 391/2006 Z.z. o minimálnych bezpečnostných a zdravotných požiadavkách na pracovisko.</w:t>
      </w:r>
    </w:p>
  </w:footnote>
  <w:footnote w:id="20">
    <w:p>
      <w:pPr>
        <w:pStyle w:val="FootnoteText"/>
        <w:rPr>
          <w:rFonts w:ascii="Times New Roman" w:hAnsi="Times New Roman" w:cs="Times New Roman"/>
        </w:rPr>
      </w:pPr>
    </w:p>
  </w:footnote>
  <w:footnote w:id="21">
    <w:p>
      <w:pPr>
        <w:pStyle w:val="FootnoteText"/>
        <w:rPr>
          <w:rFonts w:ascii="Times New Roman" w:hAnsi="Times New Roman" w:cs="Times New Roman"/>
        </w:rPr>
      </w:pPr>
      <w:r w:rsidR="00F1062D">
        <w:rPr>
          <w:rStyle w:val="FootnoteReference"/>
          <w:rFonts w:ascii="Times New Roman" w:hAnsi="Times New Roman" w:cs="Times New Roman"/>
          <w:szCs w:val="24"/>
        </w:rPr>
        <w:t>15)</w:t>
      </w:r>
      <w:r w:rsidR="00F1062D">
        <w:rPr>
          <w:rStyle w:val="DefaultParagraphFont"/>
          <w:rFonts w:ascii="Times New Roman" w:hAnsi="Times New Roman" w:cs="Times New Roman"/>
          <w:szCs w:val="24"/>
        </w:rPr>
        <w:t xml:space="preserve"> § 10 zákona č. 124/2006 Z.z. </w:t>
      </w:r>
    </w:p>
  </w:footnote>
  <w:footnote w:id="22">
    <w:p w:rsidR="00F1062D">
      <w:pPr>
        <w:pStyle w:val="FootnoteText"/>
        <w:rPr>
          <w:rStyle w:val="DefaultParagraphFont"/>
          <w:rFonts w:ascii="Times New Roman" w:hAnsi="Times New Roman" w:cs="Times New Roman"/>
          <w:szCs w:val="24"/>
        </w:rPr>
      </w:pPr>
      <w:r>
        <w:rPr>
          <w:rStyle w:val="FootnoteReference"/>
          <w:rFonts w:ascii="Times New Roman" w:hAnsi="Times New Roman" w:cs="Times New Roman"/>
          <w:szCs w:val="24"/>
        </w:rPr>
        <w:t>16)</w:t>
      </w:r>
      <w:r>
        <w:rPr>
          <w:rStyle w:val="DefaultParagraphFont"/>
          <w:rFonts w:ascii="Times New Roman" w:hAnsi="Times New Roman" w:cs="Times New Roman"/>
          <w:szCs w:val="24"/>
        </w:rPr>
        <w:t xml:space="preserve"> § 7, § 26 zákona č. 124/2006 Z.z. </w:t>
      </w:r>
    </w:p>
    <w:p>
      <w:pPr>
        <w:pStyle w:val="FootnoteText"/>
        <w:rPr>
          <w:rFonts w:ascii="Times New Roman" w:hAnsi="Times New Roman" w:cs="Times New Roman"/>
        </w:rPr>
      </w:pPr>
    </w:p>
  </w:footnote>
  <w:footnote w:id="23">
    <w:p>
      <w:pPr>
        <w:pStyle w:val="FootnoteText"/>
        <w:rPr>
          <w:rFonts w:ascii="Times New Roman" w:hAnsi="Times New Roman" w:cs="Times New Roman"/>
        </w:rPr>
      </w:pPr>
      <w:r w:rsidR="00F1062D">
        <w:rPr>
          <w:rStyle w:val="FootnoteReference"/>
          <w:rFonts w:ascii="Times New Roman" w:hAnsi="Times New Roman" w:cs="Times New Roman"/>
          <w:szCs w:val="24"/>
        </w:rPr>
        <w:t>17)</w:t>
      </w:r>
      <w:r w:rsidR="00F1062D">
        <w:rPr>
          <w:rStyle w:val="DefaultParagraphFont"/>
          <w:rFonts w:ascii="Times New Roman" w:hAnsi="Times New Roman" w:cs="Times New Roman"/>
          <w:szCs w:val="24"/>
        </w:rPr>
        <w:t xml:space="preserve"> § 19 zákona č. 576/2004 Z.z. o zdravotnej starostlivosti, službách súvisiacich s poskytovaním zdravotnej starostlivosti </w:t>
      </w:r>
      <w:r w:rsidR="00F1062D">
        <w:rPr>
          <w:rStyle w:val="DefaultParagraphFont"/>
          <w:rFonts w:ascii="Times New Roman" w:hAnsi="Times New Roman" w:cs="Times New Roman"/>
          <w:szCs w:val="24"/>
        </w:rPr>
        <w:t>v znení neskorších predpisov.</w:t>
      </w:r>
    </w:p>
  </w:footnote>
  <w:footnote w:id="24">
    <w:p>
      <w:pPr>
        <w:pStyle w:val="FootnoteText"/>
        <w:rPr>
          <w:rFonts w:ascii="Times New Roman" w:hAnsi="Times New Roman" w:cs="Times New Roman"/>
        </w:rPr>
      </w:pPr>
    </w:p>
  </w:footnote>
  <w:footnote w:id="25">
    <w:p w:rsidR="00F1062D">
      <w:pPr>
        <w:jc w:val="both"/>
        <w:rPr>
          <w:rStyle w:val="DefaultParagraphFont"/>
          <w:rFonts w:ascii="Times New Roman" w:hAnsi="Times New Roman" w:cs="Times New Roman"/>
          <w:sz w:val="20"/>
          <w:szCs w:val="24"/>
        </w:rPr>
      </w:pPr>
      <w:r>
        <w:rPr>
          <w:rStyle w:val="FootnoteReference"/>
          <w:rFonts w:ascii="Times New Roman" w:hAnsi="Times New Roman" w:cs="Times New Roman"/>
          <w:sz w:val="20"/>
          <w:szCs w:val="24"/>
        </w:rPr>
        <w:footnoteRef/>
      </w:r>
      <w:r>
        <w:rPr>
          <w:rStyle w:val="DefaultParagraphFont"/>
          <w:rFonts w:ascii="Times New Roman" w:hAnsi="Times New Roman" w:cs="Times New Roman"/>
          <w:sz w:val="20"/>
          <w:szCs w:val="24"/>
        </w:rPr>
        <w:t xml:space="preserve"> Naria</w:t>
      </w:r>
      <w:r>
        <w:rPr>
          <w:rStyle w:val="DefaultParagraphFont"/>
          <w:rFonts w:ascii="Times New Roman" w:hAnsi="Times New Roman" w:cs="Times New Roman"/>
          <w:sz w:val="20"/>
          <w:szCs w:val="24"/>
        </w:rPr>
        <w:t>denie vlády Slovenskej republiky č 355/2006 Z.z. o ochrane zdravia pred rizikami spojenými s expozíciou chemickým  faktorom pri práci</w:t>
      </w:r>
    </w:p>
    <w:p>
      <w:pPr>
        <w:jc w:val="both"/>
        <w:rPr>
          <w:rFonts w:ascii="Times New Roman" w:hAnsi="Times New Roman" w:cs="Times New Roman"/>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4"/>
    <w:lvl w:ilvl="0">
      <w:start w:val="2"/>
      <w:numFmt w:val="lowerLetter"/>
      <w:suff w:val="nothing"/>
      <w:lvlText w:val="%1)"/>
      <w:lvlJc w:val="left"/>
      <w:pPr>
        <w:ind w:left="360" w:hanging="360"/>
      </w:pPr>
    </w:lvl>
  </w:abstractNum>
  <w:abstractNum w:abstractNumId="1">
    <w:nsid w:val="00000002"/>
    <w:multiLevelType w:val="singleLevel"/>
    <w:tmpl w:val="00000002"/>
    <w:name w:val="WW8Num8"/>
    <w:lvl w:ilvl="0">
      <w:start w:val="1"/>
      <w:numFmt w:val="lowerLetter"/>
      <w:suff w:val="nothing"/>
      <w:lvlText w:val="%1)"/>
      <w:lvlJc w:val="left"/>
      <w:pPr>
        <w:ind w:left="735" w:hanging="375"/>
      </w:pPr>
    </w:lvl>
  </w:abstractNum>
  <w:abstractNum w:abstractNumId="2">
    <w:nsid w:val="00000003"/>
    <w:multiLevelType w:val="singleLevel"/>
    <w:tmpl w:val="00000003"/>
    <w:name w:val="WW8Num9"/>
    <w:lvl w:ilvl="0">
      <w:start w:val="2"/>
      <w:numFmt w:val="bullet"/>
      <w:suff w:val="nothing"/>
      <w:lvlText w:val="-"/>
      <w:lvlJc w:val="left"/>
      <w:pPr>
        <w:ind w:left="360" w:hanging="360"/>
      </w:pPr>
      <w:rPr>
        <w:rFonts w:ascii="StarSymbol" w:hAnsi="StarSymbol"/>
        <w:rtl w:val="0"/>
      </w:rPr>
    </w:lvl>
  </w:abstractNum>
  <w:abstractNum w:abstractNumId="3">
    <w:nsid w:val="00000004"/>
    <w:multiLevelType w:val="multilevel"/>
    <w:tmpl w:val="00000004"/>
    <w:name w:val="WW8Num10"/>
    <w:lvl w:ilvl="0">
      <w:start w:val="7"/>
      <w:numFmt w:val="lowerLetter"/>
      <w:suff w:val="nothing"/>
      <w:lvlText w:val="%1)"/>
      <w:lvlJc w:val="left"/>
      <w:pPr>
        <w:ind w:left="36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4">
    <w:nsid w:val="00000005"/>
    <w:multiLevelType w:val="singleLevel"/>
    <w:tmpl w:val="00000005"/>
    <w:name w:val="WW8Num12"/>
    <w:lvl w:ilvl="0">
      <w:start w:val="1"/>
      <w:numFmt w:val="lowerLetter"/>
      <w:suff w:val="nothing"/>
      <w:lvlText w:val="%1)"/>
      <w:lvlJc w:val="left"/>
      <w:pPr>
        <w:ind w:left="360" w:hanging="360"/>
      </w:pPr>
    </w:lvl>
  </w:abstractNum>
  <w:abstractNum w:abstractNumId="5">
    <w:nsid w:val="00000007"/>
    <w:multiLevelType w:val="singleLevel"/>
    <w:tmpl w:val="00000007"/>
    <w:name w:val="WW8Num14"/>
    <w:lvl w:ilvl="0">
      <w:start w:val="1"/>
      <w:numFmt w:val="decimal"/>
      <w:suff w:val="nothing"/>
      <w:lvlText w:val="(%1) "/>
      <w:lvlJc w:val="left"/>
      <w:pPr>
        <w:ind w:left="283" w:hanging="283"/>
      </w:pPr>
      <w:rPr>
        <w:b w:val="0"/>
        <w:i w:val="0"/>
        <w:sz w:val="24"/>
        <w:rtl w:val="0"/>
      </w:rPr>
    </w:lvl>
  </w:abstractNum>
  <w:abstractNum w:abstractNumId="6">
    <w:nsid w:val="00000008"/>
    <w:multiLevelType w:val="singleLevel"/>
    <w:tmpl w:val="00000008"/>
    <w:name w:val="WW8Num15"/>
    <w:lvl w:ilvl="0">
      <w:start w:val="1"/>
      <w:numFmt w:val="lowerLetter"/>
      <w:suff w:val="nothing"/>
      <w:lvlText w:val="%1)"/>
      <w:lvlJc w:val="left"/>
      <w:pPr>
        <w:ind w:left="360" w:hanging="360"/>
      </w:pPr>
    </w:lvl>
  </w:abstractNum>
  <w:abstractNum w:abstractNumId="7">
    <w:nsid w:val="00000009"/>
    <w:multiLevelType w:val="singleLevel"/>
    <w:tmpl w:val="00000009"/>
    <w:name w:val="WW8Num16"/>
    <w:lvl w:ilvl="0">
      <w:start w:val="1"/>
      <w:numFmt w:val="lowerRoman"/>
      <w:suff w:val="nothing"/>
      <w:lvlText w:val="(%1)"/>
      <w:lvlJc w:val="left"/>
      <w:pPr>
        <w:ind w:left="720" w:hanging="720"/>
      </w:pPr>
    </w:lvl>
  </w:abstractNum>
  <w:abstractNum w:abstractNumId="8">
    <w:nsid w:val="0000000A"/>
    <w:multiLevelType w:val="multilevel"/>
    <w:tmpl w:val="0000000A"/>
    <w:name w:val="WW8Num17"/>
    <w:lvl w:ilvl="0">
      <w:start w:val="1"/>
      <w:numFmt w:val="none"/>
      <w:suff w:val="nothing"/>
      <w:lvlJc w:val="left"/>
      <w:pPr>
        <w:ind w:left="0"/>
      </w:pPr>
    </w:lvl>
    <w:lvl w:ilvl="1">
      <w:start w:val="1"/>
      <w:numFmt w:val="none"/>
      <w:suff w:val="nothing"/>
      <w:lvlJc w:val="left"/>
      <w:pPr>
        <w:ind w:left="0"/>
      </w:pPr>
    </w:lvl>
    <w:lvl w:ilvl="2">
      <w:start w:val="1"/>
      <w:numFmt w:val="none"/>
      <w:suff w:val="nothing"/>
      <w:lvlJc w:val="left"/>
      <w:pPr>
        <w:ind w:left="0"/>
      </w:pPr>
    </w:lvl>
    <w:lvl w:ilvl="3">
      <w:start w:val="1"/>
      <w:numFmt w:val="none"/>
      <w:suff w:val="nothing"/>
      <w:lvlJc w:val="left"/>
      <w:pPr>
        <w:ind w:left="0"/>
      </w:pPr>
    </w:lvl>
    <w:lvl w:ilvl="4">
      <w:start w:val="1"/>
      <w:numFmt w:val="none"/>
      <w:suff w:val="nothing"/>
      <w:lvlJc w:val="left"/>
      <w:pPr>
        <w:ind w:left="0"/>
      </w:pPr>
    </w:lvl>
    <w:lvl w:ilvl="5">
      <w:start w:val="1"/>
      <w:numFmt w:val="none"/>
      <w:suff w:val="nothing"/>
      <w:lvlJc w:val="left"/>
      <w:pPr>
        <w:ind w:left="0"/>
      </w:pPr>
    </w:lvl>
    <w:lvl w:ilvl="6">
      <w:start w:val="1"/>
      <w:numFmt w:val="none"/>
      <w:suff w:val="nothing"/>
      <w:lvlJc w:val="left"/>
      <w:pPr>
        <w:ind w:left="0"/>
      </w:pPr>
    </w:lvl>
    <w:lvl w:ilvl="7">
      <w:start w:val="1"/>
      <w:numFmt w:val="none"/>
      <w:suff w:val="nothing"/>
      <w:lvlJc w:val="left"/>
      <w:pPr>
        <w:ind w:left="0"/>
      </w:pPr>
    </w:lvl>
    <w:lvl w:ilvl="8">
      <w:start w:val="1"/>
      <w:numFmt w:val="none"/>
      <w:suff w:val="nothing"/>
      <w:lvlJc w:val="left"/>
      <w:pPr>
        <w:ind w:left="0"/>
      </w:pPr>
    </w:lvl>
  </w:abstractNum>
  <w:abstractNum w:abstractNumId="9">
    <w:nsid w:val="025B7E4E"/>
    <w:multiLevelType w:val="multilevel"/>
    <w:tmpl w:val="85EC4AC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0">
    <w:nsid w:val="02EE06AD"/>
    <w:multiLevelType w:val="multilevel"/>
    <w:tmpl w:val="457AB7E6"/>
    <w:lvl w:ilvl="0">
      <w:start w:val="1"/>
      <w:numFmt w:val="decimal"/>
      <w:lvlText w:val="(%1)"/>
      <w:lvlJc w:val="left"/>
      <w:pPr>
        <w:tabs>
          <w:tab w:val="num" w:pos="720"/>
        </w:tabs>
        <w:ind w:left="0" w:firstLine="360"/>
      </w:pPr>
      <w:rPr>
        <w:b w:val="0"/>
        <w:i w:val="0"/>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5E3175C"/>
    <w:multiLevelType w:val="multilevel"/>
    <w:tmpl w:val="BFEC551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9443199"/>
    <w:multiLevelType w:val="singleLevel"/>
    <w:tmpl w:val="EE04CE3E"/>
    <w:lvl w:ilvl="0">
      <w:start w:val="1"/>
      <w:numFmt w:val="lowerLetter"/>
      <w:lvlText w:val="%1)"/>
      <w:lvlJc w:val="left"/>
      <w:pPr>
        <w:tabs>
          <w:tab w:val="num" w:pos="465"/>
        </w:tabs>
        <w:ind w:left="465" w:hanging="465"/>
      </w:pPr>
      <w:rPr>
        <w:rFonts w:ascii="Times New Roman" w:hAnsi="Times New Roman"/>
        <w:rtl w:val="0"/>
      </w:rPr>
    </w:lvl>
  </w:abstractNum>
  <w:abstractNum w:abstractNumId="13">
    <w:nsid w:val="11773E29"/>
    <w:multiLevelType w:val="singleLevel"/>
    <w:tmpl w:val="B75E3EB6"/>
    <w:lvl w:ilvl="0">
      <w:start w:val="3"/>
      <w:numFmt w:val="decimal"/>
      <w:lvlText w:val="%1."/>
      <w:lvlJc w:val="left"/>
      <w:pPr>
        <w:tabs>
          <w:tab w:val="num" w:pos="420"/>
        </w:tabs>
        <w:ind w:left="420" w:hanging="420"/>
      </w:pPr>
    </w:lvl>
  </w:abstractNum>
  <w:abstractNum w:abstractNumId="14">
    <w:nsid w:val="139C7ADB"/>
    <w:multiLevelType w:val="singleLevel"/>
    <w:tmpl w:val="041B0017"/>
    <w:lvl w:ilvl="0">
      <w:start w:val="1"/>
      <w:numFmt w:val="lowerLetter"/>
      <w:lvlText w:val="%1)"/>
      <w:lvlJc w:val="left"/>
      <w:pPr>
        <w:tabs>
          <w:tab w:val="num" w:pos="360"/>
        </w:tabs>
        <w:ind w:left="360" w:hanging="360"/>
      </w:pPr>
    </w:lvl>
  </w:abstractNum>
  <w:abstractNum w:abstractNumId="15">
    <w:nsid w:val="14B348BA"/>
    <w:multiLevelType w:val="singleLevel"/>
    <w:tmpl w:val="180264F6"/>
    <w:lvl w:ilvl="0">
      <w:start w:val="1"/>
      <w:numFmt w:val="lowerLetter"/>
      <w:lvlText w:val="%1)"/>
      <w:lvlJc w:val="left"/>
      <w:pPr>
        <w:tabs>
          <w:tab w:val="num" w:pos="360"/>
        </w:tabs>
        <w:ind w:left="360" w:hanging="360"/>
      </w:pPr>
      <w:rPr>
        <w:sz w:val="20"/>
        <w:rtl w:val="0"/>
      </w:rPr>
    </w:lvl>
  </w:abstractNum>
  <w:abstractNum w:abstractNumId="16">
    <w:nsid w:val="18936F40"/>
    <w:multiLevelType w:val="multilevel"/>
    <w:tmpl w:val="976EE30A"/>
    <w:lvl w:ilvl="0">
      <w:start w:val="1"/>
      <w:numFmt w:val="decimal"/>
      <w:lvlText w:val="(%1)"/>
      <w:lvlJc w:val="left"/>
      <w:pPr>
        <w:tabs>
          <w:tab w:val="num" w:pos="720"/>
        </w:tabs>
        <w:ind w:left="0" w:firstLine="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1B9B4CD7"/>
    <w:multiLevelType w:val="singleLevel"/>
    <w:tmpl w:val="5728EEB0"/>
    <w:lvl w:ilvl="0">
      <w:start w:val="1"/>
      <w:numFmt w:val="lowerLetter"/>
      <w:lvlText w:val="%1)"/>
      <w:lvlJc w:val="left"/>
      <w:pPr>
        <w:tabs>
          <w:tab w:val="num" w:pos="360"/>
        </w:tabs>
        <w:ind w:left="360" w:hanging="360"/>
      </w:pPr>
    </w:lvl>
  </w:abstractNum>
  <w:abstractNum w:abstractNumId="18">
    <w:nsid w:val="1F3F7BBB"/>
    <w:multiLevelType w:val="multilevel"/>
    <w:tmpl w:val="160E93E6"/>
    <w:lvl w:ilvl="0">
      <w:start w:val="1"/>
      <w:numFmt w:val="lowerLetter"/>
      <w:lvlText w:val="%1)"/>
      <w:lvlJc w:val="left"/>
      <w:pPr>
        <w:tabs>
          <w:tab w:val="num" w:pos="360"/>
        </w:tabs>
        <w:ind w:left="360" w:hanging="360"/>
      </w:pPr>
      <w:rPr>
        <w:sz w:val="20"/>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244C3B8D"/>
    <w:multiLevelType w:val="singleLevel"/>
    <w:tmpl w:val="1972A15A"/>
    <w:lvl w:ilvl="0">
      <w:start w:val="1"/>
      <w:numFmt w:val="lowerLetter"/>
      <w:lvlText w:val="%1)"/>
      <w:lvlJc w:val="left"/>
      <w:pPr>
        <w:tabs>
          <w:tab w:val="num" w:pos="360"/>
        </w:tabs>
        <w:ind w:left="360" w:hanging="360"/>
      </w:pPr>
    </w:lvl>
  </w:abstractNum>
  <w:abstractNum w:abstractNumId="20">
    <w:nsid w:val="26F3055C"/>
    <w:multiLevelType w:val="multilevel"/>
    <w:tmpl w:val="2416E95E"/>
    <w:lvl w:ilvl="0">
      <w:start w:val="32"/>
      <w:numFmt w:val="bullet"/>
      <w:lvlText w:val="-"/>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rtl w:val="0"/>
      </w:rPr>
    </w:lvl>
    <w:lvl w:ilvl="2">
      <w:start w:val="1"/>
      <w:numFmt w:val="bullet"/>
      <w:lvlText w:val=""/>
      <w:lvlJc w:val="left"/>
      <w:pPr>
        <w:tabs>
          <w:tab w:val="num" w:pos="1800"/>
        </w:tabs>
        <w:ind w:left="1800" w:hanging="360"/>
      </w:pPr>
      <w:rPr>
        <w:rFonts w:ascii="Wingdings" w:hAnsi="Wingdings"/>
        <w:rtl w:val="0"/>
      </w:rPr>
    </w:lvl>
    <w:lvl w:ilvl="3">
      <w:start w:val="1"/>
      <w:numFmt w:val="bullet"/>
      <w:lvlText w:val=""/>
      <w:lvlJc w:val="left"/>
      <w:pPr>
        <w:tabs>
          <w:tab w:val="num" w:pos="2520"/>
        </w:tabs>
        <w:ind w:left="2520" w:hanging="360"/>
      </w:pPr>
      <w:rPr>
        <w:rFonts w:ascii="Symbol" w:hAnsi="Symbol"/>
        <w:rtl w:val="0"/>
      </w:rPr>
    </w:lvl>
    <w:lvl w:ilvl="4">
      <w:start w:val="1"/>
      <w:numFmt w:val="bullet"/>
      <w:lvlText w:val="o"/>
      <w:lvlJc w:val="left"/>
      <w:pPr>
        <w:tabs>
          <w:tab w:val="num" w:pos="3240"/>
        </w:tabs>
        <w:ind w:left="3240" w:hanging="360"/>
      </w:pPr>
      <w:rPr>
        <w:rFonts w:ascii="Courier New" w:hAnsi="Courier New"/>
        <w:rtl w:val="0"/>
      </w:rPr>
    </w:lvl>
    <w:lvl w:ilvl="5">
      <w:start w:val="1"/>
      <w:numFmt w:val="bullet"/>
      <w:lvlText w:val=""/>
      <w:lvlJc w:val="left"/>
      <w:pPr>
        <w:tabs>
          <w:tab w:val="num" w:pos="3960"/>
        </w:tabs>
        <w:ind w:left="3960" w:hanging="360"/>
      </w:pPr>
      <w:rPr>
        <w:rFonts w:ascii="Wingdings" w:hAnsi="Wingdings"/>
        <w:rtl w:val="0"/>
      </w:rPr>
    </w:lvl>
    <w:lvl w:ilvl="6">
      <w:start w:val="1"/>
      <w:numFmt w:val="bullet"/>
      <w:lvlText w:val=""/>
      <w:lvlJc w:val="left"/>
      <w:pPr>
        <w:tabs>
          <w:tab w:val="num" w:pos="4680"/>
        </w:tabs>
        <w:ind w:left="4680" w:hanging="360"/>
      </w:pPr>
      <w:rPr>
        <w:rFonts w:ascii="Symbol" w:hAnsi="Symbol"/>
        <w:rtl w:val="0"/>
      </w:rPr>
    </w:lvl>
    <w:lvl w:ilvl="7">
      <w:start w:val="1"/>
      <w:numFmt w:val="bullet"/>
      <w:lvlText w:val="o"/>
      <w:lvlJc w:val="left"/>
      <w:pPr>
        <w:tabs>
          <w:tab w:val="num" w:pos="5400"/>
        </w:tabs>
        <w:ind w:left="5400" w:hanging="360"/>
      </w:pPr>
      <w:rPr>
        <w:rFonts w:ascii="Courier New" w:hAnsi="Courier New"/>
        <w:rtl w:val="0"/>
      </w:rPr>
    </w:lvl>
    <w:lvl w:ilvl="8">
      <w:start w:val="1"/>
      <w:numFmt w:val="bullet"/>
      <w:lvlText w:val=""/>
      <w:lvlJc w:val="left"/>
      <w:pPr>
        <w:tabs>
          <w:tab w:val="num" w:pos="6120"/>
        </w:tabs>
        <w:ind w:left="6120" w:hanging="360"/>
      </w:pPr>
      <w:rPr>
        <w:rFonts w:ascii="Wingdings" w:hAnsi="Wingdings"/>
        <w:rtl w:val="0"/>
      </w:rPr>
    </w:lvl>
  </w:abstractNum>
  <w:abstractNum w:abstractNumId="21">
    <w:nsid w:val="32936D72"/>
    <w:multiLevelType w:val="multilevel"/>
    <w:tmpl w:val="EDB24D6E"/>
    <w:lvl w:ilvl="0">
      <w:start w:val="8"/>
      <w:numFmt w:val="decimal"/>
      <w:lvlText w:val="(%1)"/>
      <w:lvlJc w:val="left"/>
      <w:pPr>
        <w:tabs>
          <w:tab w:val="num" w:pos="720"/>
        </w:tabs>
        <w:ind w:left="0" w:firstLine="360"/>
      </w:pPr>
      <w:rPr>
        <w:b w:val="0"/>
        <w:i w:val="0"/>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36E77358"/>
    <w:multiLevelType w:val="multilevel"/>
    <w:tmpl w:val="19C03F34"/>
    <w:lvl w:ilvl="0">
      <w:start w:val="0"/>
      <w:numFmt w:val="bullet"/>
      <w:lvlText w:val=""/>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23">
    <w:nsid w:val="377E0EF3"/>
    <w:multiLevelType w:val="multilevel"/>
    <w:tmpl w:val="6910E9FE"/>
    <w:lvl w:ilvl="0">
      <w:start w:val="1"/>
      <w:numFmt w:val="lowerLetter"/>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4">
    <w:nsid w:val="38264757"/>
    <w:multiLevelType w:val="multilevel"/>
    <w:tmpl w:val="7DFEF3A8"/>
    <w:lvl w:ilvl="0">
      <w:start w:val="1"/>
      <w:numFmt w:val="decimal"/>
      <w:lvlText w:val="(%1)"/>
      <w:lvlJc w:val="left"/>
      <w:pPr>
        <w:tabs>
          <w:tab w:val="num" w:pos="720"/>
        </w:tabs>
        <w:ind w:left="0" w:firstLine="360"/>
      </w:pPr>
      <w:rPr>
        <w:b w:val="0"/>
        <w:i w:val="0"/>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DAB0AAA"/>
    <w:multiLevelType w:val="singleLevel"/>
    <w:tmpl w:val="8B12AA2E"/>
    <w:lvl w:ilvl="0">
      <w:start w:val="2"/>
      <w:numFmt w:val="bullet"/>
      <w:lvlText w:val="-"/>
      <w:lvlJc w:val="left"/>
      <w:pPr>
        <w:tabs>
          <w:tab w:val="num" w:pos="720"/>
        </w:tabs>
        <w:ind w:left="720" w:hanging="360"/>
      </w:pPr>
    </w:lvl>
  </w:abstractNum>
  <w:abstractNum w:abstractNumId="26">
    <w:nsid w:val="3F6D7453"/>
    <w:multiLevelType w:val="singleLevel"/>
    <w:tmpl w:val="295AB0C2"/>
    <w:lvl w:ilvl="0">
      <w:start w:val="1"/>
      <w:numFmt w:val="decimal"/>
      <w:lvlText w:val="(%1)"/>
      <w:lvlJc w:val="left"/>
      <w:pPr>
        <w:tabs>
          <w:tab w:val="num" w:pos="644"/>
        </w:tabs>
        <w:ind w:left="0" w:firstLine="284"/>
      </w:pPr>
      <w:rPr>
        <w:rFonts w:ascii="Times New Roman" w:hAnsi="Times New Roman"/>
        <w:rtl w:val="0"/>
      </w:rPr>
    </w:lvl>
  </w:abstractNum>
  <w:abstractNum w:abstractNumId="27">
    <w:nsid w:val="4245089F"/>
    <w:multiLevelType w:val="singleLevel"/>
    <w:tmpl w:val="180264F6"/>
    <w:lvl w:ilvl="0">
      <w:start w:val="1"/>
      <w:numFmt w:val="lowerLetter"/>
      <w:lvlText w:val="%1)"/>
      <w:lvlJc w:val="left"/>
      <w:pPr>
        <w:tabs>
          <w:tab w:val="num" w:pos="360"/>
        </w:tabs>
        <w:ind w:left="360" w:hanging="360"/>
      </w:pPr>
    </w:lvl>
  </w:abstractNum>
  <w:abstractNum w:abstractNumId="28">
    <w:nsid w:val="44AD64CE"/>
    <w:multiLevelType w:val="singleLevel"/>
    <w:tmpl w:val="E5D834B2"/>
    <w:lvl w:ilvl="0">
      <w:start w:val="2"/>
      <w:numFmt w:val="decimal"/>
      <w:lvlText w:val="%1."/>
      <w:lvlJc w:val="left"/>
      <w:pPr>
        <w:tabs>
          <w:tab w:val="num" w:pos="317"/>
        </w:tabs>
        <w:ind w:left="317" w:hanging="360"/>
      </w:pPr>
    </w:lvl>
  </w:abstractNum>
  <w:abstractNum w:abstractNumId="29">
    <w:nsid w:val="46C25181"/>
    <w:multiLevelType w:val="singleLevel"/>
    <w:tmpl w:val="1972A15A"/>
    <w:lvl w:ilvl="0">
      <w:start w:val="1"/>
      <w:numFmt w:val="lowerLetter"/>
      <w:lvlText w:val="%1)"/>
      <w:lvlJc w:val="left"/>
      <w:pPr>
        <w:tabs>
          <w:tab w:val="num" w:pos="360"/>
        </w:tabs>
        <w:ind w:left="360" w:hanging="360"/>
      </w:pPr>
    </w:lvl>
  </w:abstractNum>
  <w:abstractNum w:abstractNumId="30">
    <w:nsid w:val="46CF298E"/>
    <w:multiLevelType w:val="multilevel"/>
    <w:tmpl w:val="5BCAC5A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87A4548"/>
    <w:multiLevelType w:val="multilevel"/>
    <w:tmpl w:val="3F9A5BEA"/>
    <w:lvl w:ilvl="0">
      <w:start w:val="1"/>
      <w:numFmt w:val="lowerLetter"/>
      <w:lvlText w:val="%1)"/>
      <w:lvlJc w:val="left"/>
      <w:pPr>
        <w:tabs>
          <w:tab w:val="num" w:pos="360"/>
        </w:tabs>
        <w:ind w:left="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0CB515E"/>
    <w:multiLevelType w:val="singleLevel"/>
    <w:tmpl w:val="180264F6"/>
    <w:lvl w:ilvl="0">
      <w:start w:val="1"/>
      <w:numFmt w:val="lowerLetter"/>
      <w:lvlText w:val="%1)"/>
      <w:lvlJc w:val="left"/>
      <w:pPr>
        <w:tabs>
          <w:tab w:val="num" w:pos="360"/>
        </w:tabs>
        <w:ind w:left="360" w:hanging="360"/>
      </w:pPr>
    </w:lvl>
  </w:abstractNum>
  <w:abstractNum w:abstractNumId="33">
    <w:nsid w:val="51AE4A5D"/>
    <w:multiLevelType w:val="singleLevel"/>
    <w:tmpl w:val="1972A15A"/>
    <w:lvl w:ilvl="0">
      <w:start w:val="1"/>
      <w:numFmt w:val="lowerLetter"/>
      <w:lvlText w:val="%1)"/>
      <w:lvlJc w:val="left"/>
      <w:pPr>
        <w:tabs>
          <w:tab w:val="num" w:pos="360"/>
        </w:tabs>
        <w:ind w:left="360" w:hanging="360"/>
      </w:pPr>
      <w:rPr>
        <w:sz w:val="20"/>
        <w:rtl w:val="0"/>
      </w:rPr>
    </w:lvl>
  </w:abstractNum>
  <w:abstractNum w:abstractNumId="34">
    <w:nsid w:val="62F22351"/>
    <w:multiLevelType w:val="singleLevel"/>
    <w:tmpl w:val="180264F6"/>
    <w:lvl w:ilvl="0">
      <w:start w:val="1"/>
      <w:numFmt w:val="lowerLetter"/>
      <w:lvlText w:val="%1)"/>
      <w:lvlJc w:val="left"/>
      <w:pPr>
        <w:tabs>
          <w:tab w:val="num" w:pos="360"/>
        </w:tabs>
        <w:ind w:left="360" w:hanging="360"/>
      </w:pPr>
    </w:lvl>
  </w:abstractNum>
  <w:abstractNum w:abstractNumId="35">
    <w:nsid w:val="6A323F43"/>
    <w:multiLevelType w:val="multilevel"/>
    <w:tmpl w:val="74D8F45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70745B57"/>
    <w:multiLevelType w:val="singleLevel"/>
    <w:tmpl w:val="E7600644"/>
    <w:lvl w:ilvl="0">
      <w:start w:val="1"/>
      <w:numFmt w:val="lowerLetter"/>
      <w:lvlText w:val="%1)"/>
      <w:lvlJc w:val="left"/>
      <w:pPr>
        <w:tabs>
          <w:tab w:val="num" w:pos="405"/>
        </w:tabs>
        <w:ind w:left="405" w:hanging="360"/>
      </w:pPr>
    </w:lvl>
  </w:abstractNum>
  <w:abstractNum w:abstractNumId="37">
    <w:nsid w:val="74DF4D74"/>
    <w:multiLevelType w:val="singleLevel"/>
    <w:tmpl w:val="75E2DEE8"/>
    <w:lvl w:ilvl="0">
      <w:start w:val="4"/>
      <w:numFmt w:val="lowerLetter"/>
      <w:lvlText w:val="%1)"/>
      <w:lvlJc w:val="left"/>
      <w:pPr>
        <w:tabs>
          <w:tab w:val="num" w:pos="360"/>
        </w:tabs>
        <w:ind w:left="360" w:hanging="360"/>
      </w:pPr>
      <w:rPr>
        <w:sz w:val="20"/>
        <w:rtl w:val="0"/>
      </w:rPr>
    </w:lvl>
  </w:abstractNum>
  <w:abstractNum w:abstractNumId="38">
    <w:nsid w:val="76975EAE"/>
    <w:multiLevelType w:val="singleLevel"/>
    <w:tmpl w:val="180264F6"/>
    <w:lvl w:ilvl="0">
      <w:start w:val="1"/>
      <w:numFmt w:val="lowerLetter"/>
      <w:lvlText w:val="%1)"/>
      <w:lvlJc w:val="left"/>
      <w:pPr>
        <w:tabs>
          <w:tab w:val="num" w:pos="360"/>
        </w:tabs>
        <w:ind w:left="360" w:hanging="360"/>
      </w:pPr>
      <w:rPr>
        <w:sz w:val="20"/>
        <w:rtl w:val="0"/>
      </w:rPr>
    </w:lvl>
  </w:abstractNum>
  <w:abstractNum w:abstractNumId="39">
    <w:nsid w:val="77B476ED"/>
    <w:multiLevelType w:val="multilevel"/>
    <w:tmpl w:val="D7C2DE7A"/>
    <w:lvl w:ilvl="0">
      <w:start w:val="1"/>
      <w:numFmt w:val="lowerLetter"/>
      <w:lvlText w:val="%1)"/>
      <w:lvlJc w:val="left"/>
      <w:pPr>
        <w:tabs>
          <w:tab w:val="num" w:pos="390"/>
        </w:tabs>
        <w:ind w:left="390" w:hanging="39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0">
    <w:nsid w:val="77B476EE"/>
    <w:multiLevelType w:val="multilevel"/>
    <w:tmpl w:val="77B476EE"/>
    <w:lvl w:ilvl="0">
      <w:start w:val="1"/>
      <w:numFmt w:val="lowerRoman"/>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41">
    <w:nsid w:val="77B476EF"/>
    <w:multiLevelType w:val="multilevel"/>
    <w:tmpl w:val="77B476EF"/>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42">
    <w:nsid w:val="77B476F0"/>
    <w:multiLevelType w:val="multilevel"/>
    <w:tmpl w:val="77B476F0"/>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43">
    <w:nsid w:val="77B476F1"/>
    <w:multiLevelType w:val="multilevel"/>
    <w:tmpl w:val="77B476F1"/>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44">
    <w:nsid w:val="77B476F2"/>
    <w:multiLevelType w:val="multilevel"/>
    <w:tmpl w:val="77B476F2"/>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45">
    <w:nsid w:val="77B476F3"/>
    <w:multiLevelType w:val="multilevel"/>
    <w:tmpl w:val="77B476F3"/>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46">
    <w:nsid w:val="77B476F4"/>
    <w:multiLevelType w:val="multilevel"/>
    <w:tmpl w:val="77B476F4"/>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47">
    <w:nsid w:val="77B476F5"/>
    <w:multiLevelType w:val="multilevel"/>
    <w:tmpl w:val="77B476F5"/>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48">
    <w:nsid w:val="77B476F6"/>
    <w:multiLevelType w:val="multilevel"/>
    <w:tmpl w:val="77B476F6"/>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49">
    <w:nsid w:val="77B476F7"/>
    <w:multiLevelType w:val="multilevel"/>
    <w:tmpl w:val="77B476F7"/>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50">
    <w:nsid w:val="77B476F8"/>
    <w:multiLevelType w:val="multilevel"/>
    <w:tmpl w:val="77B476F8"/>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51">
    <w:nsid w:val="77B476F9"/>
    <w:multiLevelType w:val="multilevel"/>
    <w:tmpl w:val="77B476F9"/>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52">
    <w:nsid w:val="77B476FA"/>
    <w:multiLevelType w:val="multilevel"/>
    <w:tmpl w:val="77B476FA"/>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53">
    <w:nsid w:val="77B476FB"/>
    <w:multiLevelType w:val="multilevel"/>
    <w:tmpl w:val="77B476FB"/>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54">
    <w:nsid w:val="77B476FC"/>
    <w:multiLevelType w:val="multilevel"/>
    <w:tmpl w:val="77B476FC"/>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55">
    <w:nsid w:val="77B476FD"/>
    <w:multiLevelType w:val="multilevel"/>
    <w:tmpl w:val="77B476FD"/>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56">
    <w:nsid w:val="77B476FE"/>
    <w:multiLevelType w:val="multilevel"/>
    <w:tmpl w:val="77B476FE"/>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57">
    <w:nsid w:val="77B476FF"/>
    <w:multiLevelType w:val="multilevel"/>
    <w:tmpl w:val="77B476FF"/>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58">
    <w:nsid w:val="77B47700"/>
    <w:multiLevelType w:val="multilevel"/>
    <w:tmpl w:val="77B47700"/>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59">
    <w:nsid w:val="77B47701"/>
    <w:multiLevelType w:val="multilevel"/>
    <w:tmpl w:val="77B47701"/>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60">
    <w:nsid w:val="77B47702"/>
    <w:multiLevelType w:val="multilevel"/>
    <w:tmpl w:val="77B47702"/>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61">
    <w:nsid w:val="77B47703"/>
    <w:multiLevelType w:val="multilevel"/>
    <w:tmpl w:val="77B47703"/>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62">
    <w:nsid w:val="77B47704"/>
    <w:multiLevelType w:val="multilevel"/>
    <w:tmpl w:val="77B47704"/>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63">
    <w:nsid w:val="77B47705"/>
    <w:multiLevelType w:val="multilevel"/>
    <w:tmpl w:val="77B47705"/>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64">
    <w:nsid w:val="77B47706"/>
    <w:multiLevelType w:val="multilevel"/>
    <w:tmpl w:val="77B47706"/>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65">
    <w:nsid w:val="77B47707"/>
    <w:multiLevelType w:val="multilevel"/>
    <w:tmpl w:val="77B47707"/>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66">
    <w:nsid w:val="77B47708"/>
    <w:multiLevelType w:val="multilevel"/>
    <w:tmpl w:val="77B47708"/>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67">
    <w:nsid w:val="77B47709"/>
    <w:multiLevelType w:val="multilevel"/>
    <w:tmpl w:val="77B47709"/>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68">
    <w:nsid w:val="77B4770A"/>
    <w:multiLevelType w:val="multilevel"/>
    <w:tmpl w:val="77B4770A"/>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69">
    <w:nsid w:val="77B4770B"/>
    <w:multiLevelType w:val="multilevel"/>
    <w:tmpl w:val="77B4770B"/>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70">
    <w:nsid w:val="77B4770C"/>
    <w:multiLevelType w:val="multilevel"/>
    <w:tmpl w:val="77B4770C"/>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71">
    <w:nsid w:val="77B4770D"/>
    <w:multiLevelType w:val="multilevel"/>
    <w:tmpl w:val="77B4770D"/>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72">
    <w:nsid w:val="77B4770E"/>
    <w:multiLevelType w:val="multilevel"/>
    <w:tmpl w:val="77B4770E"/>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73">
    <w:nsid w:val="77B4770F"/>
    <w:multiLevelType w:val="multilevel"/>
    <w:tmpl w:val="77B4770F"/>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74">
    <w:nsid w:val="77B47710"/>
    <w:multiLevelType w:val="multilevel"/>
    <w:tmpl w:val="77B47710"/>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75">
    <w:nsid w:val="77B47711"/>
    <w:multiLevelType w:val="multilevel"/>
    <w:tmpl w:val="77B47711"/>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76">
    <w:nsid w:val="77B47712"/>
    <w:multiLevelType w:val="multilevel"/>
    <w:tmpl w:val="77B47712"/>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77">
    <w:nsid w:val="77B47713"/>
    <w:multiLevelType w:val="multilevel"/>
    <w:tmpl w:val="77B47713"/>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78">
    <w:nsid w:val="77B47714"/>
    <w:multiLevelType w:val="multilevel"/>
    <w:tmpl w:val="77B47714"/>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79">
    <w:nsid w:val="77B47715"/>
    <w:multiLevelType w:val="multilevel"/>
    <w:tmpl w:val="77B47715"/>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80">
    <w:nsid w:val="77B47716"/>
    <w:multiLevelType w:val="multilevel"/>
    <w:tmpl w:val="77B47716"/>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81">
    <w:nsid w:val="77B47717"/>
    <w:multiLevelType w:val="multilevel"/>
    <w:tmpl w:val="77B47717"/>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82">
    <w:nsid w:val="77B47718"/>
    <w:multiLevelType w:val="multilevel"/>
    <w:tmpl w:val="77B47718"/>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83">
    <w:nsid w:val="77B47719"/>
    <w:multiLevelType w:val="multilevel"/>
    <w:tmpl w:val="77B47719"/>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84">
    <w:nsid w:val="77B4771A"/>
    <w:multiLevelType w:val="multilevel"/>
    <w:tmpl w:val="77B4771A"/>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85">
    <w:nsid w:val="77B4771B"/>
    <w:multiLevelType w:val="multilevel"/>
    <w:tmpl w:val="77B4771B"/>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86">
    <w:nsid w:val="77B4771C"/>
    <w:multiLevelType w:val="multilevel"/>
    <w:tmpl w:val="77B4771C"/>
    <w:lvl w:ilvl="0">
      <w:start w:val="1"/>
      <w:numFmt w:val="decimal"/>
      <w:lvlText w:val="() "/>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87">
    <w:nsid w:val="77B4771D"/>
    <w:multiLevelType w:val="multilevel"/>
    <w:tmpl w:val="77B4771D"/>
    <w:lvl w:ilvl="0">
      <w:start w:val="1"/>
      <w:numFmt w:val="decimal"/>
      <w:lvlText w:val="() "/>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88">
    <w:nsid w:val="77B4771E"/>
    <w:multiLevelType w:val="multilevel"/>
    <w:tmpl w:val="77B4771E"/>
    <w:lvl w:ilvl="0">
      <w:start w:val="1"/>
      <w:numFmt w:val="decimal"/>
      <w:lvlText w:val="() "/>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89">
    <w:nsid w:val="77B4771F"/>
    <w:multiLevelType w:val="multilevel"/>
    <w:tmpl w:val="77B4771F"/>
    <w:lvl w:ilvl="0">
      <w:start w:val="1"/>
      <w:numFmt w:val="decimal"/>
      <w:lvlText w:val="() "/>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90">
    <w:nsid w:val="77B47720"/>
    <w:multiLevelType w:val="multilevel"/>
    <w:tmpl w:val="77B47720"/>
    <w:lvl w:ilvl="0">
      <w:start w:val="1"/>
      <w:numFmt w:val="decimal"/>
      <w:lvlText w:val="() "/>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91">
    <w:nsid w:val="77B47721"/>
    <w:multiLevelType w:val="multilevel"/>
    <w:tmpl w:val="77B47721"/>
    <w:lvl w:ilvl="0">
      <w:start w:val="1"/>
      <w:numFmt w:val="decimal"/>
      <w:lvlText w:val="() "/>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92">
    <w:nsid w:val="77B47722"/>
    <w:multiLevelType w:val="multilevel"/>
    <w:tmpl w:val="77B47722"/>
    <w:lvl w:ilvl="0">
      <w:start w:val="2"/>
      <w:numFmt w:val="bullet"/>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93">
    <w:nsid w:val="77B47723"/>
    <w:multiLevelType w:val="multilevel"/>
    <w:tmpl w:val="77B47723"/>
    <w:lvl w:ilvl="0">
      <w:start w:val="2"/>
      <w:numFmt w:val="bullet"/>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94">
    <w:nsid w:val="77B47724"/>
    <w:multiLevelType w:val="multilevel"/>
    <w:tmpl w:val="77B47724"/>
    <w:lvl w:ilvl="0">
      <w:start w:val="2"/>
      <w:numFmt w:val="bullet"/>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95">
    <w:nsid w:val="77B47725"/>
    <w:multiLevelType w:val="multilevel"/>
    <w:tmpl w:val="77B47725"/>
    <w:lvl w:ilvl="0">
      <w:start w:val="2"/>
      <w:numFmt w:val="bullet"/>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num w:numId="1">
    <w:abstractNumId w:val="13"/>
  </w:num>
  <w:num w:numId="2">
    <w:abstractNumId w:val="13"/>
    <w:lvlOverride w:ilvl="0">
      <w:startOverride w:val="3"/>
    </w:lvlOverride>
  </w:num>
  <w:num w:numId="3">
    <w:abstractNumId w:val="28"/>
  </w:num>
  <w:num w:numId="4">
    <w:abstractNumId w:val="28"/>
    <w:lvlOverride w:ilvl="0">
      <w:startOverride w:val="2"/>
    </w:lvlOverride>
  </w:num>
  <w:num w:numId="5">
    <w:abstractNumId w:val="17"/>
  </w:num>
  <w:num w:numId="6">
    <w:abstractNumId w:val="17"/>
    <w:lvlOverride w:ilvl="0">
      <w:startOverride w:val="1"/>
    </w:lvlOverride>
  </w:num>
  <w:num w:numId="7">
    <w:abstractNumId w:val="31"/>
  </w:num>
  <w:num w:numId="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num>
  <w:num w:numId="10">
    <w:abstractNumId w:val="11"/>
  </w:num>
  <w:num w:numId="11">
    <w:abstractNumId w:val="8"/>
  </w:num>
  <w:num w:numId="12">
    <w:abstractNumId w:val="2"/>
  </w:num>
  <w:num w:numId="13">
    <w:abstractNumId w:val="7"/>
  </w:num>
  <w:num w:numId="14">
    <w:abstractNumId w:val="23"/>
  </w:num>
  <w:num w:numId="15">
    <w:abstractNumId w:val="35"/>
  </w:num>
  <w:num w:numId="16">
    <w:abstractNumId w:val="38"/>
  </w:num>
  <w:num w:numId="17">
    <w:abstractNumId w:val="3"/>
  </w:num>
  <w:num w:numId="18">
    <w:abstractNumId w:val="4"/>
  </w:num>
  <w:num w:numId="19">
    <w:abstractNumId w:val="1"/>
  </w:num>
  <w:num w:numId="20">
    <w:abstractNumId w:val="25"/>
  </w:num>
  <w:num w:numId="21">
    <w:abstractNumId w:val="6"/>
  </w:num>
  <w:num w:numId="22">
    <w:abstractNumId w:val="0"/>
  </w:num>
  <w:num w:numId="23">
    <w:abstractNumId w:val="9"/>
  </w:num>
  <w:num w:numId="24">
    <w:abstractNumId w:val="39"/>
  </w:num>
  <w:num w:numId="25">
    <w:abstractNumId w:val="20"/>
  </w:num>
  <w:num w:numId="26">
    <w:abstractNumId w:val="5"/>
  </w:num>
  <w:num w:numId="27">
    <w:abstractNumId w:val="18"/>
  </w:num>
  <w:num w:numId="28">
    <w:abstractNumId w:val="30"/>
  </w:num>
  <w:num w:numId="29">
    <w:abstractNumId w:val="15"/>
  </w:num>
  <w:num w:numId="30">
    <w:abstractNumId w:val="27"/>
  </w:num>
  <w:num w:numId="31">
    <w:abstractNumId w:val="34"/>
  </w:num>
  <w:num w:numId="32">
    <w:abstractNumId w:val="12"/>
  </w:num>
  <w:num w:numId="33">
    <w:abstractNumId w:val="36"/>
  </w:num>
  <w:num w:numId="34">
    <w:abstractNumId w:val="32"/>
  </w:num>
  <w:num w:numId="35">
    <w:abstractNumId w:val="37"/>
  </w:num>
  <w:num w:numId="36">
    <w:abstractNumId w:val="33"/>
  </w:num>
  <w:num w:numId="37">
    <w:abstractNumId w:val="19"/>
  </w:num>
  <w:num w:numId="38">
    <w:abstractNumId w:val="29"/>
  </w:num>
  <w:num w:numId="39">
    <w:abstractNumId w:val="16"/>
  </w:num>
  <w:num w:numId="40">
    <w:abstractNumId w:val="24"/>
  </w:num>
  <w:num w:numId="41">
    <w:abstractNumId w:val="26"/>
  </w:num>
  <w:num w:numId="42">
    <w:abstractNumId w:val="21"/>
  </w:num>
  <w:num w:numId="43">
    <w:abstractNumId w:val="10"/>
  </w:num>
  <w:num w:numId="44">
    <w:abstractNumId w:val="14"/>
  </w:num>
  <w:num w:numId="45">
    <w:abstractNumId w:val="40"/>
  </w:num>
  <w:num w:numId="46">
    <w:abstractNumId w:val="41"/>
  </w:num>
  <w:num w:numId="47">
    <w:abstractNumId w:val="42"/>
  </w:num>
  <w:num w:numId="48">
    <w:abstractNumId w:val="43"/>
  </w:num>
  <w:num w:numId="49">
    <w:abstractNumId w:val="44"/>
  </w:num>
  <w:num w:numId="50">
    <w:abstractNumId w:val="45"/>
  </w:num>
  <w:num w:numId="51">
    <w:abstractNumId w:val="46"/>
  </w:num>
  <w:num w:numId="52">
    <w:abstractNumId w:val="47"/>
  </w:num>
  <w:num w:numId="53">
    <w:abstractNumId w:val="48"/>
  </w:num>
  <w:num w:numId="54">
    <w:abstractNumId w:val="49"/>
  </w:num>
  <w:num w:numId="55">
    <w:abstractNumId w:val="50"/>
  </w:num>
  <w:num w:numId="56">
    <w:abstractNumId w:val="51"/>
  </w:num>
  <w:num w:numId="57">
    <w:abstractNumId w:val="52"/>
  </w:num>
  <w:num w:numId="58">
    <w:abstractNumId w:val="53"/>
  </w:num>
  <w:num w:numId="59">
    <w:abstractNumId w:val="54"/>
  </w:num>
  <w:num w:numId="60">
    <w:abstractNumId w:val="55"/>
  </w:num>
  <w:num w:numId="61">
    <w:abstractNumId w:val="56"/>
  </w:num>
  <w:num w:numId="62">
    <w:abstractNumId w:val="57"/>
  </w:num>
  <w:num w:numId="63">
    <w:abstractNumId w:val="58"/>
  </w:num>
  <w:num w:numId="64">
    <w:abstractNumId w:val="59"/>
  </w:num>
  <w:num w:numId="65">
    <w:abstractNumId w:val="60"/>
  </w:num>
  <w:num w:numId="66">
    <w:abstractNumId w:val="61"/>
  </w:num>
  <w:num w:numId="67">
    <w:abstractNumId w:val="62"/>
  </w:num>
  <w:num w:numId="68">
    <w:abstractNumId w:val="63"/>
  </w:num>
  <w:num w:numId="69">
    <w:abstractNumId w:val="64"/>
  </w:num>
  <w:num w:numId="70">
    <w:abstractNumId w:val="65"/>
  </w:num>
  <w:num w:numId="71">
    <w:abstractNumId w:val="66"/>
  </w:num>
  <w:num w:numId="72">
    <w:abstractNumId w:val="67"/>
  </w:num>
  <w:num w:numId="73">
    <w:abstractNumId w:val="68"/>
  </w:num>
  <w:num w:numId="74">
    <w:abstractNumId w:val="69"/>
  </w:num>
  <w:num w:numId="75">
    <w:abstractNumId w:val="70"/>
  </w:num>
  <w:num w:numId="76">
    <w:abstractNumId w:val="71"/>
  </w:num>
  <w:num w:numId="77">
    <w:abstractNumId w:val="72"/>
  </w:num>
  <w:num w:numId="78">
    <w:abstractNumId w:val="73"/>
  </w:num>
  <w:num w:numId="79">
    <w:abstractNumId w:val="74"/>
  </w:num>
  <w:num w:numId="80">
    <w:abstractNumId w:val="75"/>
  </w:num>
  <w:num w:numId="81">
    <w:abstractNumId w:val="76"/>
  </w:num>
  <w:num w:numId="82">
    <w:abstractNumId w:val="77"/>
  </w:num>
  <w:num w:numId="83">
    <w:abstractNumId w:val="78"/>
  </w:num>
  <w:num w:numId="84">
    <w:abstractNumId w:val="79"/>
  </w:num>
  <w:num w:numId="85">
    <w:abstractNumId w:val="80"/>
  </w:num>
  <w:num w:numId="86">
    <w:abstractNumId w:val="81"/>
  </w:num>
  <w:num w:numId="87">
    <w:abstractNumId w:val="82"/>
  </w:num>
  <w:num w:numId="88">
    <w:abstractNumId w:val="83"/>
  </w:num>
  <w:num w:numId="89">
    <w:abstractNumId w:val="84"/>
  </w:num>
  <w:num w:numId="90">
    <w:abstractNumId w:val="85"/>
  </w:num>
  <w:num w:numId="91">
    <w:abstractNumId w:val="86"/>
  </w:num>
  <w:num w:numId="92">
    <w:abstractNumId w:val="87"/>
  </w:num>
  <w:num w:numId="93">
    <w:abstractNumId w:val="88"/>
  </w:num>
  <w:num w:numId="94">
    <w:abstractNumId w:val="89"/>
  </w:num>
  <w:num w:numId="95">
    <w:abstractNumId w:val="90"/>
  </w:num>
  <w:num w:numId="96">
    <w:abstractNumId w:val="91"/>
  </w:num>
  <w:num w:numId="97">
    <w:abstractNumId w:val="92"/>
  </w:num>
  <w:num w:numId="98">
    <w:abstractNumId w:val="93"/>
  </w:num>
  <w:num w:numId="99">
    <w:abstractNumId w:val="94"/>
  </w:num>
  <w:num w:numId="100">
    <w:abstractNumId w:val="9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oNotHyphenateCaps/>
  <w:displayHorizontalDrawingGridEvery w:val="0"/>
  <w:displayVerticalDrawingGridEvery w:val="3"/>
  <w:characterSpacingControl w:val="compressPunctuation"/>
  <w:footnotePr>
    <w:footnote w:id="0"/>
    <w:footnote w:id="1"/>
  </w:foot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000000"/>
    <w:rsid w:val="00DF0E18"/>
    <w:rsid w:val="00F1062D"/>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pPr>
      <w:widowControl w:val="0"/>
      <w:autoSpaceDE w:val="0"/>
      <w:autoSpaceDN w:val="0"/>
      <w:bidi w:val="0"/>
      <w:adjustRightInd w:val="0"/>
      <w:ind w:left="0" w:right="0"/>
      <w:jc w:val="left"/>
      <w:textAlignment w:val="auto"/>
    </w:pPr>
    <w:rPr>
      <w:sz w:val="24"/>
      <w:szCs w:val="20"/>
      <w:rtl w:val="0"/>
      <w:lang w:val="sk-SK" w:eastAsia="sk-SK"/>
    </w:rPr>
  </w:style>
  <w:style w:type="paragraph" w:styleId="Heading1">
    <w:name w:val="heading 1"/>
    <w:basedOn w:val="Normal"/>
    <w:next w:val="Normal"/>
    <w:uiPriority w:val="99"/>
    <w:pPr>
      <w:keepNext/>
      <w:jc w:val="center"/>
      <w:outlineLvl w:val="0"/>
    </w:pPr>
    <w:rPr>
      <w:b/>
    </w:rPr>
  </w:style>
  <w:style w:type="paragraph" w:styleId="Heading2">
    <w:name w:val="heading 2"/>
    <w:basedOn w:val="Normal"/>
    <w:next w:val="Normal"/>
    <w:uiPriority w:val="99"/>
    <w:pPr>
      <w:keepNext/>
      <w:spacing w:before="120"/>
      <w:jc w:val="center"/>
      <w:outlineLvl w:val="1"/>
    </w:pPr>
    <w:rPr>
      <w:b/>
      <w:sz w:val="20"/>
    </w:rPr>
  </w:style>
  <w:style w:type="paragraph" w:styleId="Heading3">
    <w:name w:val="heading 3"/>
    <w:basedOn w:val="Normal"/>
    <w:next w:val="Normal"/>
    <w:uiPriority w:val="99"/>
    <w:pPr>
      <w:keepNext/>
      <w:numPr>
        <w:ilvl w:val="2"/>
        <w:numId w:val="10"/>
      </w:numPr>
      <w:tabs>
        <w:tab w:val="left" w:pos="2160"/>
      </w:tabs>
      <w:suppressAutoHyphens/>
      <w:ind w:left="2160" w:hanging="180"/>
      <w:jc w:val="left"/>
      <w:outlineLvl w:val="2"/>
    </w:pPr>
    <w:rPr>
      <w:b/>
      <w:sz w:val="20"/>
    </w:rPr>
  </w:style>
  <w:style w:type="paragraph" w:styleId="Heading4">
    <w:name w:val="heading 4"/>
    <w:basedOn w:val="Normal"/>
    <w:next w:val="Normal"/>
    <w:uiPriority w:val="99"/>
    <w:pPr>
      <w:keepNext/>
      <w:jc w:val="center"/>
      <w:outlineLvl w:val="3"/>
    </w:pPr>
    <w:rPr>
      <w:b/>
      <w:sz w:val="2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paragraph" w:styleId="BodyText3">
    <w:name w:val="Body Text 3"/>
    <w:basedOn w:val="Normal"/>
    <w:uiPriority w:val="99"/>
    <w:pPr>
      <w:spacing w:line="240" w:lineRule="atLeast"/>
      <w:jc w:val="both"/>
    </w:pPr>
  </w:style>
  <w:style w:type="paragraph" w:styleId="Header">
    <w:name w:val="header"/>
    <w:basedOn w:val="Normal"/>
    <w:uiPriority w:val="99"/>
    <w:pPr>
      <w:tabs>
        <w:tab w:val="center" w:pos="4536"/>
        <w:tab w:val="right" w:pos="9072"/>
      </w:tabs>
      <w:jc w:val="left"/>
    </w:pPr>
  </w:style>
  <w:style w:type="paragraph" w:styleId="BodyText2">
    <w:name w:val="Body Text 2"/>
    <w:basedOn w:val="Normal"/>
    <w:uiPriority w:val="99"/>
    <w:pPr>
      <w:jc w:val="center"/>
    </w:pPr>
    <w:rPr>
      <w:sz w:val="20"/>
    </w:rPr>
  </w:style>
  <w:style w:type="paragraph" w:customStyle="1" w:styleId="Normlny">
    <w:name w:val="_Normálny"/>
    <w:basedOn w:val="Normal"/>
    <w:uiPriority w:val="99"/>
    <w:pPr>
      <w:jc w:val="left"/>
    </w:pPr>
    <w:rPr>
      <w:sz w:val="20"/>
    </w:rPr>
  </w:style>
  <w:style w:type="paragraph" w:styleId="FootnoteText">
    <w:name w:val="footnote text"/>
    <w:basedOn w:val="Normal"/>
    <w:uiPriority w:val="99"/>
    <w:semiHidden/>
    <w:pPr>
      <w:jc w:val="left"/>
    </w:pPr>
    <w:rPr>
      <w:sz w:val="20"/>
    </w:rPr>
  </w:style>
  <w:style w:type="paragraph" w:customStyle="1" w:styleId="PARA">
    <w:name w:val="PARA"/>
    <w:basedOn w:val="Normal"/>
    <w:next w:val="Normal"/>
    <w:uiPriority w:val="99"/>
    <w:pPr>
      <w:keepNext/>
      <w:keepLines/>
      <w:tabs>
        <w:tab w:val="left" w:pos="680"/>
      </w:tabs>
      <w:spacing w:before="240" w:after="120"/>
      <w:jc w:val="center"/>
    </w:pPr>
    <w:rPr>
      <w:lang w:val="en-US"/>
    </w:rPr>
  </w:style>
  <w:style w:type="paragraph" w:customStyle="1" w:styleId="abc">
    <w:name w:val="abc"/>
    <w:basedOn w:val="Normal"/>
    <w:uiPriority w:val="99"/>
    <w:pPr>
      <w:tabs>
        <w:tab w:val="left" w:pos="360"/>
        <w:tab w:val="left" w:pos="680"/>
      </w:tabs>
      <w:jc w:val="both"/>
    </w:pPr>
    <w:rPr>
      <w:sz w:val="20"/>
    </w:rPr>
  </w:style>
  <w:style w:type="character" w:styleId="FootnoteReference">
    <w:name w:val="footnote reference"/>
    <w:basedOn w:val="DefaultParagraphFont"/>
    <w:uiPriority w:val="99"/>
    <w:semiHidden/>
    <w:rPr>
      <w:vertAlign w:val="superscript"/>
    </w:rPr>
  </w:style>
  <w:style w:type="paragraph" w:styleId="Footer">
    <w:name w:val="footer"/>
    <w:basedOn w:val="Normal"/>
    <w:uiPriority w:val="99"/>
    <w:pPr>
      <w:tabs>
        <w:tab w:val="center" w:pos="4536"/>
        <w:tab w:val="right" w:pos="9072"/>
      </w:tabs>
      <w:jc w:val="left"/>
    </w:pPr>
  </w:style>
  <w:style w:type="character" w:styleId="PageNumber">
    <w:name w:val="page number"/>
    <w:basedOn w:val="DefaultParagraphFont"/>
    <w:uiPriority w:val="99"/>
  </w:style>
  <w:style w:type="character" w:customStyle="1" w:styleId="WW-Znakyprepoznmkupodiarou">
    <w:name w:val="WW-Znaky pre poznámku pod èiarou"/>
    <w:basedOn w:val="DefaultParagraphFont"/>
    <w:uiPriority w:val="99"/>
    <w:rPr>
      <w:vertAlign w:val="superscript"/>
    </w:rPr>
  </w:style>
  <w:style w:type="character" w:customStyle="1" w:styleId="Znakyprepoznmkupodiarou">
    <w:name w:val="Znaky pre poznámku pod èiarou"/>
    <w:uiPriority w:val="99"/>
    <w:rPr>
      <w:vertAlign w:val="superscript"/>
    </w:rPr>
  </w:style>
  <w:style w:type="character" w:customStyle="1" w:styleId="WW8Num7z0">
    <w:name w:val="WW8Num7z0"/>
    <w:uiPriority w:val="99"/>
    <w:rPr>
      <w:rFonts w:ascii="Symbol" w:hAnsi="Symbol"/>
      <w:rtl w:val="0"/>
    </w:rPr>
  </w:style>
  <w:style w:type="paragraph" w:styleId="BodyTextIndent">
    <w:name w:val="Body Text Indent"/>
    <w:basedOn w:val="Normal"/>
    <w:uiPriority w:val="99"/>
    <w:pPr>
      <w:spacing w:after="120"/>
      <w:ind w:left="283"/>
      <w:jc w:val="left"/>
    </w:pPr>
  </w:style>
  <w:style w:type="character" w:customStyle="1" w:styleId="WW8Num59z0">
    <w:name w:val="WW8Num59z0"/>
    <w:uiPriority w:val="99"/>
    <w:rPr>
      <w:sz w:val="24"/>
      <w:rtl w:val="0"/>
    </w:rPr>
  </w:style>
  <w:style w:type="paragraph" w:customStyle="1" w:styleId="WW-Prosttext">
    <w:name w:val="WW-Prostý text"/>
    <w:basedOn w:val="Normal"/>
    <w:uiPriority w:val="99"/>
    <w:pPr>
      <w:suppressAutoHyphens/>
      <w:jc w:val="both"/>
    </w:pPr>
    <w:rPr>
      <w:rFonts w:ascii="Courier New" w:hAnsi="Courier New"/>
      <w:sz w:val="20"/>
    </w:rPr>
  </w:style>
  <w:style w:type="character" w:customStyle="1" w:styleId="WW8Num87z0">
    <w:name w:val="WW8Num87z0"/>
    <w:uiPriority w:val="99"/>
    <w:rPr>
      <w:sz w:val="24"/>
      <w:rtl w:val="0"/>
    </w:rPr>
  </w:style>
  <w:style w:type="character" w:customStyle="1" w:styleId="WW8Num23z0">
    <w:name w:val="WW8Num23z0"/>
    <w:uiPriority w:val="99"/>
    <w:rPr>
      <w:rFonts w:ascii="Symbol" w:hAnsi="Symbol"/>
      <w:rtl w:val="0"/>
    </w:rPr>
  </w:style>
  <w:style w:type="paragraph" w:styleId="BodyText">
    <w:name w:val="Body Text"/>
    <w:basedOn w:val="Normal"/>
    <w:uiPriority w:val="99"/>
    <w:pPr>
      <w:spacing w:after="120"/>
      <w:jc w:val="left"/>
    </w:pPr>
  </w:style>
  <w:style w:type="character" w:customStyle="1" w:styleId="WW8Num111z0">
    <w:name w:val="WW8Num111z0"/>
    <w:uiPriority w:val="99"/>
    <w:rPr>
      <w:u w:val="none"/>
    </w:rPr>
  </w:style>
  <w:style w:type="paragraph" w:customStyle="1" w:styleId="Nadpis2CharCharCharCharCharChar">
    <w:name w:val="Nadpis 2.Char Char.Char Char Char Char"/>
    <w:basedOn w:val="Normal"/>
    <w:next w:val="Normal"/>
    <w:uiPriority w:val="99"/>
    <w:pPr>
      <w:keepNext/>
      <w:autoSpaceDE/>
      <w:autoSpaceDN/>
      <w:spacing w:before="120"/>
      <w:jc w:val="center"/>
      <w:outlineLvl w:val="1"/>
    </w:pPr>
    <w:rPr>
      <w:b/>
      <w:sz w:val="20"/>
      <w:lang w:eastAsia="cs-CZ"/>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1</TotalTime>
  <Pages>24</Pages>
  <Words>7598</Words>
  <Characters>43310</Characters>
  <Application>Microsoft Office Word</Application>
  <DocSecurity>0</DocSecurity>
  <Lines>0</Lines>
  <Paragraphs>0</Paragraphs>
  <ScaleCrop>false</ScaleCrop>
  <Company>ÚV SR</Company>
  <LinksUpToDate>false</LinksUpToDate>
  <CharactersWithSpaces>50807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TABU¼KA  ZHODY</dc:title>
  <dc:creator>bodorova</dc:creator>
  <cp:lastModifiedBy>Miroslava Plávková</cp:lastModifiedBy>
  <cp:revision>3</cp:revision>
  <cp:lastPrinted>2006-12-12T17:19:00Z</cp:lastPrinted>
  <dcterms:created xsi:type="dcterms:W3CDTF">2007-03-27T10:25:00Z</dcterms:created>
  <dcterms:modified xsi:type="dcterms:W3CDTF">2007-04-11T14:42:00Z</dcterms:modified>
</cp:coreProperties>
</file>