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Title"/>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TABUĽKA ZHODY </w:t>
      </w:r>
    </w:p>
    <w:p>
      <w:pPr>
        <w:jc w:val="center"/>
        <w:rPr>
          <w:rStyle w:val="DefaultParagraphFont"/>
          <w:rFonts w:ascii="Times New Roman" w:hAnsi="Times New Roman" w:cs="Times New Roman"/>
          <w:b/>
          <w:sz w:val="24"/>
          <w:szCs w:val="24"/>
        </w:rPr>
      </w:pPr>
      <w:r>
        <w:rPr>
          <w:rStyle w:val="DefaultParagraphFont"/>
          <w:rFonts w:ascii="Times New Roman" w:hAnsi="Times New Roman" w:cs="Times New Roman"/>
          <w:b/>
          <w:szCs w:val="24"/>
        </w:rPr>
        <w:t>k návrhu zákona o ochrane, podpore a rozvoji verejného zdravia s právom Európskych spoločenstiev a právom Európskej únie</w:t>
      </w:r>
    </w:p>
    <w:p>
      <w:pPr>
        <w:rPr>
          <w:rStyle w:val="DefaultParagraphFont"/>
          <w:rFonts w:ascii="Times New Roman" w:hAnsi="Times New Roman" w:cs="Times New Roman"/>
          <w:sz w:val="24"/>
          <w:szCs w:val="24"/>
        </w:rPr>
      </w:pPr>
    </w:p>
    <w:tbl>
      <w:tblPr>
        <w:tblInd w:w="-497" w:type="dxa"/>
        <w:tblBorders>
          <w:top w:val="single" w:sz="4" w:space="0" w:color="auto"/>
          <w:left w:val="single" w:sz="4" w:space="0" w:color="auto"/>
          <w:bottom w:val="single" w:sz="4" w:space="0" w:color="auto"/>
          <w:right w:val="single" w:sz="4" w:space="0" w:color="auto"/>
        </w:tblBorders>
        <w:tblLayout w:type="fixed"/>
        <w:tblCellMar>
          <w:top w:w="0" w:type="dxa"/>
          <w:left w:w="43" w:type="dxa"/>
          <w:bottom w:w="0" w:type="dxa"/>
          <w:right w:w="43" w:type="dxa"/>
        </w:tblCellMar>
      </w:tblPr>
      <w:tblGrid>
        <w:gridCol w:w="824"/>
        <w:gridCol w:w="27"/>
        <w:gridCol w:w="47"/>
        <w:gridCol w:w="2913"/>
        <w:gridCol w:w="17"/>
        <w:gridCol w:w="823"/>
        <w:gridCol w:w="27"/>
        <w:gridCol w:w="1653"/>
        <w:gridCol w:w="48"/>
        <w:gridCol w:w="1032"/>
        <w:gridCol w:w="102"/>
        <w:gridCol w:w="3498"/>
        <w:gridCol w:w="46"/>
        <w:gridCol w:w="674"/>
        <w:gridCol w:w="35"/>
        <w:gridCol w:w="685"/>
        <w:gridCol w:w="27"/>
        <w:gridCol w:w="1773"/>
        <w:gridCol w:w="70"/>
        <w:gridCol w:w="1332"/>
        <w:gridCol w:w="86"/>
      </w:tblGrid>
      <w:tr>
        <w:tblPrEx>
          <w:tblInd w:w="-497" w:type="dxa"/>
          <w:tblBorders>
            <w:top w:val="single" w:sz="4" w:space="0" w:color="auto"/>
            <w:left w:val="single" w:sz="4" w:space="0" w:color="auto"/>
            <w:bottom w:val="single" w:sz="4" w:space="0" w:color="auto"/>
            <w:right w:val="single" w:sz="4" w:space="0" w:color="auto"/>
          </w:tblBorders>
          <w:tblLayout w:type="fixed"/>
          <w:tblCellMar>
            <w:top w:w="0" w:type="dxa"/>
            <w:left w:w="43" w:type="dxa"/>
            <w:bottom w:w="0" w:type="dxa"/>
            <w:right w:w="43" w:type="dxa"/>
          </w:tblCellMar>
        </w:tblPrEx>
        <w:trPr>
          <w:gridAfter w:val="1"/>
          <w:trHeight w:val="567"/>
        </w:trPr>
        <w:tc>
          <w:tcPr>
            <w:tcW w:w="0" w:type="auto"/>
            <w:gridSpan w:val="6"/>
            <w:tcBorders>
              <w:top w:val="single" w:sz="4" w:space="0" w:color="auto"/>
              <w:left w:val="single" w:sz="12" w:space="0" w:color="auto"/>
              <w:bottom w:val="nil"/>
              <w:right w:val="nil"/>
              <w:tl2br w:val="nil"/>
              <w:tr2bl w:val="nil"/>
            </w:tcBorders>
            <w:textDirection w:val="lrTb"/>
            <w:vAlign w:val="top"/>
          </w:tcPr>
          <w:p>
            <w:pPr>
              <w:pStyle w:val="Heading4"/>
              <w:spacing w:before="120"/>
              <w:outlineLvl w:val="3"/>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Právny akt ES/EÚ</w:t>
            </w:r>
          </w:p>
          <w:p>
            <w:pPr>
              <w:pStyle w:val="Heading4"/>
              <w:spacing w:before="120"/>
              <w:outlineLvl w:val="3"/>
              <w:rPr>
                <w:rStyle w:val="DefaultParagraphFont"/>
                <w:rFonts w:ascii="Times New Roman" w:hAnsi="Times New Roman" w:cs="Times New Roman"/>
                <w:sz w:val="20"/>
                <w:szCs w:val="24"/>
              </w:rPr>
            </w:pPr>
          </w:p>
        </w:tc>
        <w:tc>
          <w:tcPr>
            <w:tcW w:w="0" w:type="auto"/>
            <w:gridSpan w:val="14"/>
            <w:tcBorders>
              <w:top w:val="single" w:sz="4" w:space="0" w:color="auto"/>
              <w:left w:val="nil"/>
              <w:bottom w:val="nil"/>
              <w:right w:val="single" w:sz="12" w:space="0" w:color="auto"/>
              <w:tl2br w:val="nil"/>
              <w:tr2bl w:val="nil"/>
            </w:tcBorders>
            <w:textDirection w:val="lrTb"/>
            <w:vAlign w:val="top"/>
          </w:tcPr>
          <w:p>
            <w:pPr>
              <w:pStyle w:val="Heading4"/>
              <w:spacing w:before="120"/>
              <w:outlineLvl w:val="3"/>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Právne predpisy Slovenskej republiky</w:t>
            </w:r>
          </w:p>
          <w:p>
            <w:pPr>
              <w:pStyle w:val="Header"/>
              <w:tabs>
                <w:tab w:val="left" w:pos="709"/>
              </w:tabs>
              <w:jc w:val="center"/>
              <w:rPr>
                <w:rStyle w:val="DefaultParagraphFont"/>
                <w:rFonts w:ascii="Times New Roman" w:hAnsi="Times New Roman" w:cs="Times New Roman"/>
                <w:szCs w:val="24"/>
              </w:rPr>
            </w:pPr>
          </w:p>
        </w:tc>
      </w:tr>
      <w:tr>
        <w:tblPrEx>
          <w:tblInd w:w="-497" w:type="dxa"/>
          <w:tblLayout w:type="fixed"/>
          <w:tblCellMar>
            <w:top w:w="0" w:type="dxa"/>
            <w:left w:w="43" w:type="dxa"/>
            <w:bottom w:w="0" w:type="dxa"/>
            <w:right w:w="43" w:type="dxa"/>
          </w:tblCellMar>
        </w:tblPrEx>
        <w:trPr>
          <w:gridAfter w:val="1"/>
          <w:cantSplit/>
          <w:trHeight w:val="567"/>
        </w:trPr>
        <w:tc>
          <w:tcPr>
            <w:tcW w:w="0" w:type="auto"/>
            <w:gridSpan w:val="6"/>
            <w:tcBorders>
              <w:top w:val="nil"/>
              <w:left w:val="single" w:sz="12" w:space="0" w:color="auto"/>
              <w:bottom w:val="nil"/>
              <w:right w:val="nil"/>
              <w:tl2br w:val="nil"/>
              <w:tr2bl w:val="nil"/>
            </w:tcBorders>
            <w:textDirection w:val="lrTb"/>
            <w:vAlign w:val="top"/>
          </w:tcPr>
          <w:p>
            <w:pPr>
              <w:pStyle w:val="odsek"/>
              <w:snapToGrid w:val="0"/>
              <w:spacing w:before="0" w:after="0"/>
              <w:ind w:firstLine="0"/>
              <w:rPr>
                <w:rStyle w:val="DefaultParagraphFont"/>
                <w:rFonts w:ascii="Times New Roman" w:hAnsi="Times New Roman" w:cs="Times New Roman"/>
                <w:i/>
                <w:szCs w:val="24"/>
              </w:rPr>
            </w:pPr>
            <w:r>
              <w:rPr>
                <w:rStyle w:val="DefaultParagraphFont"/>
                <w:rFonts w:ascii="Times New Roman" w:hAnsi="Times New Roman" w:cs="Times New Roman"/>
                <w:b/>
                <w:szCs w:val="24"/>
              </w:rPr>
              <w:t xml:space="preserve">Smernica Rady 98/24/ES </w:t>
            </w:r>
            <w:r>
              <w:rPr>
                <w:rStyle w:val="DefaultParagraphFont"/>
                <w:rFonts w:ascii="Times New Roman" w:hAnsi="Times New Roman" w:cs="Times New Roman"/>
                <w:szCs w:val="24"/>
              </w:rPr>
              <w:t>o ochrane zdravia a bezpečnosti pracovn</w:t>
            </w:r>
            <w:r>
              <w:rPr>
                <w:rStyle w:val="DefaultParagraphFont"/>
                <w:rFonts w:ascii="Times New Roman" w:hAnsi="Times New Roman" w:cs="Times New Roman"/>
                <w:szCs w:val="24"/>
              </w:rPr>
              <w:t>íkov pred rizikami súvisiacimi s chemickými faktormi pri práci</w:t>
            </w:r>
            <w:r>
              <w:rPr>
                <w:rStyle w:val="DefaultParagraphFont"/>
                <w:rFonts w:ascii="Times New Roman" w:hAnsi="Times New Roman" w:cs="Times New Roman"/>
                <w:i/>
                <w:szCs w:val="24"/>
              </w:rPr>
              <w:t xml:space="preserve"> (Ú. v. ES L 131, 5.5.1998)</w:t>
            </w:r>
          </w:p>
          <w:p>
            <w:pPr>
              <w:pStyle w:val="odsek"/>
              <w:snapToGrid w:val="0"/>
              <w:spacing w:before="0" w:after="0"/>
              <w:ind w:firstLine="0"/>
              <w:rPr>
                <w:rStyle w:val="DefaultParagraphFont"/>
                <w:rFonts w:ascii="Times New Roman" w:hAnsi="Times New Roman" w:cs="Times New Roman"/>
                <w:i/>
                <w:szCs w:val="24"/>
              </w:rPr>
            </w:pPr>
          </w:p>
          <w:p>
            <w:pPr>
              <w:pStyle w:val="odsek"/>
              <w:snapToGrid w:val="0"/>
              <w:spacing w:before="0" w:after="0"/>
              <w:ind w:firstLine="0"/>
              <w:rPr>
                <w:rStyle w:val="DefaultParagraphFont"/>
                <w:rFonts w:ascii="Times New Roman" w:hAnsi="Times New Roman" w:cs="Times New Roman"/>
                <w:i/>
                <w:szCs w:val="24"/>
              </w:rPr>
            </w:pPr>
            <w:r>
              <w:rPr>
                <w:rStyle w:val="DefaultParagraphFont"/>
                <w:rFonts w:ascii="Times New Roman" w:hAnsi="Times New Roman" w:cs="Times New Roman"/>
                <w:b/>
                <w:szCs w:val="24"/>
              </w:rPr>
              <w:t>Smernica Komisie 2000/39/ES</w:t>
            </w:r>
            <w:r>
              <w:rPr>
                <w:rStyle w:val="DefaultParagraphFont"/>
                <w:rFonts w:ascii="Times New Roman" w:hAnsi="Times New Roman" w:cs="Times New Roman"/>
                <w:szCs w:val="24"/>
              </w:rPr>
              <w:t>, ktorou sa ustanovuje prvý zoznam smerných najvyšších prípustných hodnôt vystavenia pri práci na vykonanie smernice Rady 98/24/ES o ochra</w:t>
            </w:r>
            <w:r>
              <w:rPr>
                <w:rStyle w:val="DefaultParagraphFont"/>
                <w:rFonts w:ascii="Times New Roman" w:hAnsi="Times New Roman" w:cs="Times New Roman"/>
                <w:szCs w:val="24"/>
              </w:rPr>
              <w:t>ne zdravia a bezpečnosti pracovníkov pred rizikami súvisiacimi s chemickými faktormi pri práci</w:t>
            </w:r>
            <w:r>
              <w:rPr>
                <w:rStyle w:val="DefaultParagraphFont"/>
                <w:rFonts w:ascii="Times New Roman" w:hAnsi="Times New Roman" w:cs="Times New Roman"/>
                <w:i/>
                <w:szCs w:val="24"/>
              </w:rPr>
              <w:t xml:space="preserve"> (Ú. v. ES L 142, 16.6.2000)</w:t>
            </w:r>
          </w:p>
          <w:p>
            <w:pPr>
              <w:pStyle w:val="odsek"/>
              <w:snapToGrid w:val="0"/>
              <w:spacing w:before="0" w:after="0"/>
              <w:ind w:firstLine="0"/>
              <w:rPr>
                <w:rStyle w:val="DefaultParagraphFont"/>
                <w:rFonts w:ascii="Times New Roman" w:hAnsi="Times New Roman" w:cs="Times New Roman"/>
                <w:i/>
                <w:szCs w:val="24"/>
              </w:rPr>
            </w:pPr>
          </w:p>
          <w:p>
            <w:pPr>
              <w:rPr>
                <w:rStyle w:val="DefaultParagraphFont"/>
                <w:rFonts w:ascii="Times New Roman" w:hAnsi="Times New Roman" w:cs="Times New Roman"/>
                <w:i/>
                <w:szCs w:val="24"/>
              </w:rPr>
            </w:pPr>
            <w:r>
              <w:rPr>
                <w:rStyle w:val="DefaultParagraphFont"/>
                <w:rFonts w:ascii="Times New Roman" w:hAnsi="Times New Roman" w:cs="Times New Roman"/>
                <w:b/>
                <w:szCs w:val="24"/>
              </w:rPr>
              <w:t xml:space="preserve">Smernica Komisie 91/322/EHS </w:t>
            </w:r>
            <w:r>
              <w:rPr>
                <w:rStyle w:val="DefaultParagraphFont"/>
                <w:rFonts w:ascii="Times New Roman" w:hAnsi="Times New Roman" w:cs="Times New Roman"/>
                <w:szCs w:val="24"/>
              </w:rPr>
              <w:t>o stanovovaní indikačných limitných hodnôt implementáciou smernice Rady 80/1107/EHS o ochrane pracovníko</w:t>
            </w:r>
            <w:r>
              <w:rPr>
                <w:rStyle w:val="DefaultParagraphFont"/>
                <w:rFonts w:ascii="Times New Roman" w:hAnsi="Times New Roman" w:cs="Times New Roman"/>
                <w:szCs w:val="24"/>
              </w:rPr>
              <w:t>v pred rizikami spôsobenými ohrozením chemickými, fyzikálnymi a biologickými faktormi pri práci</w:t>
            </w:r>
            <w:r>
              <w:rPr>
                <w:rStyle w:val="DefaultParagraphFont"/>
                <w:rFonts w:ascii="Times New Roman" w:hAnsi="Times New Roman" w:cs="Times New Roman"/>
                <w:i/>
                <w:szCs w:val="24"/>
              </w:rPr>
              <w:t xml:space="preserve"> (Ú. v. ES L 177, 15.7.1991)</w:t>
            </w:r>
          </w:p>
          <w:p>
            <w:pPr>
              <w:rPr>
                <w:rStyle w:val="DefaultParagraphFont"/>
                <w:rFonts w:ascii="Times New Roman" w:hAnsi="Times New Roman" w:cs="Times New Roman"/>
                <w:szCs w:val="24"/>
              </w:rPr>
            </w:pPr>
          </w:p>
          <w:p>
            <w:pPr>
              <w:pStyle w:val="odsek"/>
              <w:snapToGrid w:val="0"/>
              <w:spacing w:before="0" w:after="0"/>
              <w:ind w:firstLine="0"/>
              <w:rPr>
                <w:rStyle w:val="DefaultParagraphFont"/>
                <w:rFonts w:ascii="Times New Roman" w:hAnsi="Times New Roman" w:cs="Times New Roman"/>
                <w:i/>
                <w:szCs w:val="24"/>
              </w:rPr>
            </w:pPr>
            <w:r>
              <w:rPr>
                <w:rStyle w:val="DefaultParagraphFont"/>
                <w:rFonts w:ascii="Times New Roman" w:hAnsi="Times New Roman" w:cs="Times New Roman"/>
                <w:b/>
                <w:szCs w:val="24"/>
              </w:rPr>
              <w:t>Smernica Komisie 2006/15/ES</w:t>
            </w:r>
            <w:r>
              <w:rPr>
                <w:rStyle w:val="DefaultParagraphFont"/>
                <w:rFonts w:ascii="Times New Roman" w:hAnsi="Times New Roman" w:cs="Times New Roman"/>
                <w:szCs w:val="24"/>
              </w:rPr>
              <w:t>, ktorou sa ustanovuje druhý zoznam smerných najvyšších prípustných hodnôt vystavenia pri práci na imple</w:t>
            </w:r>
            <w:r>
              <w:rPr>
                <w:rStyle w:val="DefaultParagraphFont"/>
                <w:rFonts w:ascii="Times New Roman" w:hAnsi="Times New Roman" w:cs="Times New Roman"/>
                <w:szCs w:val="24"/>
              </w:rPr>
              <w:t xml:space="preserve">mentáciu smernice Rady 98/24/ES  a ktorou sa menia a dopĺňajú smernice 91/322/EHS a 2000/39/ES </w:t>
            </w:r>
            <w:r>
              <w:rPr>
                <w:rStyle w:val="DefaultParagraphFont"/>
                <w:rFonts w:ascii="Times New Roman" w:hAnsi="Times New Roman" w:cs="Times New Roman"/>
                <w:i/>
                <w:szCs w:val="24"/>
              </w:rPr>
              <w:t>(Ú. v. EÚ L 038, 9.2.2006)</w:t>
            </w:r>
          </w:p>
          <w:p>
            <w:pPr>
              <w:pStyle w:val="Normlny"/>
              <w:rPr>
                <w:rStyle w:val="DefaultParagraphFont"/>
                <w:rFonts w:ascii="Times New Roman" w:hAnsi="Times New Roman" w:cs="Times New Roman"/>
                <w:szCs w:val="24"/>
              </w:rPr>
            </w:pPr>
          </w:p>
        </w:tc>
        <w:tc>
          <w:tcPr>
            <w:tcW w:w="0" w:type="auto"/>
            <w:gridSpan w:val="14"/>
            <w:tcBorders>
              <w:top w:val="nil"/>
              <w:left w:val="nil"/>
              <w:bottom w:val="nil"/>
              <w:right w:val="single" w:sz="12" w:space="0" w:color="auto"/>
              <w:tl2br w:val="nil"/>
              <w:tr2bl w:val="nil"/>
            </w:tcBorders>
            <w:textDirection w:val="lrTb"/>
            <w:vAlign w:val="top"/>
          </w:tcPr>
          <w:p>
            <w:pPr>
              <w:pStyle w:val="Nadpis2Nadpis-tun"/>
              <w:spacing w:before="0"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Návrh zákona o ochrane, podpore a rozvoji verejného zdravia</w:t>
            </w:r>
          </w:p>
          <w:p>
            <w:pPr>
              <w:pStyle w:val="Nadpis2Nadpis-tun"/>
              <w:spacing w:before="0" w:after="0"/>
              <w:jc w:val="both"/>
              <w:rPr>
                <w:rStyle w:val="DefaultParagraphFont"/>
                <w:rFonts w:ascii="Times New Roman" w:hAnsi="Times New Roman" w:cs="Times New Roman"/>
                <w:szCs w:val="24"/>
              </w:rPr>
            </w:pPr>
          </w:p>
          <w:p>
            <w:pPr>
              <w:pStyle w:val="Nadpis2Nadpis-tun"/>
              <w:spacing w:before="0"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Slovenskej republiky č. 355/2006 Z. z.</w:t>
            </w:r>
            <w:r>
              <w:rPr>
                <w:rStyle w:val="DefaultParagraphFont"/>
                <w:rFonts w:ascii="Times New Roman" w:hAnsi="Times New Roman" w:cs="Times New Roman"/>
                <w:b w:val="0"/>
                <w:szCs w:val="24"/>
              </w:rPr>
              <w:t xml:space="preserve"> </w:t>
            </w:r>
            <w:r>
              <w:rPr>
                <w:rStyle w:val="DefaultParagraphFont"/>
                <w:rFonts w:ascii="Times New Roman" w:hAnsi="Times New Roman" w:cs="Times New Roman"/>
                <w:szCs w:val="24"/>
              </w:rPr>
              <w:t>o ochrane zamestnancov pred rizikami súvisiacimi s expozíciou chemickým faktorom pri práci</w:t>
            </w:r>
          </w:p>
          <w:p>
            <w:pPr>
              <w:pStyle w:val="Nadpis"/>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Zákon č. 575/2001 Z. z. o organizácii činnosti vlády a organizácii ústrednej štátnej správy v znení neskorších predpisov</w:t>
            </w:r>
          </w:p>
          <w:p>
            <w:pPr>
              <w:pStyle w:val="BodyText"/>
              <w:rPr>
                <w:rStyle w:val="DefaultParagraphFont"/>
                <w:rFonts w:ascii="Times New Roman" w:hAnsi="Times New Roman" w:cs="Times New Roman"/>
                <w:szCs w:val="24"/>
                <w:lang w:val="sk-SK"/>
              </w:rPr>
            </w:pPr>
          </w:p>
          <w:p>
            <w:pPr>
              <w:pStyle w:val="BodyText"/>
              <w:rPr>
                <w:rStyle w:val="DefaultParagraphFont"/>
                <w:rFonts w:ascii="Times New Roman" w:hAnsi="Times New Roman" w:cs="Times New Roman"/>
                <w:szCs w:val="24"/>
                <w:lang w:val="sk-SK"/>
              </w:rPr>
            </w:pPr>
          </w:p>
          <w:p>
            <w:pPr>
              <w:pStyle w:val="Normlny"/>
              <w:rPr>
                <w:rStyle w:val="DefaultParagraphFont"/>
                <w:rFonts w:ascii="Times New Roman" w:hAnsi="Times New Roman" w:cs="Times New Roman"/>
                <w:b/>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gridSpan w:val="3"/>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w:t>
            </w:r>
          </w:p>
        </w:tc>
        <w:tc>
          <w:tcPr>
            <w:tcW w:w="0" w:type="auto"/>
            <w:gridSpan w:val="2"/>
            <w:tcBorders>
              <w:top w:val="nil"/>
              <w:left w:val="nil"/>
              <w:bottom w:val="nil"/>
              <w:right w:val="nil"/>
              <w:tl2br w:val="nil"/>
              <w:tr2bl w:val="nil"/>
            </w:tcBorders>
            <w:textDirection w:val="lrTb"/>
            <w:vAlign w:val="top"/>
          </w:tcPr>
          <w:p>
            <w:pPr>
              <w:pStyle w:val="BodyText2"/>
              <w:spacing w:after="0" w:line="240" w:lineRule="exact"/>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gridSpan w:val="2"/>
            <w:tcBorders>
              <w:top w:val="nil"/>
              <w:left w:val="nil"/>
              <w:bottom w:val="nil"/>
              <w:right w:val="nil"/>
              <w:tl2br w:val="nil"/>
              <w:tr2bl w:val="nil"/>
            </w:tcBorders>
            <w:textDirection w:val="lrTb"/>
            <w:vAlign w:val="top"/>
          </w:tcPr>
          <w:p>
            <w:pPr>
              <w:pStyle w:val="BodyText2"/>
              <w:spacing w:after="0" w:line="240" w:lineRule="exact"/>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w:t>
            </w:r>
          </w:p>
        </w:tc>
        <w:tc>
          <w:tcPr>
            <w:tcW w:w="0" w:type="auto"/>
            <w:gridSpan w:val="2"/>
            <w:tcBorders>
              <w:top w:val="nil"/>
              <w:left w:val="nil"/>
              <w:bottom w:val="nil"/>
              <w:right w:val="single" w:sz="12"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w:t>
            </w:r>
          </w:p>
          <w:p>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O,</w:t>
            </w:r>
          </w:p>
          <w:p>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V, P)</w:t>
            </w:r>
          </w:p>
        </w:tc>
        <w:tc>
          <w:tcPr>
            <w:tcW w:w="0" w:type="auto"/>
            <w:gridSpan w:val="3"/>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Spôsob transp.</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 O, D, n.a.)</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Číslo</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Článok</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Zhoda</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Admin. infraštr.</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Poznámky</w:t>
            </w:r>
          </w:p>
          <w:p>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(pri návrhu predpisu – predpokladaný dátum účinnosti**)</w:t>
            </w:r>
          </w:p>
        </w:tc>
        <w:tc>
          <w:tcPr>
            <w:tcW w:w="0" w:type="auto"/>
            <w:gridSpan w:val="2"/>
            <w:tcBorders>
              <w:top w:val="nil"/>
              <w:left w:val="nil"/>
              <w:bottom w:val="nil"/>
              <w:right w:val="single" w:sz="12" w:space="0" w:color="auto"/>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Štádium legislatívneho procesu</w:t>
            </w: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w:t>
            </w:r>
          </w:p>
        </w:tc>
        <w:tc>
          <w:tcPr>
            <w:tcW w:w="0" w:type="auto"/>
            <w:gridSpan w:val="3"/>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szCs w:val="24"/>
              </w:rPr>
            </w:pPr>
            <w:r>
              <w:rPr>
                <w:rStyle w:val="DefaultParagraphFont"/>
                <w:rFonts w:ascii="Times New Roman" w:hAnsi="Times New Roman" w:cs="Times New Roman"/>
                <w:szCs w:val="24"/>
              </w:rPr>
              <w:t>Cieľ a predmet</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Predmet úpravy  </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Táto smernica, ktorá je štrnástou samostatno</w:t>
            </w:r>
            <w:r>
              <w:rPr>
                <w:rStyle w:val="WW8Num26z0"/>
                <w:rFonts w:ascii="Times New Roman" w:hAnsi="Times New Roman" w:cs="Times New Roman"/>
                <w:szCs w:val="24"/>
              </w:rPr>
              <w:t xml:space="preserve">u smernicou v zmysle článku 16 ods. 1 smernice 89/391/EHS, stanovuje minimálne požiadavky na ochranu pracovníkov pred rizikami ohrozujúcimi ich bezpečnosť a zdravie, ktoré sú alebo by mohli byť zapríčinené účinkami chemických faktorov vyskytujúcich sa na </w:t>
            </w:r>
            <w:r>
              <w:rPr>
                <w:rStyle w:val="WW8Num26z0"/>
                <w:rFonts w:ascii="Times New Roman" w:hAnsi="Times New Roman" w:cs="Times New Roman"/>
                <w:szCs w:val="24"/>
              </w:rPr>
              <w:t>p</w:t>
            </w:r>
            <w:r>
              <w:rPr>
                <w:rStyle w:val="WW8Num26z0"/>
                <w:rFonts w:ascii="Times New Roman" w:hAnsi="Times New Roman" w:cs="Times New Roman"/>
                <w:szCs w:val="24"/>
              </w:rPr>
              <w:t>racovisku, alebo ako dôsledok akejkoľvek pracovnej činnosti súvisiacej s chemickými faktormi.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O:1</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 (1) Toto nariadenie vlády ustanovuje požiadavky na ochranu zamestnancov pred rizikami súvisiacimi s  expozíciou  chemickým faktorom pri práci a na predchádzanie týmto rizikám; vzťahuje sa na všetky činnosti, pri ktorých zamestnanci sú alebo môžu byť pri práci exponovaní chemickým faktorom.</w:t>
            </w:r>
          </w:p>
          <w:p>
            <w:pPr>
              <w:jc w:val="both"/>
              <w:rPr>
                <w:rStyle w:val="DefaultParagraphFont"/>
                <w:rFonts w:ascii="Times New Roman" w:hAnsi="Times New Roman" w:cs="Times New Roman"/>
                <w:szCs w:val="24"/>
              </w:rPr>
            </w:pP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Požiadavky tejto smernice platia tam, kde sa vyskytujú alebo by sa mohli vyskytovať na pracovisku nebezpečné chemické faktory, s rešpektovaním ustanovení týkajúcich sa chemických faktorov, na ktoré sa vzťahujú opatrenia na ochranu pred radiáciou podľa smerníc prijatých na základe zmluvy o založení Európskeho spo</w:t>
            </w:r>
            <w:r>
              <w:rPr>
                <w:rStyle w:val="WW8Num26z0"/>
                <w:rFonts w:ascii="Times New Roman" w:hAnsi="Times New Roman" w:cs="Times New Roman"/>
                <w:szCs w:val="24"/>
              </w:rPr>
              <w:t>l</w:t>
            </w:r>
            <w:r>
              <w:rPr>
                <w:rStyle w:val="WW8Num26z0"/>
                <w:rFonts w:ascii="Times New Roman" w:hAnsi="Times New Roman" w:cs="Times New Roman"/>
                <w:szCs w:val="24"/>
              </w:rPr>
              <w:t>očenstva pre atómovú energiu.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2</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Na činnosti, pri ktorých zamestnanci sú alebo môžu byť pri práci exponovaní nebezpečným chemickým faktorom, karcinogénnym a mutagénnym faktorom a na prepravu nebezpečných chemických faktorov sa ustanovenia tohto nariadenia vlády vzťahujú bez toho, aby boli dotknuté ustanovenia osobitných predpisov.</w:t>
            </w:r>
            <w:r>
              <w:rPr>
                <w:rStyle w:val="DefaultParagraphFont"/>
                <w:rFonts w:ascii="Times New Roman" w:hAnsi="Times New Roman" w:cs="Times New Roman"/>
                <w:szCs w:val="24"/>
                <w:vertAlign w:val="superscript"/>
                <w:lang w:val="sk-SK"/>
              </w:rPr>
              <w:t>1</w:t>
            </w:r>
            <w:r>
              <w:rPr>
                <w:rStyle w:val="DefaultParagraphFont"/>
                <w:rFonts w:ascii="Times New Roman" w:hAnsi="Times New Roman" w:cs="Times New Roman"/>
                <w:szCs w:val="24"/>
                <w:lang w:val="sk-SK"/>
              </w:rPr>
              <w:t xml:space="preserve">) </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FootnoteText"/>
              <w:ind w:left="32" w:hanging="32"/>
              <w:jc w:val="both"/>
              <w:rPr>
                <w:rStyle w:val="DefaultParagraphFont"/>
                <w:rFonts w:ascii="Times New Roman" w:hAnsi="Times New Roman" w:cs="Times New Roman"/>
                <w:szCs w:val="24"/>
              </w:rPr>
            </w:pPr>
            <w:r>
              <w:rPr>
                <w:rStyle w:val="FootnoteReference"/>
                <w:rFonts w:ascii="Times New Roman" w:hAnsi="Times New Roman" w:cs="Times New Roman"/>
                <w:szCs w:val="24"/>
              </w:rPr>
              <w:footnoteRef/>
            </w:r>
            <w:r>
              <w:rPr>
                <w:rStyle w:val="DefaultParagraphFont"/>
                <w:rFonts w:ascii="Times New Roman" w:hAnsi="Times New Roman" w:cs="Times New Roman"/>
                <w:szCs w:val="24"/>
              </w:rPr>
              <w:t>) Napríklad nariadenie vlády Slovenskej republiky č. 345/2006 Z. z. o základných požiadavkách na ochranu pracovníkov a obyvateľstva pred ionizujúcim žiarením, zákon Národnej rady Slovenskej republiky č. 168/1996 Z. z. o cestnej doprave v znení neskorších predpisov, nariadenie vlády Slovenskej republiky č. 356/2006 Z. z. o ochrane zamestnancov pred rizikami súvisiaci</w:t>
            </w:r>
            <w:r>
              <w:rPr>
                <w:rStyle w:val="DefaultParagraphFont"/>
                <w:rFonts w:ascii="Times New Roman" w:hAnsi="Times New Roman" w:cs="Times New Roman"/>
                <w:szCs w:val="24"/>
              </w:rPr>
              <w:t>m</w:t>
            </w:r>
            <w:r>
              <w:rPr>
                <w:rStyle w:val="DefaultParagraphFont"/>
                <w:rFonts w:ascii="Times New Roman" w:hAnsi="Times New Roman" w:cs="Times New Roman"/>
                <w:szCs w:val="24"/>
              </w:rPr>
              <w:t>i s expozíciou karcinogénnym a mutagénnym faktorom pri práci, vyhláška ministra zahraničných vecí Československej socialistickej republiky č. 64/1987 Zb. o Európskej dohode o medzinárodnej cestnej preprave nebezpečných vecí (ADR).</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Pre karcinogény na pracovisku platia ustanovenia tejto smernice s rešpektovaním prísnejších a/alebo osobitných ustanovení obsiahnutých v smernici Rady 90/394/EHS z 28. júna 1990 o ochrane pracovníkov pred rizikami súvisiacimi s pôsobením karcinogénov (šiesta in</w:t>
            </w:r>
            <w:r>
              <w:rPr>
                <w:rStyle w:val="WW8Num26z0"/>
                <w:rFonts w:ascii="Times New Roman" w:hAnsi="Times New Roman" w:cs="Times New Roman"/>
                <w:szCs w:val="24"/>
              </w:rPr>
              <w:t>dividuálna smernica v zmysle článku 16 ods. 1 smernice  89/391/EHS)  (15).</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2</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Na činnosti, pri ktorých zamestnanci sú alebo môžu byť pri práci exponovaní nebezpečným chemickým faktorom, karcinogénnym a mutagénnym faktorom a na prepravu nebezpečných chemických faktorov sa ustanovenia tohto nariadenia vlády vzťahujú bez toho, aby boli dotknuté ustanovenia osobitných predpisov.</w:t>
            </w:r>
            <w:r>
              <w:rPr>
                <w:rStyle w:val="DefaultParagraphFont"/>
                <w:rFonts w:ascii="Times New Roman" w:hAnsi="Times New Roman" w:cs="Times New Roman"/>
                <w:szCs w:val="24"/>
                <w:vertAlign w:val="superscript"/>
                <w:lang w:val="sk-SK"/>
              </w:rPr>
              <w:t>1</w:t>
            </w:r>
            <w:r>
              <w:rPr>
                <w:rStyle w:val="DefaultParagraphFont"/>
                <w:rFonts w:ascii="Times New Roman" w:hAnsi="Times New Roman" w:cs="Times New Roman"/>
                <w:szCs w:val="24"/>
                <w:lang w:val="sk-SK"/>
              </w:rPr>
              <w:t xml:space="preserve">) </w:t>
            </w:r>
          </w:p>
          <w:p>
            <w:pPr>
              <w:pStyle w:val="FootnoteText"/>
              <w:ind w:left="32" w:hanging="32"/>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Ustanovenia smernice  89/391/EHS sa v plnom rozsahu vzťahujú na celú oblasť uvedenú v tomto článku s rešpektovaním prísnejších a/alebo osobitných ustanovení obsiahnutých v tejto smernici.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3</w:t>
            </w:r>
          </w:p>
        </w:tc>
        <w:tc>
          <w:tcPr>
            <w:tcW w:w="0" w:type="auto"/>
            <w:gridSpan w:val="2"/>
            <w:tcBorders>
              <w:top w:val="nil"/>
              <w:left w:val="nil"/>
              <w:bottom w:val="nil"/>
              <w:right w:val="nil"/>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(3) Na činnosti uvedené v odseku 1 sa vzťahujú ustanovenia osobitného predpisu</w:t>
            </w:r>
            <w:r>
              <w:rPr>
                <w:rStyle w:val="DefaultParagraphFont"/>
                <w:rFonts w:ascii="Times New Roman" w:hAnsi="Times New Roman" w:cs="Times New Roman"/>
                <w:szCs w:val="24"/>
                <w:vertAlign w:val="superscript"/>
              </w:rPr>
              <w:t>2</w:t>
            </w:r>
            <w:r>
              <w:rPr>
                <w:rStyle w:val="DefaultParagraphFont"/>
                <w:rFonts w:ascii="Times New Roman" w:hAnsi="Times New Roman" w:cs="Times New Roman"/>
                <w:szCs w:val="24"/>
              </w:rPr>
              <w:t>) b</w:t>
            </w:r>
            <w:r>
              <w:rPr>
                <w:rStyle w:val="DefaultParagraphFont"/>
                <w:rFonts w:ascii="Times New Roman" w:hAnsi="Times New Roman" w:cs="Times New Roman"/>
                <w:szCs w:val="24"/>
              </w:rPr>
              <w:t>ez toho, aby boli dotknuté požiadavky ustanovené týmto nariadením vlády.</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w:t>
            </w:r>
          </w:p>
          <w:p>
            <w:pPr>
              <w:pStyle w:val="BodyText"/>
              <w:spacing w:before="0" w:after="0"/>
              <w:rPr>
                <w:rStyle w:val="DefaultParagraphFont"/>
                <w:rFonts w:ascii="Times New Roman" w:hAnsi="Times New Roman" w:cs="Times New Roman"/>
                <w:color w:val="FF0000"/>
                <w:szCs w:val="24"/>
                <w:lang w:val="sk-SK"/>
              </w:rPr>
            </w:pPr>
            <w:r>
              <w:rPr>
                <w:rStyle w:val="FootnoteReference"/>
                <w:rFonts w:ascii="Times New Roman" w:hAnsi="Times New Roman" w:cs="Times New Roman"/>
                <w:szCs w:val="24"/>
                <w:lang w:val="sk-SK"/>
              </w:rPr>
              <w:t>2</w:t>
            </w:r>
            <w:r>
              <w:rPr>
                <w:rStyle w:val="DefaultParagraphFont"/>
                <w:rFonts w:ascii="Times New Roman" w:hAnsi="Times New Roman" w:cs="Times New Roman"/>
                <w:szCs w:val="24"/>
                <w:lang w:val="sk-SK"/>
              </w:rPr>
              <w:t>) Zákon Národnej rady Slovenskej republiky č. 330/1996 Z. z.  o bezpečnosti a ochrane zdravia pri práci v znení neskorších predpisov.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O:5</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Pokiaľ ide o dopravu nebezpečných chemických faktorov, ustanovenia tejto smernice platia s rešpektovaním prísnejších a/alebo osobitných ustanovení obsiahnutých v smernici  94/55/ES  (16), v smernici  96/49/ES  (17), v ustanoveniach  Kódexu IDMG, Kódexu IBC a Kódexu IGC p</w:t>
            </w:r>
            <w:r>
              <w:rPr>
                <w:rStyle w:val="WW8Num26z0"/>
                <w:rFonts w:ascii="Times New Roman" w:hAnsi="Times New Roman" w:cs="Times New Roman"/>
                <w:szCs w:val="24"/>
              </w:rPr>
              <w:t>o</w:t>
            </w:r>
            <w:r>
              <w:rPr>
                <w:rStyle w:val="WW8Num26z0"/>
                <w:rFonts w:ascii="Times New Roman" w:hAnsi="Times New Roman" w:cs="Times New Roman"/>
                <w:szCs w:val="24"/>
              </w:rPr>
              <w:t>dľa článku 2 smernice 93/75/EHS (18), v ustanoveniach Európskej zmluvy o medzinárodnej doprave nebezpečných tovarov po vnútrozemských vodných cestách a v ustanoveniach Nariadenia o doprave nebezpečných látok po Rýne zahrnutých v právnom poriadku Spoločens</w:t>
            </w:r>
            <w:r>
              <w:rPr>
                <w:rStyle w:val="WW8Num26z0"/>
                <w:rFonts w:ascii="Times New Roman" w:hAnsi="Times New Roman" w:cs="Times New Roman"/>
                <w:szCs w:val="24"/>
              </w:rPr>
              <w:t>t</w:t>
            </w:r>
            <w:r>
              <w:rPr>
                <w:rStyle w:val="WW8Num26z0"/>
                <w:rFonts w:ascii="Times New Roman" w:hAnsi="Times New Roman" w:cs="Times New Roman"/>
                <w:szCs w:val="24"/>
              </w:rPr>
              <w:t>va a v technických pokynoch pre bezpečnú dopravu nebezpečných tovarov, ktoré v deň nadobudnutia účinnosti tejto smernice vydala Medzinárodná organizácia civilného letectva.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2</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Na činnosti, pri ktorých zamestnanci sú alebo môžu byť pri práci exponovaní nebezpečným chemickým faktorom, karcinogénnym a mutagénnym faktorom a na prepravu nebezpečných chemických faktorov sa ustanovenia tohto nariadenia vlády vzťahujú bez toho, aby boli dotknuté ustanovenia osobitný</w:t>
            </w:r>
            <w:r>
              <w:rPr>
                <w:rStyle w:val="DefaultParagraphFont"/>
                <w:rFonts w:ascii="Times New Roman" w:hAnsi="Times New Roman" w:cs="Times New Roman"/>
                <w:szCs w:val="24"/>
                <w:lang w:val="sk-SK"/>
              </w:rPr>
              <w:t>ch predpisov.</w:t>
            </w:r>
            <w:r>
              <w:rPr>
                <w:rStyle w:val="DefaultParagraphFont"/>
                <w:rFonts w:ascii="Times New Roman" w:hAnsi="Times New Roman" w:cs="Times New Roman"/>
                <w:szCs w:val="24"/>
                <w:vertAlign w:val="superscript"/>
                <w:lang w:val="sk-SK"/>
              </w:rPr>
              <w:t>1</w:t>
            </w:r>
            <w:r>
              <w:rPr>
                <w:rStyle w:val="DefaultParagraphFont"/>
                <w:rFonts w:ascii="Times New Roman" w:hAnsi="Times New Roman" w:cs="Times New Roman"/>
                <w:szCs w:val="24"/>
                <w:lang w:val="sk-SK"/>
              </w:rPr>
              <w:t>)</w:t>
            </w:r>
          </w:p>
          <w:p>
            <w:pPr>
              <w:pStyle w:val="FootnoteText"/>
              <w:ind w:left="32" w:hanging="32"/>
              <w:rPr>
                <w:rStyle w:val="DefaultParagraphFont"/>
                <w:rFonts w:ascii="Times New Roman" w:hAnsi="Times New Roman" w:cs="Times New Roman"/>
                <w:color w:val="FF0000"/>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Č:2</w:t>
            </w:r>
          </w:p>
        </w:tc>
        <w:tc>
          <w:tcPr>
            <w:tcW w:w="0" w:type="auto"/>
            <w:gridSpan w:val="3"/>
            <w:tcBorders>
              <w:top w:val="nil"/>
              <w:left w:val="nil"/>
              <w:bottom w:val="nil"/>
              <w:right w:val="nil"/>
              <w:tl2br w:val="nil"/>
              <w:tr2bl w:val="nil"/>
            </w:tcBorders>
            <w:textDirection w:val="lrTb"/>
            <w:vAlign w:val="top"/>
          </w:tcPr>
          <w:p>
            <w:pPr>
              <w:pStyle w:val="CommentSubject"/>
              <w:rPr>
                <w:rStyle w:val="WW8Num26z0"/>
                <w:rFonts w:ascii="Times New Roman" w:hAnsi="Times New Roman" w:cs="Times New Roman"/>
                <w:szCs w:val="24"/>
              </w:rPr>
            </w:pPr>
            <w:r>
              <w:rPr>
                <w:rStyle w:val="WW8Num26z0"/>
                <w:rFonts w:ascii="Times New Roman" w:hAnsi="Times New Roman" w:cs="Times New Roman"/>
                <w:szCs w:val="24"/>
              </w:rPr>
              <w:t>Definície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ind w:firstLine="360"/>
              <w:rPr>
                <w:rStyle w:val="DefaultParagraphFont"/>
                <w:rFonts w:ascii="Times New Roman" w:hAnsi="Times New Roman" w:cs="Times New Roman"/>
                <w:b/>
                <w:szCs w:val="24"/>
              </w:rPr>
            </w:pPr>
            <w:r>
              <w:rPr>
                <w:rStyle w:val="DefaultParagraphFont"/>
                <w:rFonts w:ascii="Times New Roman" w:hAnsi="Times New Roman" w:cs="Times New Roman"/>
                <w:b/>
                <w:szCs w:val="24"/>
              </w:rPr>
              <w:t>Základné pojmy</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Č:2</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 a b)</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Na účely tejto smernice budú mať používané termíny tieto významy:</w:t>
            </w:r>
          </w:p>
          <w:p>
            <w:pPr>
              <w:jc w:val="both"/>
              <w:rPr>
                <w:rStyle w:val="WW8Num26z0"/>
                <w:rFonts w:ascii="Times New Roman" w:hAnsi="Times New Roman" w:cs="Times New Roman"/>
                <w:szCs w:val="24"/>
              </w:rPr>
            </w:pPr>
            <w:r>
              <w:rPr>
                <w:rStyle w:val="WW8Num26z0"/>
                <w:rFonts w:ascii="Times New Roman" w:hAnsi="Times New Roman" w:cs="Times New Roman"/>
                <w:szCs w:val="24"/>
              </w:rPr>
              <w:t>”Chemický faktor” znamená akýkoľvek chemický prvok alebo zlúčeninu samostatne alebo  ako súčasť zmesi, ako sa vyskytuje v prírodnom stave alebo je vyrobená, použitá alebo uvoľnená, vrátane uvoľnenia vo forme odpadu, pri akejkoľvek pracovnej činnosti, bez ohľadu na to, či je alebo nie je vyrobená zámerne a či je alebo nie je umiestnená na trhu,</w:t>
            </w:r>
          </w:p>
          <w:p>
            <w:pPr>
              <w:rPr>
                <w:rStyle w:val="WW8Num26z0"/>
                <w:rFonts w:ascii="Times New Roman" w:hAnsi="Times New Roman" w:cs="Times New Roman"/>
                <w:szCs w:val="24"/>
              </w:rPr>
            </w:pPr>
          </w:p>
          <w:p>
            <w:pPr>
              <w:jc w:val="both"/>
              <w:rPr>
                <w:rStyle w:val="WW8Num26z0"/>
                <w:rFonts w:ascii="Times New Roman" w:hAnsi="Times New Roman" w:cs="Times New Roman"/>
                <w:szCs w:val="24"/>
              </w:rPr>
            </w:pPr>
            <w:r>
              <w:rPr>
                <w:rStyle w:val="WW8Num26z0"/>
                <w:rFonts w:ascii="Times New Roman" w:hAnsi="Times New Roman" w:cs="Times New Roman"/>
                <w:szCs w:val="24"/>
              </w:rPr>
              <w:t xml:space="preserve">”Nebezpečný chemický </w:t>
            </w:r>
            <w:r>
              <w:rPr>
                <w:rStyle w:val="WW8Num26z0"/>
                <w:rFonts w:ascii="Times New Roman" w:hAnsi="Times New Roman" w:cs="Times New Roman"/>
                <w:szCs w:val="24"/>
              </w:rPr>
              <w:t>faktor” znamená:</w:t>
            </w:r>
          </w:p>
          <w:p>
            <w:pPr>
              <w:ind w:firstLine="307"/>
              <w:jc w:val="both"/>
              <w:rPr>
                <w:rStyle w:val="WW8Num26z0"/>
                <w:rFonts w:ascii="Times New Roman" w:hAnsi="Times New Roman" w:cs="Times New Roman"/>
                <w:szCs w:val="24"/>
              </w:rPr>
            </w:pPr>
            <w:r>
              <w:rPr>
                <w:rStyle w:val="WW8Num26z0"/>
                <w:rFonts w:ascii="Times New Roman" w:hAnsi="Times New Roman" w:cs="Times New Roman"/>
                <w:szCs w:val="24"/>
              </w:rPr>
              <w:t>(i) akýkoľvek chemický faktor, ktorý spĺňa kritériá pre klasifikáciu ako nebezpečná látka podľa kritérií v prílohe VI smernice 67/548/EHS, bez ohľadu na to, či je alebo nie je táto látka klasifikovaná podľa uvedenej smernice, na rozdiel od látok, ktoré spĺňajú iba kritériá pre klasifikáciu ako nebezpečné pre životné prostredie,</w:t>
            </w:r>
          </w:p>
          <w:p>
            <w:pPr>
              <w:ind w:firstLine="307"/>
              <w:jc w:val="both"/>
              <w:rPr>
                <w:rStyle w:val="WW8Num26z0"/>
                <w:rFonts w:ascii="Times New Roman" w:hAnsi="Times New Roman" w:cs="Times New Roman"/>
                <w:szCs w:val="24"/>
              </w:rPr>
            </w:pPr>
            <w:r>
              <w:rPr>
                <w:rStyle w:val="WW8Num26z0"/>
                <w:rFonts w:ascii="Times New Roman" w:hAnsi="Times New Roman" w:cs="Times New Roman"/>
                <w:szCs w:val="24"/>
              </w:rPr>
              <w:t>(ii) akýkoľvek chemický faktor, ktorý spĺňa kritériá pre klasifikáciu ako nebezpečný prípravok v zmysle smernice  88/379/EHS bez ohľadu na to, či je alebo nie je klasifikovaný na základe uvedenej smernice, na rozdiel od prípravkov, ktoré spĺňajú iba kritériá pre klasifikáciu ako nebezpečné pre životné prostredie,</w:t>
            </w:r>
          </w:p>
          <w:p>
            <w:pPr>
              <w:ind w:firstLine="307"/>
              <w:jc w:val="both"/>
              <w:rPr>
                <w:rStyle w:val="WW8Num26z0"/>
                <w:rFonts w:ascii="Times New Roman" w:hAnsi="Times New Roman" w:cs="Times New Roman"/>
                <w:szCs w:val="24"/>
              </w:rPr>
            </w:pPr>
            <w:r>
              <w:rPr>
                <w:rStyle w:val="WW8Num26z0"/>
                <w:rFonts w:ascii="Times New Roman" w:hAnsi="Times New Roman" w:cs="Times New Roman"/>
                <w:szCs w:val="24"/>
              </w:rPr>
              <w:t>(iii) akýkoľvek chemický faktor, ktorý aj keď nespĺňa kritériá pre klasifikáciu ako nebezpečný v súlade s (i) a (ii), môže pre svoje fyzikálno-chemické, chemické alebo toxikologické vlastnosti a spôsob, ako sa používa alebo vyskytuje na pracovisku, predstavovať riziko pre bezpečnosť a zdravie pracovníkov, vrátane akéhokoľvek chemického faktora, ktorý má stano</w:t>
            </w:r>
            <w:r>
              <w:rPr>
                <w:rStyle w:val="WW8Num26z0"/>
                <w:rFonts w:ascii="Times New Roman" w:hAnsi="Times New Roman" w:cs="Times New Roman"/>
                <w:szCs w:val="24"/>
              </w:rPr>
              <w:t>v</w:t>
            </w:r>
            <w:r>
              <w:rPr>
                <w:rStyle w:val="WW8Num26z0"/>
                <w:rFonts w:ascii="Times New Roman" w:hAnsi="Times New Roman" w:cs="Times New Roman"/>
                <w:szCs w:val="24"/>
              </w:rPr>
              <w:t>enú podľa článku 3 limitnú hodnotu expozície pri práci.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2</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 a)</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b)</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 1</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 2</w:t>
            </w:r>
          </w:p>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ind w:firstLine="360"/>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Na účely tohto nariadenia </w:t>
            </w:r>
          </w:p>
          <w:p>
            <w:pPr>
              <w:pStyle w:val="Odsekspismenom"/>
              <w:numPr>
                <w:numId w:val="30"/>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chemický faktor je akýkoľvek chemický prvok alebo zlúčenina, ktoré môžu byť súčasťou zmesi, vyskytujú sa v prírodnom stave alebo sú vyrobené, použité alebo uvoľnené, pri akejkoľvek činnosti vrátane vzniknutého odpadu bez ohľadu na to, či sú alebo nie sú vyrobené zámerne alebo či sú alebo nie sú uvedené na trh,</w:t>
            </w:r>
          </w:p>
          <w:p>
            <w:pPr>
              <w:pStyle w:val="Odsekspismenom"/>
              <w:spacing w:before="0"/>
              <w:rPr>
                <w:rStyle w:val="DefaultParagraphFont"/>
                <w:rFonts w:ascii="Times New Roman" w:hAnsi="Times New Roman" w:cs="Times New Roman"/>
                <w:szCs w:val="24"/>
              </w:rPr>
            </w:pPr>
          </w:p>
          <w:p>
            <w:pPr>
              <w:pStyle w:val="Odsekspismenom"/>
              <w:numPr>
                <w:numId w:val="30"/>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nebezpečný chemický faktor je</w:t>
            </w:r>
          </w:p>
          <w:p>
            <w:pPr>
              <w:pStyle w:val="Uroven3"/>
              <w:numPr>
                <w:numId w:val="31"/>
              </w:numPr>
              <w:tabs>
                <w:tab w:val="left" w:pos="360"/>
                <w:tab w:val="clear" w:pos="451"/>
              </w:tabs>
              <w:ind w:left="360"/>
              <w:rPr>
                <w:rStyle w:val="DefaultParagraphFont"/>
                <w:rFonts w:ascii="Times New Roman" w:hAnsi="Times New Roman" w:cs="Times New Roman"/>
                <w:szCs w:val="24"/>
              </w:rPr>
            </w:pPr>
            <w:r>
              <w:rPr>
                <w:rStyle w:val="DefaultParagraphFont"/>
                <w:rFonts w:ascii="Times New Roman" w:hAnsi="Times New Roman" w:cs="Times New Roman"/>
                <w:szCs w:val="24"/>
              </w:rPr>
              <w:t>a</w:t>
            </w:r>
            <w:r>
              <w:rPr>
                <w:rStyle w:val="DefaultParagraphFont"/>
                <w:rFonts w:ascii="Times New Roman" w:hAnsi="Times New Roman" w:cs="Times New Roman"/>
                <w:szCs w:val="24"/>
              </w:rPr>
              <w:t>kýkoľvek chemický faktor, ktorý spĺňa kritériá klasifikácie ako nebezpečná chemická látka alebo nebezpečný chemický prípravok podľa osobitného predpisu</w:t>
            </w:r>
            <w:r>
              <w:rPr>
                <w:rStyle w:val="FootnoteReference"/>
                <w:rFonts w:ascii="Times New Roman" w:hAnsi="Times New Roman" w:cs="Times New Roman"/>
                <w:szCs w:val="24"/>
              </w:rPr>
              <w:t xml:space="preserve"> </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  bez ohľadu na to, či je alebo nie je tento faktor klasifikovaný podľa tohto predpisu,</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 okrem faktor</w:t>
            </w:r>
            <w:r>
              <w:rPr>
                <w:rStyle w:val="DefaultParagraphFont"/>
                <w:rFonts w:ascii="Times New Roman" w:hAnsi="Times New Roman" w:cs="Times New Roman"/>
                <w:szCs w:val="24"/>
              </w:rPr>
              <w:t>ov, ktoré spĺňajú iba kritériá klasifikácie ako nebezpečné pre životné prostredie,</w:t>
            </w:r>
          </w:p>
          <w:p>
            <w:pPr>
              <w:numPr>
                <w:numId w:val="31"/>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akýkoľvek chemický faktor, ktorý nespĺňa kritériá klasifikácie ako nebezpečná chemická látka alebo nebezpečný chemický prípravok podľa osobitného predpisu,</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 ale ktorý môže pre svoje fyzikálno-chemické, chemické alebo toxikologické vlastnosti a spôsob použitia alebo výskytu na pracovisku predstavovať riziko pre zdravie a bezpečnosť zamestnancov, vrátane chemického faktora, pre ktorý sa ustanovuje najvyššie prípustný expozičn</w:t>
            </w:r>
            <w:r>
              <w:rPr>
                <w:rStyle w:val="DefaultParagraphFont"/>
                <w:rFonts w:ascii="Times New Roman" w:hAnsi="Times New Roman" w:cs="Times New Roman"/>
                <w:szCs w:val="24"/>
              </w:rPr>
              <w:t>ý limit (§ 3 ods. 1),</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w:t>
            </w:r>
          </w:p>
          <w:p>
            <w:pPr>
              <w:pStyle w:val="FootnoteText"/>
              <w:ind w:left="360" w:hanging="360"/>
              <w:jc w:val="both"/>
              <w:rPr>
                <w:rStyle w:val="DefaultParagraphFont"/>
                <w:rFonts w:ascii="Times New Roman" w:hAnsi="Times New Roman" w:cs="Times New Roman"/>
                <w:szCs w:val="24"/>
              </w:rPr>
            </w:pPr>
            <w:r>
              <w:rPr>
                <w:rStyle w:val="FootnoteReference"/>
                <w:rFonts w:ascii="Times New Roman" w:hAnsi="Times New Roman" w:cs="Times New Roman"/>
                <w:szCs w:val="24"/>
              </w:rPr>
              <w:t>3</w:t>
            </w:r>
            <w:r>
              <w:rPr>
                <w:rStyle w:val="DefaultParagraphFont"/>
                <w:rFonts w:ascii="Times New Roman" w:hAnsi="Times New Roman" w:cs="Times New Roman"/>
                <w:szCs w:val="24"/>
              </w:rPr>
              <w:t xml:space="preserve">) </w:t>
              <w:tab/>
              <w:t>Zákon č.163/2001 Z. z. o chemických látkach a chemických prípravkoch v znení neskorších predpisov.</w:t>
            </w:r>
          </w:p>
          <w:p>
            <w:pPr>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val="4527"/>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Č:2</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P:c) až h)</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”Činnosť súvisiaca s chemickými faktormi” znamená akúkoľvek prácu, pri ktorej sa používajú alebo sa majú požívať chemické faktory pri akomkoľvek postupe, vrátane výroby, manipulácie, skladovania, dopravy alebo likvidácie a úpravy, alebo ktoré sú výsledkom takejto činnosti;</w:t>
            </w:r>
          </w:p>
          <w:p>
            <w:pPr>
              <w:jc w:val="both"/>
              <w:rPr>
                <w:rStyle w:val="WW8Num26z0"/>
                <w:rFonts w:ascii="Times New Roman" w:hAnsi="Times New Roman" w:cs="Times New Roman"/>
                <w:szCs w:val="24"/>
              </w:rPr>
            </w:pPr>
          </w:p>
          <w:p>
            <w:pPr>
              <w:jc w:val="both"/>
              <w:rPr>
                <w:rStyle w:val="WW8Num26z0"/>
                <w:rFonts w:ascii="Times New Roman" w:hAnsi="Times New Roman" w:cs="Times New Roman"/>
                <w:szCs w:val="24"/>
              </w:rPr>
            </w:pPr>
            <w:r>
              <w:rPr>
                <w:rStyle w:val="WW8Num26z0"/>
                <w:rFonts w:ascii="Times New Roman" w:hAnsi="Times New Roman" w:cs="Times New Roman"/>
                <w:szCs w:val="24"/>
              </w:rPr>
              <w:t>”Limitná hodnota expozície na pracovisku” znamená, pokiaľ nie je uvedené inak, limitnú hodnotu časovo váženého priemeru koncentrácie chemického faktora  v ovzduší v  dýchacej zóne pracovníka vo vzťahu k určenému  referenčnému času;</w:t>
            </w:r>
          </w:p>
          <w:p>
            <w:pPr>
              <w:jc w:val="both"/>
              <w:rPr>
                <w:rStyle w:val="WW8Num26z0"/>
                <w:rFonts w:ascii="Times New Roman" w:hAnsi="Times New Roman" w:cs="Times New Roman"/>
                <w:szCs w:val="24"/>
              </w:rPr>
            </w:pPr>
          </w:p>
          <w:p>
            <w:pPr>
              <w:jc w:val="both"/>
              <w:rPr>
                <w:rStyle w:val="WW8Num26z0"/>
                <w:rFonts w:ascii="Times New Roman" w:hAnsi="Times New Roman" w:cs="Times New Roman"/>
                <w:szCs w:val="24"/>
              </w:rPr>
            </w:pPr>
            <w:r>
              <w:rPr>
                <w:rStyle w:val="WW8Num26z0"/>
                <w:rFonts w:ascii="Times New Roman" w:hAnsi="Times New Roman" w:cs="Times New Roman"/>
                <w:szCs w:val="24"/>
              </w:rPr>
              <w:t xml:space="preserve">”Biologická limitná hodnota” znamená limitnú koncentráciu daného faktora, jeho metabolitu, alebo </w:t>
            </w:r>
            <w:r>
              <w:rPr>
                <w:rStyle w:val="WW8Num26z0"/>
                <w:rFonts w:ascii="Times New Roman" w:hAnsi="Times New Roman" w:cs="Times New Roman"/>
                <w:szCs w:val="24"/>
              </w:rPr>
              <w:t>ukazovateľa účinku v príslušnom biologickom médiu;</w:t>
            </w:r>
          </w:p>
          <w:p>
            <w:pPr>
              <w:jc w:val="both"/>
              <w:rPr>
                <w:rStyle w:val="WW8Num26z0"/>
                <w:rFonts w:ascii="Times New Roman" w:hAnsi="Times New Roman" w:cs="Times New Roman"/>
                <w:szCs w:val="24"/>
              </w:rPr>
            </w:pPr>
          </w:p>
          <w:p>
            <w:pPr>
              <w:jc w:val="both"/>
              <w:rPr>
                <w:rStyle w:val="WW8Num26z0"/>
                <w:rFonts w:ascii="Times New Roman" w:hAnsi="Times New Roman" w:cs="Times New Roman"/>
                <w:szCs w:val="24"/>
              </w:rPr>
            </w:pPr>
            <w:r>
              <w:rPr>
                <w:rStyle w:val="WW8Num26z0"/>
                <w:rFonts w:ascii="Times New Roman" w:hAnsi="Times New Roman" w:cs="Times New Roman"/>
                <w:szCs w:val="24"/>
              </w:rPr>
              <w:t>”Zdravotný dohľad ” znamená hodnotenie jednotlivého pracovníka, za účelom zistenia zdravotného stavu tohoto jednotlivca, vo vzťahu k jeho expozícii špecifickým chemickým faktorom  pri práci;</w:t>
            </w:r>
          </w:p>
          <w:p>
            <w:pPr>
              <w:jc w:val="both"/>
              <w:rPr>
                <w:rStyle w:val="WW8Num26z0"/>
                <w:rFonts w:ascii="Times New Roman" w:hAnsi="Times New Roman" w:cs="Times New Roman"/>
                <w:szCs w:val="24"/>
              </w:rPr>
            </w:pPr>
          </w:p>
          <w:p>
            <w:pPr>
              <w:jc w:val="both"/>
              <w:rPr>
                <w:rStyle w:val="WW8Num26z0"/>
                <w:rFonts w:ascii="Times New Roman" w:hAnsi="Times New Roman" w:cs="Times New Roman"/>
                <w:szCs w:val="24"/>
              </w:rPr>
            </w:pPr>
            <w:r>
              <w:rPr>
                <w:rStyle w:val="WW8Num26z0"/>
                <w:rFonts w:ascii="Times New Roman" w:hAnsi="Times New Roman" w:cs="Times New Roman"/>
                <w:szCs w:val="24"/>
              </w:rPr>
              <w:t>”Nebezpečenstvo” znamená prirodzenú vlastnosť chemického faktora, ktorá môže spôsobiť poškodenie;</w:t>
            </w:r>
          </w:p>
          <w:p>
            <w:pPr>
              <w:jc w:val="both"/>
              <w:rPr>
                <w:rStyle w:val="WW8Num26z0"/>
                <w:rFonts w:ascii="Times New Roman" w:hAnsi="Times New Roman" w:cs="Times New Roman"/>
                <w:szCs w:val="24"/>
              </w:rPr>
            </w:pPr>
          </w:p>
          <w:p>
            <w:pPr>
              <w:jc w:val="both"/>
              <w:rPr>
                <w:rStyle w:val="WW8Num26z0"/>
                <w:rFonts w:ascii="Times New Roman" w:hAnsi="Times New Roman" w:cs="Times New Roman"/>
                <w:szCs w:val="24"/>
              </w:rPr>
            </w:pPr>
            <w:r>
              <w:rPr>
                <w:rStyle w:val="WW8Num26z0"/>
                <w:rFonts w:ascii="Times New Roman" w:hAnsi="Times New Roman" w:cs="Times New Roman"/>
                <w:szCs w:val="24"/>
              </w:rPr>
              <w:t>”Riziko” znamená pravdepodobnosť, že existuje možnosť spôsobiť poškodenie v prípade použitia a/alebo expozície.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2</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c)</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d)</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e)</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f)</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g)</w:t>
            </w:r>
          </w:p>
          <w:p>
            <w:pPr>
              <w:jc w:val="center"/>
              <w:rPr>
                <w:rStyle w:val="WW-Znakapoznmky"/>
                <w:rFonts w:ascii="Times New Roman" w:hAnsi="Times New Roman" w:cs="Times New Roman"/>
                <w:sz w:val="20"/>
                <w:szCs w:val="24"/>
              </w:rPr>
            </w:pPr>
          </w:p>
          <w:p>
            <w:pPr>
              <w:rPr>
                <w:rStyle w:val="WW-Znakapoznmky"/>
                <w:rFonts w:ascii="Times New Roman" w:hAnsi="Times New Roman" w:cs="Times New Roman"/>
                <w:sz w:val="20"/>
                <w:szCs w:val="24"/>
              </w:rPr>
            </w:pPr>
          </w:p>
          <w:p>
            <w:pPr>
              <w:rPr>
                <w:rStyle w:val="WW-Znakapoznmky"/>
                <w:rFonts w:ascii="Times New Roman" w:hAnsi="Times New Roman" w:cs="Times New Roman"/>
                <w:sz w:val="20"/>
                <w:szCs w:val="24"/>
              </w:rPr>
            </w:pPr>
          </w:p>
          <w:p>
            <w:pPr>
              <w:rPr>
                <w:rStyle w:val="WW-Znakapoznmky"/>
                <w:rFonts w:ascii="Times New Roman" w:hAnsi="Times New Roman" w:cs="Times New Roman"/>
                <w:sz w:val="20"/>
                <w:szCs w:val="24"/>
              </w:rPr>
            </w:pPr>
            <w:r>
              <w:rPr>
                <w:rStyle w:val="WW-Znakapoznmky"/>
                <w:rFonts w:ascii="Times New Roman" w:hAnsi="Times New Roman" w:cs="Times New Roman"/>
                <w:sz w:val="20"/>
                <w:szCs w:val="24"/>
              </w:rPr>
              <w:t xml:space="preserve">       P: h)</w:t>
            </w:r>
          </w:p>
        </w:tc>
        <w:tc>
          <w:tcPr>
            <w:tcW w:w="0" w:type="auto"/>
            <w:gridSpan w:val="2"/>
            <w:tcBorders>
              <w:top w:val="nil"/>
              <w:left w:val="nil"/>
              <w:bottom w:val="nil"/>
              <w:right w:val="nil"/>
              <w:tl2br w:val="nil"/>
              <w:tr2bl w:val="nil"/>
            </w:tcBorders>
            <w:textDirection w:val="lrTb"/>
            <w:vAlign w:val="top"/>
          </w:tcPr>
          <w:p>
            <w:pPr>
              <w:pStyle w:val="Odsekspismenom"/>
              <w:numPr>
                <w:numId w:val="30"/>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činnosť súvisiaca s nebezpečnými chemickými faktormi je akákoľvek práca, pri ktorej sa používajú alebo sa majú používať nebezpečné chemické faktory pri akomkoľvek postupe, vrátane výroby, manipulácie, skladovania, prepravy, zneškodňovania,  úpravy, obchodovania a iného zaobchádzania, alebo ktoré vznikajú pri takejto činnosti, </w:t>
            </w:r>
          </w:p>
          <w:p>
            <w:pPr>
              <w:pStyle w:val="Odsekspismenom"/>
              <w:numPr>
                <w:numId w:val="30"/>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najvyššie prípustný expozičný limit je najvyššie prípustná hodnota časovo váženého priemeru koncentrácie nebezpečného chemického faktora vo vzduchu dýchacej zóny zamestnanca vo vzťahu k určenému referenčnému času,</w:t>
            </w:r>
          </w:p>
          <w:p>
            <w:pPr>
              <w:pStyle w:val="Odsekspismenom"/>
              <w:numPr>
                <w:numId w:val="30"/>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biologická medzná hodnota je limitná hodnota koncentrácie príslušného nebezpečného chemického faktora, jeho metabolitu alebo indikátora účinku v príslušnom biologickom m</w:t>
            </w:r>
            <w:r>
              <w:rPr>
                <w:rStyle w:val="DefaultParagraphFont"/>
                <w:rFonts w:ascii="Times New Roman" w:hAnsi="Times New Roman" w:cs="Times New Roman"/>
                <w:szCs w:val="24"/>
              </w:rPr>
              <w:t xml:space="preserve">ateriáli, </w:t>
            </w:r>
          </w:p>
          <w:p>
            <w:pPr>
              <w:pStyle w:val="Odsekspismenom"/>
              <w:numPr>
                <w:numId w:val="30"/>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zdravotný dohľad je individuálne hodnotenie zdravotného stavu zamestnanca vo vzťahu k jeho expozícii špecifickému nebezpečnému chemickému faktoru pri práci, </w:t>
            </w:r>
          </w:p>
          <w:p>
            <w:pPr>
              <w:pStyle w:val="Odsekspismenom"/>
              <w:numPr>
                <w:numId w:val="30"/>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nebezpečnosť je prirodzená vnútorná vlastnosť nebezpečného chemického faktora, ktorá môže spôsobiť poškodenie</w:t>
            </w:r>
            <w:r>
              <w:rPr>
                <w:rStyle w:val="DefaultParagraphFont"/>
                <w:rFonts w:ascii="Times New Roman" w:hAnsi="Times New Roman" w:cs="Times New Roman"/>
                <w:color w:val="FF0000"/>
                <w:szCs w:val="24"/>
              </w:rPr>
              <w:t xml:space="preserve"> </w:t>
            </w:r>
            <w:r>
              <w:rPr>
                <w:rStyle w:val="DefaultParagraphFont"/>
                <w:rFonts w:ascii="Times New Roman" w:hAnsi="Times New Roman" w:cs="Times New Roman"/>
                <w:szCs w:val="24"/>
              </w:rPr>
              <w:t>zdravia,</w:t>
            </w:r>
          </w:p>
          <w:p>
            <w:pPr>
              <w:pStyle w:val="Odsekspismenom"/>
              <w:numPr>
                <w:numId w:val="30"/>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riziko je pravdepodobnosť vzniku poškodenia zdravia v prípade použitia chemických faktorov alebo v prípade expozície zamestnancov chemickým faktorom pri práci.</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tc>
        <w:tc>
          <w:tcPr>
            <w:tcW w:w="0" w:type="auto"/>
            <w:gridSpan w:val="3"/>
            <w:tcBorders>
              <w:top w:val="nil"/>
              <w:left w:val="nil"/>
              <w:bottom w:val="nil"/>
              <w:right w:val="nil"/>
              <w:tl2br w:val="nil"/>
              <w:tr2bl w:val="nil"/>
            </w:tcBorders>
            <w:textDirection w:val="lrTb"/>
            <w:vAlign w:val="top"/>
          </w:tcPr>
          <w:p>
            <w:pPr>
              <w:pStyle w:val="CommentSubject"/>
              <w:rPr>
                <w:rStyle w:val="WW8Num26z0"/>
                <w:rFonts w:ascii="Times New Roman" w:hAnsi="Times New Roman" w:cs="Times New Roman"/>
                <w:szCs w:val="24"/>
              </w:rPr>
            </w:pPr>
            <w:r>
              <w:rPr>
                <w:rStyle w:val="WW8Num26z0"/>
                <w:rFonts w:ascii="Times New Roman" w:hAnsi="Times New Roman" w:cs="Times New Roman"/>
                <w:szCs w:val="24"/>
              </w:rPr>
              <w:t>Limitné hodnoty pri práci a biologické limitné hodnoty</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b/>
                <w:szCs w:val="24"/>
                <w:lang w:val="sk-SK"/>
              </w:rPr>
              <w:t>Najvyššie prípustné expozičné limity a biologické medzné hodnoty</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Komisia bude hodnotiť vzťah medzi účinkami nebezpečných chemických faktorov na zdravie a stupňom expozície pri práci prostredníctvom nezávislých vedeckých posudkov najn</w:t>
            </w:r>
            <w:r>
              <w:rPr>
                <w:rStyle w:val="WW8Num26z0"/>
                <w:rFonts w:ascii="Times New Roman" w:hAnsi="Times New Roman" w:cs="Times New Roman"/>
                <w:szCs w:val="24"/>
              </w:rPr>
              <w:t>ovších dostupných vedeckých údajov.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Na základe hodnotenia popísaného v odseku 1 Komisia po prvej konzultácii s Poradným výborom pre bezpečnosť, hygienu a ochranu zdravia pri práci navrhne európske ciele formou indikatívnych limitných hodnôt expozície pri práci na ochranu pracovníkov pred chemickými rizikami, ktoré sa stanovia na úrovni Spoločenstva.</w:t>
            </w:r>
          </w:p>
          <w:p>
            <w:pPr>
              <w:jc w:val="both"/>
              <w:rPr>
                <w:rStyle w:val="WW8Num26z0"/>
                <w:rFonts w:ascii="Times New Roman" w:hAnsi="Times New Roman" w:cs="Times New Roman"/>
                <w:szCs w:val="24"/>
              </w:rPr>
            </w:pPr>
            <w:r>
              <w:rPr>
                <w:rStyle w:val="WW8Num26z0"/>
                <w:rFonts w:ascii="Times New Roman" w:hAnsi="Times New Roman" w:cs="Times New Roman"/>
                <w:szCs w:val="24"/>
              </w:rPr>
              <w:t>Tieto limitné hodnoty sa stanovujú alebo revidujú, pričom sa zohľadní dostupnosť meracej techniky, v súlade s postupom uvedeným v článku 1</w:t>
            </w:r>
            <w:r>
              <w:rPr>
                <w:rStyle w:val="WW8Num26z0"/>
                <w:rFonts w:ascii="Times New Roman" w:hAnsi="Times New Roman" w:cs="Times New Roman"/>
                <w:szCs w:val="24"/>
              </w:rPr>
              <w:t xml:space="preserve">7 smernice  89/391/EHS. </w:t>
            </w:r>
          </w:p>
          <w:p>
            <w:pPr>
              <w:jc w:val="both"/>
              <w:rPr>
                <w:rStyle w:val="WW8Num26z0"/>
                <w:rFonts w:ascii="Times New Roman" w:hAnsi="Times New Roman" w:cs="Times New Roman"/>
                <w:szCs w:val="24"/>
              </w:rPr>
            </w:pPr>
          </w:p>
          <w:p>
            <w:pPr>
              <w:jc w:val="both"/>
              <w:rPr>
                <w:rStyle w:val="WW8Num26z0"/>
                <w:rFonts w:ascii="Times New Roman" w:hAnsi="Times New Roman" w:cs="Times New Roman"/>
                <w:szCs w:val="24"/>
              </w:rPr>
            </w:pPr>
            <w:r>
              <w:rPr>
                <w:rStyle w:val="WW8Num26z0"/>
                <w:rFonts w:ascii="Times New Roman" w:hAnsi="Times New Roman" w:cs="Times New Roman"/>
                <w:szCs w:val="24"/>
              </w:rPr>
              <w:t>Členské štáty budú informovať organizácie pracovníkov  a zamestnávateľov o indikatívnych limitných hodnotách expozície pri práci stanovených na úrovni Spoločenstva.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Návrh zákona</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d)</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3</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3</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xml:space="preserve">P: a) </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b)</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g)</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3</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4</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Ministerstvo </w:t>
            </w: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d) </w:t>
            </w:r>
            <w:r>
              <w:rPr>
                <w:rStyle w:val="DefaultParagraphFont"/>
                <w:rFonts w:ascii="Times New Roman" w:hAnsi="Times New Roman" w:cs="Times New Roman"/>
                <w:szCs w:val="24"/>
              </w:rPr>
              <w:t>v súlade so súčasnými poznatkami vedy o vplyve fyzikálnych, chemických a biologických faktorov na verejné zdravie ustanovuje limity a hodnoty prípustnej záťaže týmito faktormi, ako aj limity ožiarenia a podmienky na nakladanie s rádioaktívnymi odpadmi z hľadiska ich možného vplyvu na verejné zdravie,</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 Orgány verejného zdravotníctva spolupracujú v rámci svojej pôsobnosti pri ochrane a podpore verejného zdravia s</w:t>
            </w:r>
          </w:p>
          <w:p>
            <w:pPr>
              <w:pStyle w:val="BodyText"/>
              <w:numPr>
                <w:ilvl w:val="0"/>
                <w:numId w:val="38"/>
              </w:numPr>
              <w:tabs>
                <w:tab w:val="left" w:pos="360"/>
              </w:tabs>
              <w:spacing w:before="0" w:after="0"/>
              <w:ind w:left="36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ústrednými orgánmi štátnej správy a miestnymi orgánmi štátnej správy,</w:t>
            </w:r>
          </w:p>
          <w:p>
            <w:pPr>
              <w:pStyle w:val="BodyText"/>
              <w:numPr>
                <w:ilvl w:val="0"/>
                <w:numId w:val="38"/>
              </w:numPr>
              <w:tabs>
                <w:tab w:val="left" w:pos="360"/>
              </w:tabs>
              <w:spacing w:before="0" w:after="0"/>
              <w:ind w:left="36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obcami a samosprávnymi krajmi,</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g) inými právnickými osobami a fyzickými osobami,</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Úrad verejného zdravotníctva v oblasti zdravia pri práci spolupracuje aj s orgánmi štátnej správy v oblasti inšpekcie práce</w:t>
            </w:r>
            <w:r>
              <w:rPr>
                <w:rStyle w:val="DefaultParagraphFont"/>
                <w:rFonts w:ascii="Times New Roman" w:hAnsi="Times New Roman" w:cs="Times New Roman"/>
                <w:szCs w:val="24"/>
                <w:vertAlign w:val="superscript"/>
                <w:lang w:val="sk-SK"/>
              </w:rPr>
              <w:t>3</w:t>
            </w:r>
            <w:r>
              <w:rPr>
                <w:rStyle w:val="DefaultParagraphFont"/>
                <w:rFonts w:ascii="Times New Roman" w:hAnsi="Times New Roman" w:cs="Times New Roman"/>
                <w:szCs w:val="24"/>
                <w:lang w:val="sk-SK"/>
              </w:rPr>
              <w:t>) a ostatnými orgánmi dozoru.</w:t>
            </w:r>
            <w:r>
              <w:rPr>
                <w:rStyle w:val="DefaultParagraphFont"/>
                <w:rFonts w:ascii="Times New Roman" w:hAnsi="Times New Roman" w:cs="Times New Roman"/>
                <w:szCs w:val="24"/>
                <w:vertAlign w:val="superscript"/>
                <w:lang w:val="sk-SK"/>
              </w:rPr>
              <w:t>4</w:t>
            </w: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vertAlign w:val="superscript"/>
                <w:lang w:val="sk-SK"/>
              </w:rPr>
              <w:t>3</w:t>
            </w:r>
            <w:r>
              <w:rPr>
                <w:rStyle w:val="DefaultParagraphFont"/>
                <w:rFonts w:ascii="Times New Roman" w:hAnsi="Times New Roman" w:cs="Times New Roman"/>
                <w:szCs w:val="24"/>
                <w:lang w:val="sk-SK"/>
              </w:rPr>
              <w:t>)</w:t>
            </w:r>
            <w:r>
              <w:rPr>
                <w:rStyle w:val="DefaultParagraphFont"/>
                <w:rFonts w:ascii="Times New Roman" w:hAnsi="Times New Roman" w:cs="Times New Roman"/>
                <w:szCs w:val="24"/>
                <w:vertAlign w:val="superscript"/>
                <w:lang w:val="sk-SK"/>
              </w:rPr>
              <w:t xml:space="preserve"> </w:t>
            </w:r>
            <w:r>
              <w:rPr>
                <w:rStyle w:val="DefaultParagraphFont"/>
                <w:rFonts w:ascii="Times New Roman" w:hAnsi="Times New Roman" w:cs="Times New Roman"/>
                <w:szCs w:val="24"/>
                <w:lang w:val="sk-SK"/>
              </w:rPr>
              <w:t>Zákon č.125/2006 Z. z. o inšpekcii práce a o zmene a doplnení zákona č.82/2005 Z .z. o nelegálnej práci a nelegálnom zamestnávaní a o zmene a doplnení niektorých zákonov.</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vertAlign w:val="superscript"/>
                <w:lang w:val="sk-SK"/>
              </w:rPr>
              <w:t>4</w:t>
            </w:r>
            <w:r>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rPr>
              <w:t>Napríklad zákon Slovenskej národnej rady č. 51/1988 Zb. o banskej činnosti, výbušninách a o štátnej banskej správe v znení neskorších predpisov, zákon č. 541/2004 Z. z. o mierovom využívaní jadrovej energie (atómový zákon) a o zmene a doplnení niektorých zákonov v znení neskorších predpisov.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Pre každý chemický faktor, pre ktorý je na úrovni Spoločenstva stanovená indikatívna limitná hodnota expozície pri práci, členské štáty stanovia vnútroštátnu limitnú hodnotu expozície pri práci, ktorej charakter je určený v zhode s vnútroštátnou legislatívou a praxou, zohľadňujúc pri tom limitnú hodnotu Spoločenstva.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Návrh zákona</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d)</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3</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O:1</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Ministerstvo </w:t>
            </w: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d) </w:t>
            </w:r>
            <w:r>
              <w:rPr>
                <w:rStyle w:val="DefaultParagraphFont"/>
                <w:rFonts w:ascii="Times New Roman" w:hAnsi="Times New Roman" w:cs="Times New Roman"/>
                <w:szCs w:val="24"/>
              </w:rPr>
              <w:t>v súlade so súčasnými poznatkami vedy o vplyve fyzikálnych, chemických a biologických faktorov na verejné zdravie ustanovuje limity a hodnoty prípustnej záťaže týmito faktormi, ako aj limity ožiarenia a podmienky na nakladanie s rádioaktívnymi odpadmi z hľadiska ich možného vplyvu na verejné zdravie,</w:t>
            </w:r>
          </w:p>
          <w:p>
            <w:pPr>
              <w:pStyle w:val="WW-Zkladntext3"/>
              <w:rPr>
                <w:rStyle w:val="DefaultParagraphFont"/>
                <w:rFonts w:ascii="Times New Roman" w:hAnsi="Times New Roman" w:cs="Times New Roman"/>
                <w:szCs w:val="24"/>
                <w:lang w:val="sk-SK"/>
              </w:rPr>
            </w:pPr>
          </w:p>
          <w:p>
            <w:pPr>
              <w:pStyle w:val="WW-Zkladntext3"/>
              <w:rPr>
                <w:rStyle w:val="DefaultParagraphFont"/>
                <w:rFonts w:ascii="Times New Roman" w:hAnsi="Times New Roman" w:cs="Times New Roman"/>
                <w:szCs w:val="24"/>
                <w:lang w:val="sk-SK"/>
              </w:rPr>
            </w:pP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w:t>
            </w:r>
            <w:r>
              <w:rPr>
                <w:rStyle w:val="DefaultParagraphFont"/>
                <w:rFonts w:ascii="Times New Roman" w:hAnsi="Times New Roman" w:cs="Times New Roman"/>
                <w:szCs w:val="24"/>
                <w:lang w:val="sk-SK"/>
              </w:rPr>
              <w:t xml:space="preserve"> Najvyššie prípustné expozičné limity sú uvedené v prílohe č. 1.</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gridSpan w:val="3"/>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Záväzné limitné hodnoty expozície pri práci sa môžu vypracovať na úrovni Spoločenstva a okrem faktorov, ktoré sa berú do úvahy pri stanovovaní indikatívnych limitných hodnôt expozície pri práci, budú odrážať faktory dosiahnuteľnosti, čím sa splní cieľ zabezpečiť ochranu zdravia pracovníkov pri práci. Takéto limitné hodnoty sa stanovia v súlade s článkom 118a zmluvy a uvedú sa v prílohe I tejto smernice.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BodyTextIndent"/>
              <w:spacing w:after="0"/>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O:5</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Pre každý chemický faktor, pre ktorý bola stanovená záväzná limitná hodnota expozície pri práci, členské štáty stanovia zodpovedajúcu vnútroštátnu záväznú limitnú hodnotu expozície pri práci, ktorá vychádza z limitnej hodnoty Spoločenstva, ale ju neprekrač</w:t>
            </w:r>
            <w:r>
              <w:rPr>
                <w:rStyle w:val="WW8Num26z0"/>
                <w:rFonts w:ascii="Times New Roman" w:hAnsi="Times New Roman" w:cs="Times New Roman"/>
                <w:szCs w:val="24"/>
              </w:rPr>
              <w:t>uje.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Návrh zákona</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d)</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3</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O:1</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Ministerstvo </w:t>
            </w: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d) </w:t>
            </w:r>
            <w:r>
              <w:rPr>
                <w:rStyle w:val="DefaultParagraphFont"/>
                <w:rFonts w:ascii="Times New Roman" w:hAnsi="Times New Roman" w:cs="Times New Roman"/>
                <w:szCs w:val="24"/>
              </w:rPr>
              <w:t>v súlade so súčasnými poznatkami vedy o vplyve fyzikálnych, chemických a biologických faktorov na verejné zdravie ustanovuje limity a hodnoty prípustnej záťaže týmito faktormi, ako aj limity ožiarenia a podmienky na nakladanie s rádioaktívnymi odpadmi z hľadiska ich možného vplyvu na verejné zdravie,</w:t>
            </w:r>
          </w:p>
          <w:p>
            <w:pPr>
              <w:pStyle w:val="WW-Zkladntext3"/>
              <w:rPr>
                <w:rStyle w:val="DefaultParagraphFont"/>
                <w:rFonts w:ascii="Times New Roman" w:hAnsi="Times New Roman" w:cs="Times New Roman"/>
                <w:szCs w:val="24"/>
                <w:lang w:val="sk-SK"/>
              </w:rPr>
            </w:pPr>
          </w:p>
          <w:p>
            <w:pPr>
              <w:pStyle w:val="WW-Zkladntext3"/>
              <w:rPr>
                <w:rStyle w:val="DefaultParagraphFont"/>
                <w:rFonts w:ascii="Times New Roman" w:hAnsi="Times New Roman" w:cs="Times New Roman"/>
                <w:szCs w:val="24"/>
                <w:lang w:val="sk-SK"/>
              </w:rPr>
            </w:pP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 Najvyššie prípustné expozičné limity sú uvedené v prílohe č. 1.</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O:6</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Záväzné biolo</w:t>
            </w:r>
            <w:r>
              <w:rPr>
                <w:rStyle w:val="WW8Num26z0"/>
                <w:rFonts w:ascii="Times New Roman" w:hAnsi="Times New Roman" w:cs="Times New Roman"/>
                <w:szCs w:val="24"/>
              </w:rPr>
              <w:t>gické limitné hodnoty sa môžu vypracovať na úrovni Spoločenstva na základe hodnotenia opísaného v odseku 1 a na základe dostupnosti meracích techník a budú odrážať faktory dosiahnuteľnosti, čím sa splní cieľ zabezpečiť zdravie pracovníkov  pri práci. Také</w:t>
            </w:r>
            <w:r>
              <w:rPr>
                <w:rStyle w:val="WW8Num26z0"/>
                <w:rFonts w:ascii="Times New Roman" w:hAnsi="Times New Roman" w:cs="Times New Roman"/>
                <w:szCs w:val="24"/>
              </w:rPr>
              <w:t>t</w:t>
            </w:r>
            <w:r>
              <w:rPr>
                <w:rStyle w:val="WW8Num26z0"/>
                <w:rFonts w:ascii="Times New Roman" w:hAnsi="Times New Roman" w:cs="Times New Roman"/>
                <w:szCs w:val="24"/>
              </w:rPr>
              <w:t>o limitné hodnoty sa stanovia v súlade s postupom uvedeným v článku 118a zmluvy a uvedú v prílohe II tejto smernice spolu s ostatnými relevantnými informáciami o zdravotnom dohľade.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i/>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O:7</w:t>
            </w:r>
          </w:p>
        </w:tc>
        <w:tc>
          <w:tcPr>
            <w:tcW w:w="0" w:type="auto"/>
            <w:gridSpan w:val="3"/>
            <w:tcBorders>
              <w:top w:val="nil"/>
              <w:left w:val="nil"/>
              <w:bottom w:val="nil"/>
              <w:right w:val="nil"/>
              <w:tl2br w:val="nil"/>
              <w:tr2bl w:val="nil"/>
            </w:tcBorders>
            <w:textDirection w:val="lrTb"/>
            <w:vAlign w:val="top"/>
          </w:tcPr>
          <w:p>
            <w:pPr>
              <w:jc w:val="both"/>
              <w:rPr>
                <w:rStyle w:val="WW8Num18z2"/>
                <w:rFonts w:ascii="Times New Roman" w:hAnsi="Times New Roman" w:cs="Times New Roman"/>
                <w:szCs w:val="24"/>
              </w:rPr>
            </w:pPr>
            <w:r>
              <w:rPr>
                <w:rStyle w:val="WW8Num18z2"/>
                <w:rFonts w:ascii="Times New Roman" w:hAnsi="Times New Roman" w:cs="Times New Roman"/>
                <w:szCs w:val="24"/>
              </w:rPr>
              <w:t>Pre každý chemický faktor, pre ktorý je stanovená záväzná biologická limitná hodnota, členské štáty stanovia zodpovedajúcu vnútroštátnu záväznú biologickú limitnú hodnotu, ktorá vychádza z limitnej hodnoty Spoločenstva, ale ju neprekračuje.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Návrh zákona</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d)</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3</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O:2</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Ministerstvo </w:t>
            </w: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d) </w:t>
            </w:r>
            <w:r>
              <w:rPr>
                <w:rStyle w:val="DefaultParagraphFont"/>
                <w:rFonts w:ascii="Times New Roman" w:hAnsi="Times New Roman" w:cs="Times New Roman"/>
                <w:szCs w:val="24"/>
              </w:rPr>
              <w:t>v súlade so súčasnými poznatkami vedy o vplyve fyzikálnych, chemických a biologických faktorov na verejné zdravie ustanovuje limity a hodnoty prípustnej záťaže týmito faktormi, ako aj limity ožiarenia a podmienky na nakladanie s rádioaktívnymi odpadmi z hľadiska ich možného vplyvu na verejné zdravie,</w:t>
            </w:r>
          </w:p>
          <w:p>
            <w:pPr>
              <w:pStyle w:val="WW-Zkladntext3"/>
              <w:rPr>
                <w:rStyle w:val="DefaultParagraphFont"/>
                <w:rFonts w:ascii="Times New Roman" w:hAnsi="Times New Roman" w:cs="Times New Roman"/>
                <w:szCs w:val="24"/>
                <w:lang w:val="sk-SK"/>
              </w:rPr>
            </w:pP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Biologické medzné hodnoty sú uvedené v prílohe č.2.</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O:8</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Ak členský štát zavádza alebo reviduje vnútroštátnu limitnú hodnotu expozície chemickému faktoru pri práci alebo vnútroštátnu biologickú limitnú hodnotu chemického faktora, informuje o tom, ako aj o relevantných vedeckých a technických údajoch Komisiu a ostatné členské štáty. Komisia prijme potrebné opatrenia.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Zákon č.575/2001 Z. z. o organizácii čin</w:t>
            </w:r>
            <w:r>
              <w:rPr>
                <w:rStyle w:val="DefaultParagraphFont"/>
                <w:rFonts w:ascii="Times New Roman" w:hAnsi="Times New Roman" w:cs="Times New Roman"/>
                <w:szCs w:val="24"/>
              </w:rPr>
              <w:t>nosti vlády a organizácii ústrednej štátnej správy</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Návrh zákona</w:t>
            </w:r>
          </w:p>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35</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O:7</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5</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x)</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 6</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 Ministerstvá a ostatné ústredné orgány štátnej správy v rozsahu vymedzenej pôsobnosti plnia voči orgánom Európskych spoločenstiev a Európskej únie informačnú a oznamovaciu povinnosť, ktorá im vyplýva z právne záväzných aktov týchto orgánov.</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Úrad verejného zdravotníctva</w:t>
            </w:r>
          </w:p>
          <w:p>
            <w:pPr>
              <w:pStyle w:val="BodyText"/>
              <w:spacing w:before="0" w:after="0"/>
              <w:rPr>
                <w:rStyle w:val="DefaultParagraphFont"/>
                <w:rFonts w:ascii="Times New Roman" w:hAnsi="Times New Roman" w:cs="Times New Roman"/>
                <w:szCs w:val="24"/>
              </w:rPr>
            </w:pPr>
            <w:r>
              <w:rPr>
                <w:rStyle w:val="DefaultParagraphFont"/>
                <w:rFonts w:ascii="Times New Roman" w:hAnsi="Times New Roman" w:cs="Times New Roman"/>
                <w:szCs w:val="24"/>
                <w:lang w:val="sk-SK"/>
              </w:rPr>
              <w:t xml:space="preserve">x) </w:t>
            </w:r>
            <w:r>
              <w:rPr>
                <w:rStyle w:val="DefaultParagraphFont"/>
                <w:rFonts w:ascii="Times New Roman" w:hAnsi="Times New Roman" w:cs="Times New Roman"/>
                <w:szCs w:val="24"/>
              </w:rPr>
              <w:t>v rámci spolupráce s Európskou komisiou (ďalej len “Komisia”) a s  členskými štátmi Európskej únie (ďalej len “členský štát”)</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6</w:t>
            </w:r>
            <w:r>
              <w:rPr>
                <w:rStyle w:val="DefaultParagraphFont"/>
                <w:rFonts w:ascii="Times New Roman" w:hAnsi="Times New Roman" w:cs="Times New Roman"/>
                <w:szCs w:val="24"/>
              </w:rPr>
              <w:t>. zasiela Komisii v intervaloch požadovaných osobitnými predpismi</w:t>
            </w:r>
            <w:r>
              <w:rPr>
                <w:rStyle w:val="FootnoteReference"/>
                <w:rFonts w:ascii="Times New Roman" w:hAnsi="Times New Roman" w:cs="Times New Roman"/>
                <w:szCs w:val="24"/>
                <w:rtl w:val="0"/>
              </w:rPr>
              <w:footnoteReference w:customMarkFollows="1" w:id="2"/>
              <w:t xml:space="preserve">1</w:t>
            </w:r>
            <w:r>
              <w:rPr>
                <w:rStyle w:val="FootnoteReference"/>
                <w:rFonts w:ascii="Times New Roman" w:hAnsi="Times New Roman" w:cs="Times New Roman"/>
                <w:szCs w:val="24"/>
              </w:rPr>
              <w:t>2</w:t>
            </w:r>
            <w:r>
              <w:rPr>
                <w:rStyle w:val="DefaultParagraphFont"/>
                <w:rFonts w:ascii="Times New Roman" w:hAnsi="Times New Roman" w:cs="Times New Roman"/>
                <w:szCs w:val="24"/>
              </w:rPr>
              <w:t xml:space="preserve">) správu o praktickom uplatňovaní minimálnych zdravotných a bezpečnostných požiadaviek na ochranu zamestnancov pred rizikami súvisiacimi s expozíciou faktorom práce a pracovného prostredia spolu so stanoviskami sociálnych partnerov; správa obsahuje opis najlepšej praxe na zabezpečenie prevencie pred škodlivými účinkami týchto faktorov práce a pracovného prostredia na verejné zdravie a ostatných foriem organizácie práce spolu s opatreniami, </w:t>
            </w:r>
            <w:r>
              <w:rPr>
                <w:rStyle w:val="DefaultParagraphFont"/>
                <w:rFonts w:ascii="Times New Roman" w:hAnsi="Times New Roman" w:cs="Times New Roman"/>
                <w:szCs w:val="24"/>
              </w:rPr>
              <w:t>k</w:t>
            </w:r>
            <w:r>
              <w:rPr>
                <w:rStyle w:val="DefaultParagraphFont"/>
                <w:rFonts w:ascii="Times New Roman" w:hAnsi="Times New Roman" w:cs="Times New Roman"/>
                <w:szCs w:val="24"/>
              </w:rPr>
              <w:t>toré štát prijal, aby oboznámil ostatné členské štáty s poznatkami o tejto najlepšej praxi.</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O:9</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Na základe správ poskytnutých členskými štátmi podľa článku 15 Komisia posúdi spôsob, akým členské štáty zohľadnili indikatívne limitné hodnoty Spoločenstva pri stanovení zodpovedajúcich vnútroštátnych limitných hodnôt expozície pri práci.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i/>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O:10</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Štandardné metódy merania a hodnotenia koncentrácií v pracovnom ovzduší vo vzťahu k limitným hodnotám expozície pri práci sa vypracujú v súlade s článkom 12 ods. 2.</w:t>
            </w:r>
          </w:p>
          <w:p>
            <w:pPr>
              <w:rPr>
                <w:rStyle w:val="WW8Num26z0"/>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i/>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trHeight w:hRule="auto" w:val="0"/>
        </w:trPr>
        <w:tc>
          <w:tcPr>
            <w:tcW w:w="0" w:type="auto"/>
            <w:gridSpan w:val="2"/>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Č:4</w:t>
            </w:r>
          </w:p>
        </w:tc>
        <w:tc>
          <w:tcPr>
            <w:tcW w:w="0" w:type="auto"/>
            <w:gridSpan w:val="3"/>
            <w:tcBorders>
              <w:top w:val="nil"/>
              <w:left w:val="nil"/>
              <w:bottom w:val="nil"/>
              <w:right w:val="nil"/>
              <w:tl2br w:val="nil"/>
              <w:tr2bl w:val="nil"/>
            </w:tcBorders>
            <w:textDirection w:val="lrTb"/>
            <w:vAlign w:val="top"/>
          </w:tcPr>
          <w:p>
            <w:pPr>
              <w:pStyle w:val="CommentSubject"/>
              <w:rPr>
                <w:rStyle w:val="WW8Num26z0"/>
                <w:rFonts w:ascii="Times New Roman" w:hAnsi="Times New Roman" w:cs="Times New Roman"/>
                <w:szCs w:val="24"/>
              </w:rPr>
            </w:pPr>
            <w:r>
              <w:rPr>
                <w:rStyle w:val="WW8Num26z0"/>
                <w:rFonts w:ascii="Times New Roman" w:hAnsi="Times New Roman" w:cs="Times New Roman"/>
                <w:szCs w:val="24"/>
              </w:rPr>
              <w:t>Určovanie a posudzovanie rizika nebezpečných chemických faktorov.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Posudzovanie rizík</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trHeight w:hRule="auto" w:val="0"/>
        </w:trPr>
        <w:tc>
          <w:tcPr>
            <w:tcW w:w="0" w:type="auto"/>
            <w:gridSpan w:val="2"/>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Č:4</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gridSpan w:val="3"/>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Pri plnení povinností ustanovených v článkoch  6 ods. 3 a článku 9  ods. 1 smernice  89/391/EHS zamestnávateľ najprv určí, či sa na pracovisku vyskytuje nejaký nebezpečný chemický faktor. Ak áno, potom posúdi akékoľvek riziko pre bezpečnosť a zdravie pracovníkov vyplývajúce z výskytu týchto chemických faktorov, pričom zohľadní nasledovné:</w:t>
            </w:r>
          </w:p>
          <w:p>
            <w:pPr>
              <w:numPr>
                <w:ilvl w:val="0"/>
                <w:numId w:val="23"/>
              </w:numPr>
              <w:tabs>
                <w:tab w:val="left" w:pos="360"/>
              </w:tabs>
              <w:ind w:left="360"/>
              <w:jc w:val="both"/>
              <w:rPr>
                <w:rStyle w:val="WW8Num18z2"/>
                <w:rFonts w:ascii="Times New Roman" w:hAnsi="Times New Roman" w:cs="Times New Roman"/>
                <w:szCs w:val="24"/>
              </w:rPr>
            </w:pPr>
            <w:r>
              <w:rPr>
                <w:rStyle w:val="WW8Num18z2"/>
                <w:rFonts w:ascii="Times New Roman" w:hAnsi="Times New Roman" w:cs="Times New Roman"/>
                <w:szCs w:val="24"/>
              </w:rPr>
              <w:t>ich nebezpečné vlastnosti</w:t>
            </w:r>
            <w:r>
              <w:rPr>
                <w:rStyle w:val="WW8Num18z2"/>
                <w:rFonts w:ascii="Times New Roman" w:hAnsi="Times New Roman" w:cs="Times New Roman"/>
                <w:szCs w:val="24"/>
              </w:rPr>
              <w:t>,</w:t>
            </w:r>
          </w:p>
          <w:p>
            <w:pPr>
              <w:numPr>
                <w:ilvl w:val="0"/>
                <w:numId w:val="44"/>
              </w:numPr>
              <w:jc w:val="both"/>
              <w:rPr>
                <w:rStyle w:val="WW8Num18z2"/>
                <w:rFonts w:ascii="Times New Roman" w:hAnsi="Times New Roman" w:cs="Times New Roman"/>
                <w:szCs w:val="24"/>
              </w:rPr>
            </w:pPr>
            <w:r>
              <w:rPr>
                <w:rStyle w:val="WW8Num18z2"/>
                <w:rFonts w:ascii="Times New Roman" w:hAnsi="Times New Roman" w:cs="Times New Roman"/>
                <w:szCs w:val="24"/>
              </w:rPr>
              <w:t xml:space="preserve">- informácie o bezpečnosti a ochrane zdravia, ktoré poskytuje dodávateľ (napr. príslušnú kartu bezpečnostných údajov v súlade s ustanoveniami smernice 67/548/EHS alebo smernice  88/379/EHS), </w:t>
            </w:r>
          </w:p>
          <w:p>
            <w:pPr>
              <w:numPr>
                <w:ilvl w:val="0"/>
                <w:numId w:val="44"/>
              </w:numPr>
              <w:jc w:val="both"/>
              <w:rPr>
                <w:rStyle w:val="WW8Num18z2"/>
                <w:rFonts w:ascii="Times New Roman" w:hAnsi="Times New Roman" w:cs="Times New Roman"/>
                <w:szCs w:val="24"/>
              </w:rPr>
            </w:pPr>
            <w:r>
              <w:rPr>
                <w:rStyle w:val="WW8Num18z2"/>
                <w:rFonts w:ascii="Times New Roman" w:hAnsi="Times New Roman" w:cs="Times New Roman"/>
                <w:szCs w:val="24"/>
              </w:rPr>
              <w:t>- stupeň, druh a trvanie expozície,</w:t>
            </w:r>
          </w:p>
          <w:p>
            <w:pPr>
              <w:numPr>
                <w:ilvl w:val="0"/>
                <w:numId w:val="44"/>
              </w:numPr>
              <w:jc w:val="both"/>
              <w:rPr>
                <w:rStyle w:val="WW8Num18z2"/>
                <w:rFonts w:ascii="Times New Roman" w:hAnsi="Times New Roman" w:cs="Times New Roman"/>
                <w:szCs w:val="24"/>
              </w:rPr>
            </w:pPr>
            <w:r>
              <w:rPr>
                <w:rStyle w:val="WW8Num18z2"/>
                <w:rFonts w:ascii="Times New Roman" w:hAnsi="Times New Roman" w:cs="Times New Roman"/>
                <w:szCs w:val="24"/>
              </w:rPr>
              <w:t>- podmienky práce s týmito</w:t>
            </w:r>
            <w:r>
              <w:rPr>
                <w:rStyle w:val="WW8Num18z2"/>
                <w:rFonts w:ascii="Times New Roman" w:hAnsi="Times New Roman" w:cs="Times New Roman"/>
                <w:szCs w:val="24"/>
              </w:rPr>
              <w:t xml:space="preserve"> faktormi, vrátane ich množstva,</w:t>
            </w:r>
          </w:p>
          <w:p>
            <w:pPr>
              <w:numPr>
                <w:ilvl w:val="0"/>
                <w:numId w:val="44"/>
              </w:numPr>
              <w:jc w:val="both"/>
              <w:rPr>
                <w:rStyle w:val="WW8Num18z2"/>
                <w:rFonts w:ascii="Times New Roman" w:hAnsi="Times New Roman" w:cs="Times New Roman"/>
                <w:szCs w:val="24"/>
              </w:rPr>
            </w:pPr>
            <w:r>
              <w:rPr>
                <w:rStyle w:val="WW8Num18z2"/>
                <w:rFonts w:ascii="Times New Roman" w:hAnsi="Times New Roman" w:cs="Times New Roman"/>
                <w:szCs w:val="24"/>
              </w:rPr>
              <w:t>- akékoľvek limitné hodnoty expozície pri práci alebo biologické limitné hodnoty stanovené na území príslušného členského štátu,</w:t>
            </w:r>
          </w:p>
          <w:p>
            <w:pPr>
              <w:numPr>
                <w:ilvl w:val="0"/>
                <w:numId w:val="23"/>
              </w:numPr>
              <w:tabs>
                <w:tab w:val="left" w:pos="360"/>
              </w:tabs>
              <w:ind w:left="360"/>
              <w:jc w:val="both"/>
              <w:rPr>
                <w:rStyle w:val="WW8Num18z2"/>
                <w:rFonts w:ascii="Times New Roman" w:hAnsi="Times New Roman" w:cs="Times New Roman"/>
                <w:szCs w:val="24"/>
              </w:rPr>
            </w:pPr>
            <w:r>
              <w:rPr>
                <w:rStyle w:val="WW8Num18z2"/>
                <w:rFonts w:ascii="Times New Roman" w:hAnsi="Times New Roman" w:cs="Times New Roman"/>
                <w:szCs w:val="24"/>
              </w:rPr>
              <w:t>účinnosť vykonaných alebo zamýšľaných preventívnych opatrení</w:t>
            </w:r>
          </w:p>
          <w:p>
            <w:pPr>
              <w:jc w:val="both"/>
              <w:rPr>
                <w:rStyle w:val="WW8Num26z0"/>
                <w:rFonts w:ascii="Times New Roman" w:hAnsi="Times New Roman" w:cs="Times New Roman"/>
                <w:szCs w:val="24"/>
              </w:rPr>
            </w:pPr>
            <w:r>
              <w:rPr>
                <w:rStyle w:val="WW8Num26z0"/>
                <w:rFonts w:ascii="Times New Roman" w:hAnsi="Times New Roman" w:cs="Times New Roman"/>
                <w:szCs w:val="24"/>
              </w:rPr>
              <w:t>- ak sú dostupné, aj závery vykon</w:t>
            </w:r>
            <w:r>
              <w:rPr>
                <w:rStyle w:val="WW8Num26z0"/>
                <w:rFonts w:ascii="Times New Roman" w:hAnsi="Times New Roman" w:cs="Times New Roman"/>
                <w:szCs w:val="24"/>
              </w:rPr>
              <w:t xml:space="preserve">aného zdravotného dohľadu. </w:t>
            </w:r>
          </w:p>
          <w:p>
            <w:pPr>
              <w:jc w:val="both"/>
              <w:rPr>
                <w:rStyle w:val="WW8Num26z0"/>
                <w:rFonts w:ascii="Times New Roman" w:hAnsi="Times New Roman" w:cs="Times New Roman"/>
                <w:szCs w:val="24"/>
              </w:rPr>
            </w:pPr>
            <w:r>
              <w:rPr>
                <w:rStyle w:val="WW8Num26z0"/>
                <w:rFonts w:ascii="Times New Roman" w:hAnsi="Times New Roman" w:cs="Times New Roman"/>
                <w:szCs w:val="24"/>
              </w:rPr>
              <w:t>Zamestnávateľ získa dodatočné informácie potrebné pre posúdenie rizika od dodávateľa alebo z iných ľahko dostupných zdrojov. Ak je to vhodné, tieto informácie budú obsahovať osobitné posúdenie týkajúce sa rizika pre užívateľov určené na základe legislatívy Spoločenstva o chemických faktoroch.</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1</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a)</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b)</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  4</w:t>
            </w: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O: 2</w:t>
            </w: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a)</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b)</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c)</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d)</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e)</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f)</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g)</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(1) Zamestnávateľ je povinný určiť prítomnosť nebezpečných chemických faktorov na pracovisku, a  ak sú prítomné, </w:t>
            </w:r>
          </w:p>
          <w:p>
            <w:pPr>
              <w:pStyle w:val="BodyText"/>
              <w:numPr>
                <w:ilvl w:val="1"/>
                <w:numId w:val="25"/>
              </w:numPr>
              <w:tabs>
                <w:tab w:val="left" w:pos="241"/>
                <w:tab w:val="left" w:pos="1440"/>
              </w:tabs>
              <w:spacing w:before="0" w:after="0"/>
              <w:ind w:left="241" w:hanging="241"/>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posúdiť akékoľvek riziko vyplývajúce z týchto faktorov, </w:t>
            </w:r>
          </w:p>
          <w:p>
            <w:pPr>
              <w:pStyle w:val="BodyText"/>
              <w:numPr>
                <w:ilvl w:val="1"/>
                <w:numId w:val="25"/>
              </w:numPr>
              <w:tabs>
                <w:tab w:val="left" w:pos="304"/>
                <w:tab w:val="left" w:pos="1440"/>
              </w:tabs>
              <w:spacing w:before="0" w:after="0"/>
              <w:ind w:left="304" w:hanging="304"/>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vyžiadať si dodatočné informácie o bezpečnosti a ochrane zdravia potrebné na posúdenie akéhokoľvek rizika od dodávateľov  alebo z iných dostupných zdrojov; tieto informácie musia obsahovať špecifické posúdenie týkajúce sa rizika pre užívateľov podľa osobitného predpisu.</w:t>
            </w:r>
            <w:r>
              <w:rPr>
                <w:rStyle w:val="DefaultParagraphFont"/>
                <w:rFonts w:ascii="Times New Roman" w:hAnsi="Times New Roman" w:cs="Times New Roman"/>
                <w:szCs w:val="24"/>
                <w:vertAlign w:val="superscript"/>
                <w:lang w:val="sk-SK"/>
              </w:rPr>
              <w:t>3</w:t>
            </w:r>
            <w:r>
              <w:rPr>
                <w:rStyle w:val="DefaultParagraphFont"/>
                <w:rFonts w:ascii="Times New Roman" w:hAnsi="Times New Roman" w:cs="Times New Roman"/>
                <w:szCs w:val="24"/>
                <w:lang w:val="sk-SK"/>
              </w:rPr>
              <w:t xml:space="preserve">) </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FootnoteText"/>
              <w:ind w:left="360" w:hanging="360"/>
              <w:jc w:val="both"/>
              <w:rPr>
                <w:rStyle w:val="DefaultParagraphFont"/>
                <w:rFonts w:ascii="Times New Roman" w:hAnsi="Times New Roman" w:cs="Times New Roman"/>
                <w:szCs w:val="24"/>
              </w:rPr>
            </w:pPr>
            <w:r>
              <w:rPr>
                <w:rStyle w:val="FootnoteReference"/>
                <w:rFonts w:ascii="Times New Roman" w:hAnsi="Times New Roman" w:cs="Times New Roman"/>
                <w:szCs w:val="24"/>
              </w:rPr>
              <w:t>3</w:t>
            </w:r>
            <w:r>
              <w:rPr>
                <w:rStyle w:val="DefaultParagraphFont"/>
                <w:rFonts w:ascii="Times New Roman" w:hAnsi="Times New Roman" w:cs="Times New Roman"/>
                <w:szCs w:val="24"/>
              </w:rPr>
              <w:t xml:space="preserve">) </w:t>
              <w:tab/>
              <w:t>Zákon č.163/2001 Z. z. o chemických látkach a chemických prípravkoch v znení neskorších predpisov</w:t>
            </w:r>
            <w:r>
              <w:rPr>
                <w:rStyle w:val="DefaultParagraphFont"/>
                <w:rFonts w:ascii="Times New Roman" w:hAnsi="Times New Roman" w:cs="Times New Roman"/>
                <w:szCs w:val="24"/>
              </w:rPr>
              <w:t>.</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Posúdenie rizika podľa odseku 1 zahŕňa</w:t>
            </w:r>
          </w:p>
          <w:p>
            <w:pPr>
              <w:pStyle w:val="Odsekspismenom"/>
              <w:numPr>
                <w:numId w:val="32"/>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identifikáciu nebezpečných vlastností chemických faktorov s uvedením fyzikálnych, fyzikálno-chemických, toxikologických a ďalších významných vlastností chemických faktorov z hľadiska bezpečnosti a zdravia</w:t>
            </w:r>
            <w:bookmarkStart w:id="0" w:name="_Ref109834466"/>
            <w:r>
              <w:rPr>
                <w:rStyle w:val="DefaultParagraphFont"/>
                <w:rFonts w:ascii="Times New Roman" w:hAnsi="Times New Roman" w:cs="Times New Roman"/>
                <w:szCs w:val="24"/>
              </w:rPr>
              <w:t xml:space="preserve"> poskytované dodávateľom podľa osobitného predpisu</w:t>
            </w:r>
            <w:bookmarkEnd w:id="0"/>
            <w:r>
              <w:rPr>
                <w:rStyle w:val="DefaultParagraphFont"/>
                <w:rFonts w:ascii="Times New Roman" w:hAnsi="Times New Roman" w:cs="Times New Roman"/>
                <w:szCs w:val="24"/>
              </w:rPr>
              <w:t>,</w:t>
            </w:r>
            <w:r>
              <w:rPr>
                <w:rStyle w:val="DefaultParagraphFont"/>
                <w:rFonts w:ascii="Times New Roman" w:hAnsi="Times New Roman" w:cs="Times New Roman"/>
                <w:szCs w:val="24"/>
                <w:vertAlign w:val="superscript"/>
              </w:rPr>
              <w:t>4</w:t>
            </w:r>
            <w:r>
              <w:rPr>
                <w:rStyle w:val="DefaultParagraphFont"/>
                <w:rFonts w:ascii="Times New Roman" w:hAnsi="Times New Roman" w:cs="Times New Roman"/>
                <w:szCs w:val="24"/>
              </w:rPr>
              <w:t>)</w:t>
            </w:r>
          </w:p>
          <w:p>
            <w:pPr>
              <w:pStyle w:val="Odsekspismenom"/>
              <w:numPr>
                <w:numId w:val="32"/>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úroveň, druh a trvanie expozície chemickým faktorom,</w:t>
            </w:r>
          </w:p>
          <w:p>
            <w:pPr>
              <w:pStyle w:val="Odsekspismenom"/>
              <w:numPr>
                <w:numId w:val="32"/>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podmienky práce súvisiace s chemickými faktormi vrátane ich množstva,</w:t>
            </w:r>
          </w:p>
          <w:p>
            <w:pPr>
              <w:pStyle w:val="Odsekspismenom"/>
              <w:numPr>
                <w:numId w:val="32"/>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najvyššie prípustné expozičné limity alebo biologické medzné hodnoty (§ 3) a ich dodržanie,</w:t>
            </w:r>
          </w:p>
          <w:p>
            <w:pPr>
              <w:pStyle w:val="Odsekspismenom"/>
              <w:numPr>
                <w:numId w:val="32"/>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závery z vykonaného zdravotného dohľadu, ak sú dostupné,</w:t>
            </w:r>
          </w:p>
          <w:p>
            <w:pPr>
              <w:pStyle w:val="Odsekspismenom"/>
              <w:numPr>
                <w:numId w:val="32"/>
              </w:numPr>
              <w:tabs>
                <w:tab w:val="left" w:pos="360"/>
              </w:tabs>
              <w:spacing w:before="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charakterizáciu rizika pre zamestnancov s prihliadnutím na osobitné skupiny zamestnancov</w:t>
            </w:r>
            <w:r>
              <w:rPr>
                <w:rStyle w:val="DefaultParagraphFont"/>
                <w:rFonts w:ascii="Times New Roman" w:hAnsi="Times New Roman" w:cs="Times New Roman"/>
                <w:szCs w:val="24"/>
                <w:vertAlign w:val="superscript"/>
              </w:rPr>
              <w:t>5</w:t>
            </w:r>
            <w:r>
              <w:rPr>
                <w:rStyle w:val="DefaultParagraphFont"/>
                <w:rFonts w:ascii="Times New Roman" w:hAnsi="Times New Roman" w:cs="Times New Roman"/>
                <w:szCs w:val="24"/>
              </w:rPr>
              <w:t>) vrátane uvedenia pracovných činností, ktoré predstavujú zvýšené riziko pre zamestnancov,</w:t>
            </w:r>
            <w:r>
              <w:rPr>
                <w:rStyle w:val="DefaultParagraphFont"/>
                <w:rFonts w:ascii="Times New Roman" w:hAnsi="Times New Roman" w:cs="Times New Roman"/>
                <w:szCs w:val="24"/>
                <w:vertAlign w:val="superscript"/>
              </w:rPr>
              <w:t>6</w:t>
            </w:r>
            <w:r>
              <w:rPr>
                <w:rStyle w:val="DefaultParagraphFont"/>
                <w:rFonts w:ascii="Times New Roman" w:hAnsi="Times New Roman" w:cs="Times New Roman"/>
                <w:szCs w:val="24"/>
              </w:rPr>
              <w:t xml:space="preserve">) </w:t>
            </w:r>
          </w:p>
          <w:p>
            <w:pPr>
              <w:pStyle w:val="BodyText"/>
              <w:numPr>
                <w:numId w:val="32"/>
              </w:numPr>
              <w:tabs>
                <w:tab w:val="left" w:pos="360"/>
              </w:tabs>
              <w:spacing w:before="0" w:after="0"/>
              <w:ind w:left="36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plán riad</w:t>
            </w:r>
            <w:r>
              <w:rPr>
                <w:rStyle w:val="DefaultParagraphFont"/>
                <w:rFonts w:ascii="Times New Roman" w:hAnsi="Times New Roman" w:cs="Times New Roman"/>
                <w:szCs w:val="24"/>
                <w:lang w:val="sk-SK"/>
              </w:rPr>
              <w:t>enia rizika s uvedením účinnosti vykonaných alebo zamýšľaných preventívnych a ochranných opatrení podľa § 5 a 6.</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FootnoteReference"/>
                <w:rFonts w:ascii="Times New Roman" w:hAnsi="Times New Roman" w:cs="Times New Roman"/>
                <w:szCs w:val="24"/>
                <w:lang w:val="sk-SK"/>
              </w:rPr>
              <w:t>4</w:t>
            </w:r>
            <w:r>
              <w:rPr>
                <w:rStyle w:val="DefaultParagraphFont"/>
                <w:rFonts w:ascii="Times New Roman" w:hAnsi="Times New Roman" w:cs="Times New Roman"/>
                <w:szCs w:val="24"/>
                <w:lang w:val="sk-SK"/>
              </w:rPr>
              <w:t>) § 27 zákona č. 163/2001 Z. z. v znení neskorších predpisov.</w:t>
            </w:r>
          </w:p>
          <w:p>
            <w:pPr>
              <w:pStyle w:val="FootnoteText"/>
              <w:jc w:val="both"/>
              <w:rPr>
                <w:rStyle w:val="DefaultParagraphFont"/>
                <w:rFonts w:ascii="Times New Roman" w:hAnsi="Times New Roman" w:cs="Times New Roman"/>
                <w:szCs w:val="24"/>
              </w:rPr>
            </w:pPr>
            <w:r>
              <w:rPr>
                <w:rStyle w:val="FootnoteReference"/>
                <w:rFonts w:ascii="Times New Roman" w:hAnsi="Times New Roman" w:cs="Times New Roman"/>
                <w:szCs w:val="24"/>
              </w:rPr>
              <w:t>5</w:t>
            </w:r>
            <w:r>
              <w:rPr>
                <w:rStyle w:val="DefaultParagraphFont"/>
                <w:rFonts w:ascii="Times New Roman" w:hAnsi="Times New Roman" w:cs="Times New Roman"/>
                <w:szCs w:val="24"/>
              </w:rPr>
              <w:t>) §  8a ods. 1 písm. c) zákona Národnej rady Slovenskej republik</w:t>
            </w:r>
            <w:r>
              <w:rPr>
                <w:rStyle w:val="DefaultParagraphFont"/>
                <w:rFonts w:ascii="Times New Roman" w:hAnsi="Times New Roman" w:cs="Times New Roman"/>
                <w:szCs w:val="24"/>
              </w:rPr>
              <w:t xml:space="preserve">y č. 330/1996 Z. z. v znení neskorších predpisov. </w:t>
            </w:r>
          </w:p>
          <w:p>
            <w:pPr>
              <w:pStyle w:val="FootnoteText"/>
              <w:jc w:val="both"/>
              <w:rPr>
                <w:rStyle w:val="DefaultParagraphFont"/>
                <w:rFonts w:ascii="Times New Roman" w:hAnsi="Times New Roman" w:cs="Times New Roman"/>
                <w:szCs w:val="24"/>
              </w:rPr>
            </w:pPr>
            <w:r>
              <w:rPr>
                <w:rStyle w:val="FootnoteReference"/>
                <w:rFonts w:ascii="Times New Roman" w:hAnsi="Times New Roman" w:cs="Times New Roman"/>
                <w:szCs w:val="24"/>
              </w:rPr>
              <w:t>6</w:t>
            </w:r>
            <w:r>
              <w:rPr>
                <w:rStyle w:val="DefaultParagraphFont"/>
                <w:rFonts w:ascii="Times New Roman" w:hAnsi="Times New Roman" w:cs="Times New Roman"/>
                <w:szCs w:val="24"/>
              </w:rPr>
              <w:t>) Nariadenie vlády Slovenskej republiky č. 357/2006 Z. z. o podrobnostiach o faktoroch práce a pracovného prostredia vo vzťahu ku kategorizácii pracovných činností a o náležitostiach návrhu na zaradenie pracovných činností do kategórií.</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Č:4</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tcBorders>
              <w:top w:val="nil"/>
              <w:left w:val="nil"/>
              <w:bottom w:val="nil"/>
              <w:right w:val="nil"/>
              <w:tl2br w:val="nil"/>
              <w:tr2bl w:val="nil"/>
            </w:tcBorders>
            <w:textDirection w:val="lrTb"/>
            <w:vAlign w:val="top"/>
          </w:tcPr>
          <w:p>
            <w:pPr>
              <w:ind w:left="24"/>
              <w:jc w:val="both"/>
              <w:rPr>
                <w:rStyle w:val="WW8Num18z2"/>
                <w:rFonts w:ascii="Times New Roman" w:hAnsi="Times New Roman" w:cs="Times New Roman"/>
                <w:szCs w:val="24"/>
              </w:rPr>
            </w:pPr>
            <w:r>
              <w:rPr>
                <w:rStyle w:val="WW8Num18z2"/>
                <w:rFonts w:ascii="Times New Roman" w:hAnsi="Times New Roman" w:cs="Times New Roman"/>
                <w:szCs w:val="24"/>
              </w:rPr>
              <w:t>Zamestnávateľ musí vyhodnocovať riziko v súlade s článkom 9 smernice  89/391/EHS a uvedie, ktoré opatrenia vykonal v súlade s článkami 5 a 6 tejto smernice. Hodnotenie rizika sa vhodnou formou zdokumentuje podľa vnútroštátneho práva a praxe a môže obsahovať potvrdenie od zamestnávateľa, že charakter a rozsah rizika vzťahujúceho sa k chemickým faktorom si nevyžaduje ďalšie podrobné hodnotenie rizika. Hodnotenie rizika sa bude aktualizovať, najmä ak nastali</w:t>
            </w:r>
            <w:r>
              <w:rPr>
                <w:rStyle w:val="WW8Num18z2"/>
                <w:rFonts w:ascii="Times New Roman" w:hAnsi="Times New Roman" w:cs="Times New Roman"/>
                <w:szCs w:val="24"/>
              </w:rPr>
              <w:t xml:space="preserve"> </w:t>
            </w:r>
            <w:r>
              <w:rPr>
                <w:rStyle w:val="WW8Num18z2"/>
                <w:rFonts w:ascii="Times New Roman" w:hAnsi="Times New Roman" w:cs="Times New Roman"/>
                <w:szCs w:val="24"/>
              </w:rPr>
              <w:t>významné zmeny, na základe ktorých sa môže považovať za neaktuálne, alebo keď výsledky zdravotného dohľadu preukážu, že to je potrebné.</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3</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 Zamestnávateľ vypracuje na základe posúdenia rizika posudok o riziku. Podľa miery rizika posudok o riziku môže obsahovať zdôvodnenie zamestnávateľa, že charakter a rozsah rizika týkajúceho sa chemických faktorov si nevyžadujú ďalšie podrobnejšie posúdenie. Posúdenie rizika sa aktualizuje pri každej zmene, ktorá môže ovply</w:t>
            </w:r>
            <w:r>
              <w:rPr>
                <w:rStyle w:val="DefaultParagraphFont"/>
                <w:rFonts w:ascii="Times New Roman" w:hAnsi="Times New Roman" w:cs="Times New Roman"/>
                <w:szCs w:val="24"/>
                <w:lang w:val="sk-SK"/>
              </w:rPr>
              <w:t>v</w:t>
            </w:r>
            <w:r>
              <w:rPr>
                <w:rStyle w:val="DefaultParagraphFont"/>
                <w:rFonts w:ascii="Times New Roman" w:hAnsi="Times New Roman" w:cs="Times New Roman"/>
                <w:szCs w:val="24"/>
                <w:lang w:val="sk-SK"/>
              </w:rPr>
              <w:t>niť riziko, alebo ak závery zdravotného dohľadu preukážu, že je to potrebné.</w:t>
            </w:r>
          </w:p>
          <w:p>
            <w:pPr>
              <w:pStyle w:val="BodyTextIndent"/>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Č:4</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Niektoré činnosti v rámci prevádzky alebo podniku, ako je údržba, pri ktorých je možné predpokladať možnosť významnej expozície, alebo ktoré môžu mať z iných príčin za následok škodlivé účinky na bezpečnosť a zdravie, dokonca aj po uskutočnení všetkých technických meraní, budú zahrnuté pri posudzovaní rizika.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4</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Do posudzovania rizika sa zahrnú aj činnosti, najmä údržba a opravy, pri ktorých napriek vykonaniu technických opatrení, možno predvídať významnú expozíciu, alebo ktoré môžu mať za následok škodlivé účinky na zdravie alebo vplyv na bezpečnosť.</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Č:4</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V prípade činností súvisiacich s expozíciou viacerým nebezpečným chemickým faktorom sa riziko posudzuje na základe rizika, ktoré predstavujú všetky také faktory v kombinácii.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5</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 Pri činnostiach súvisiacich s expozíciou viacerým nebezpečným chemickým f</w:t>
            </w:r>
            <w:r>
              <w:rPr>
                <w:rStyle w:val="DefaultParagraphFont"/>
                <w:rFonts w:ascii="Times New Roman" w:hAnsi="Times New Roman" w:cs="Times New Roman"/>
                <w:szCs w:val="24"/>
                <w:lang w:val="sk-SK"/>
              </w:rPr>
              <w:t>aktorom sa riziko posúdi na základe rizika, ktoré predstavuje kombinácia všetkých týchto faktorov.</w:t>
            </w:r>
          </w:p>
          <w:p>
            <w:pPr>
              <w:pStyle w:val="BodyTextIndent"/>
              <w:spacing w:after="0"/>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Č:4</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O:5</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V prípade novej činnosti súvisiacej s nebezpečnými chemickými faktormi sa práca začne iba po posúdení rizika danej činnosti a po uskutočnení určených preventívnych opatrení.</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8</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(8) V prípade novej činnosti súvisiacej s nebezpečnými chemickými faktormi sa práca môže začať  až po posúdení rizika vyplývajúceho z tejto činnosti. Ustanovenia odsekov 6</w:t>
            </w:r>
            <w:r>
              <w:rPr>
                <w:rStyle w:val="DefaultParagraphFont"/>
                <w:rFonts w:ascii="Times New Roman" w:hAnsi="Times New Roman" w:cs="Times New Roman"/>
                <w:szCs w:val="24"/>
                <w:lang w:val="sk-SK"/>
              </w:rPr>
              <w:t xml:space="preserve"> a 7 platia rovnako.</w:t>
            </w:r>
          </w:p>
          <w:p>
            <w:pPr>
              <w:pStyle w:val="BodyTextIndent"/>
              <w:spacing w:after="0"/>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Č:4</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O:6</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Praktické predpisy určovania a posudzovania rizika, ich revidovanie a v prípade potreby ich úpravy sa vypracujú v súlade s článkom 12  ods. 2.</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Indent"/>
              <w:spacing w:after="0"/>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 5</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b/>
                <w:szCs w:val="24"/>
              </w:rPr>
            </w:pPr>
            <w:r>
              <w:rPr>
                <w:rStyle w:val="WW8Num26z0"/>
                <w:rFonts w:ascii="Times New Roman" w:hAnsi="Times New Roman" w:cs="Times New Roman"/>
                <w:b/>
                <w:szCs w:val="24"/>
              </w:rPr>
              <w:t>Všeobecné zásady rizika spojeného s nebezpečnými chemickými faktormi a uplatňovanie tejto smernice vo vzťahu k posudzovaniu rizika.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Paragraf"/>
              <w:numPr>
                <w:numId w:val="0"/>
              </w:numPr>
              <w:tabs>
                <w:tab w:val="clear" w:pos="720"/>
              </w:tabs>
              <w:spacing w:before="0"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Všeobecné zásady prevencie rizika</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Č:5</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Pri plnení povinnosti zaistiť bezpečnosť a  ochranu zdravia pracovníkov pri akejkoľvek činnosti súvisiacej s nebezpečnými chemickými faktormi zamestnávateľ vykoná potrebné preventívne opatrenia  stanovené v článku 6  ods. 1 a 2 smernice  89/391/EHS a zahrnie opatrenia uvedené v tejto smernici.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5</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V: 1</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Zamestnávateľ je povinný pri činnosti súvisiacej s  nebezpečnými chemickými faktormi okrem všeobecných zásad prevencie ustanovených osobitným predpisom</w:t>
            </w:r>
            <w:r>
              <w:rPr>
                <w:rStyle w:val="DefaultParagraphFont"/>
                <w:rFonts w:ascii="Times New Roman" w:hAnsi="Times New Roman" w:cs="Times New Roman"/>
                <w:szCs w:val="24"/>
                <w:vertAlign w:val="superscript"/>
                <w:lang w:val="sk-SK"/>
              </w:rPr>
              <w:t>7)</w:t>
            </w:r>
            <w:r>
              <w:rPr>
                <w:rStyle w:val="DefaultParagraphFont"/>
                <w:rFonts w:ascii="Times New Roman" w:hAnsi="Times New Roman" w:cs="Times New Roman"/>
                <w:szCs w:val="24"/>
                <w:lang w:val="sk-SK"/>
              </w:rPr>
              <w:t xml:space="preserve">  vylúčiť riziko alebo ho znížiť na najnižšiu možnú mieru</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FootnoteText"/>
              <w:ind w:left="32" w:hanging="32"/>
              <w:jc w:val="both"/>
              <w:rPr>
                <w:rStyle w:val="DefaultParagraphFont"/>
                <w:rFonts w:ascii="Times New Roman" w:hAnsi="Times New Roman" w:cs="Times New Roman"/>
                <w:szCs w:val="24"/>
              </w:rPr>
            </w:pPr>
            <w:r>
              <w:rPr>
                <w:rStyle w:val="FootnoteReference"/>
                <w:rFonts w:ascii="Times New Roman" w:hAnsi="Times New Roman" w:cs="Times New Roman"/>
                <w:szCs w:val="24"/>
              </w:rPr>
              <w:t>7</w:t>
            </w:r>
            <w:r>
              <w:rPr>
                <w:rStyle w:val="DefaultParagraphFont"/>
                <w:rFonts w:ascii="Times New Roman" w:hAnsi="Times New Roman" w:cs="Times New Roman"/>
                <w:szCs w:val="24"/>
              </w:rPr>
              <w:t>) § 8 zákona Národnej rady Slovenskej republiky č. 330/1996 Z. z.  v z</w:t>
            </w:r>
            <w:r>
              <w:rPr>
                <w:rStyle w:val="DefaultParagraphFont"/>
                <w:rFonts w:ascii="Times New Roman" w:hAnsi="Times New Roman" w:cs="Times New Roman"/>
                <w:szCs w:val="24"/>
              </w:rPr>
              <w:t>není neskorších predpisov.</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Č:5</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tcBorders>
              <w:top w:val="nil"/>
              <w:left w:val="nil"/>
              <w:bottom w:val="nil"/>
              <w:right w:val="nil"/>
              <w:tl2br w:val="nil"/>
              <w:tr2bl w:val="nil"/>
            </w:tcBorders>
            <w:textDirection w:val="lrTb"/>
            <w:vAlign w:val="top"/>
          </w:tcPr>
          <w:p>
            <w:pPr>
              <w:ind w:hanging="24"/>
              <w:jc w:val="both"/>
              <w:rPr>
                <w:rStyle w:val="WW8Num18z2"/>
                <w:rFonts w:ascii="Times New Roman" w:hAnsi="Times New Roman" w:cs="Times New Roman"/>
                <w:szCs w:val="24"/>
              </w:rPr>
            </w:pPr>
            <w:r>
              <w:rPr>
                <w:rStyle w:val="WW8Num18z2"/>
                <w:rFonts w:ascii="Times New Roman" w:hAnsi="Times New Roman" w:cs="Times New Roman"/>
                <w:szCs w:val="24"/>
              </w:rPr>
              <w:t>Riziká pre bezpečnosť a ochranu zdravia pracovníkov na pracovisku súvisiace s nebezpečnými chemickými faktormi sa odstránia alebo znížia na minimum:</w:t>
            </w:r>
          </w:p>
          <w:p>
            <w:pPr>
              <w:ind w:hanging="24"/>
              <w:jc w:val="both"/>
              <w:rPr>
                <w:rStyle w:val="WW8Num18z2"/>
                <w:rFonts w:ascii="Times New Roman" w:hAnsi="Times New Roman" w:cs="Times New Roman"/>
                <w:szCs w:val="24"/>
              </w:rPr>
            </w:pPr>
          </w:p>
          <w:p>
            <w:pPr>
              <w:ind w:hanging="24"/>
              <w:jc w:val="both"/>
              <w:rPr>
                <w:rStyle w:val="WW8Num18z2"/>
                <w:rFonts w:ascii="Times New Roman" w:hAnsi="Times New Roman" w:cs="Times New Roman"/>
                <w:szCs w:val="24"/>
              </w:rPr>
            </w:pPr>
          </w:p>
          <w:p>
            <w:pPr>
              <w:ind w:hanging="24"/>
              <w:jc w:val="both"/>
              <w:rPr>
                <w:rStyle w:val="WW8Num18z2"/>
                <w:rFonts w:ascii="Times New Roman" w:hAnsi="Times New Roman" w:cs="Times New Roman"/>
                <w:szCs w:val="24"/>
              </w:rPr>
            </w:pPr>
          </w:p>
          <w:p>
            <w:pPr>
              <w:ind w:hanging="24"/>
              <w:jc w:val="both"/>
              <w:rPr>
                <w:rStyle w:val="WW8Num18z2"/>
                <w:rFonts w:ascii="Times New Roman" w:hAnsi="Times New Roman" w:cs="Times New Roman"/>
                <w:szCs w:val="24"/>
              </w:rPr>
            </w:pPr>
          </w:p>
          <w:p>
            <w:pPr>
              <w:ind w:hanging="24"/>
              <w:jc w:val="both"/>
              <w:rPr>
                <w:rStyle w:val="WW8Num18z2"/>
                <w:rFonts w:ascii="Times New Roman" w:hAnsi="Times New Roman" w:cs="Times New Roman"/>
                <w:szCs w:val="24"/>
              </w:rPr>
            </w:pPr>
          </w:p>
          <w:p>
            <w:pPr>
              <w:ind w:hanging="24"/>
              <w:jc w:val="both"/>
              <w:rPr>
                <w:rStyle w:val="Znakyprepoznmkupodiarou"/>
                <w:rFonts w:ascii="Times New Roman" w:hAnsi="Times New Roman" w:cs="Times New Roman"/>
                <w:szCs w:val="24"/>
                <w:vertAlign w:val="baseline"/>
              </w:rPr>
            </w:pPr>
            <w:r>
              <w:rPr>
                <w:rStyle w:val="Znakyprepoznmkupodiarou"/>
                <w:rFonts w:ascii="Times New Roman" w:hAnsi="Times New Roman" w:cs="Times New Roman"/>
                <w:szCs w:val="24"/>
                <w:vertAlign w:val="baseline"/>
              </w:rPr>
              <w:t>-navrhnutím a organizáciou systémov práce na pracovisku,</w:t>
            </w:r>
          </w:p>
          <w:p>
            <w:pPr>
              <w:ind w:hanging="24"/>
              <w:jc w:val="both"/>
              <w:rPr>
                <w:rStyle w:val="Znakyprepoznmkupodiarou"/>
                <w:rFonts w:ascii="Times New Roman" w:hAnsi="Times New Roman" w:cs="Times New Roman"/>
                <w:szCs w:val="24"/>
                <w:vertAlign w:val="baseline"/>
              </w:rPr>
            </w:pPr>
            <w:r>
              <w:rPr>
                <w:rStyle w:val="Znakyprepoznmkupodiarou"/>
                <w:rFonts w:ascii="Times New Roman" w:hAnsi="Times New Roman" w:cs="Times New Roman"/>
                <w:szCs w:val="24"/>
                <w:vertAlign w:val="baseline"/>
              </w:rPr>
              <w:t>-zabezpečením vhodných pracovných prostriedkov pre prácu s chemickými faktormi a takými postupmi údržby, ktoré zaistia bezpečnosť a ochranu zdravia pracovníkov na pracovisku,</w:t>
            </w:r>
          </w:p>
          <w:p>
            <w:pPr>
              <w:ind w:hanging="24"/>
              <w:jc w:val="both"/>
              <w:rPr>
                <w:rStyle w:val="Znakyprepoznmkupodiarou"/>
                <w:rFonts w:ascii="Times New Roman" w:hAnsi="Times New Roman" w:cs="Times New Roman"/>
                <w:szCs w:val="24"/>
                <w:vertAlign w:val="baseline"/>
              </w:rPr>
            </w:pPr>
            <w:r>
              <w:rPr>
                <w:rStyle w:val="Znakyprepoznmkupodiarou"/>
                <w:rFonts w:ascii="Times New Roman" w:hAnsi="Times New Roman" w:cs="Times New Roman"/>
                <w:szCs w:val="24"/>
                <w:vertAlign w:val="baseline"/>
              </w:rPr>
              <w:t>-znížením na minimum počtu pracovníkov exponovaných alebo pravdepodobne exponov</w:t>
            </w:r>
            <w:r>
              <w:rPr>
                <w:rStyle w:val="Znakyprepoznmkupodiarou"/>
                <w:rFonts w:ascii="Times New Roman" w:hAnsi="Times New Roman" w:cs="Times New Roman"/>
                <w:szCs w:val="24"/>
                <w:vertAlign w:val="baseline"/>
              </w:rPr>
              <w:t>aných,</w:t>
            </w:r>
          </w:p>
          <w:p>
            <w:pPr>
              <w:ind w:hanging="24"/>
              <w:jc w:val="both"/>
              <w:rPr>
                <w:rStyle w:val="Znakyprepoznmkupodiarou"/>
                <w:rFonts w:ascii="Times New Roman" w:hAnsi="Times New Roman" w:cs="Times New Roman"/>
                <w:szCs w:val="24"/>
                <w:vertAlign w:val="baseline"/>
              </w:rPr>
            </w:pPr>
            <w:r>
              <w:rPr>
                <w:rStyle w:val="Znakyprepoznmkupodiarou"/>
                <w:rFonts w:ascii="Times New Roman" w:hAnsi="Times New Roman" w:cs="Times New Roman"/>
                <w:szCs w:val="24"/>
                <w:vertAlign w:val="baseline"/>
              </w:rPr>
              <w:t>-obmedzením dĺžky a intenzity expozície na minimum,</w:t>
            </w:r>
          </w:p>
          <w:p>
            <w:pPr>
              <w:ind w:hanging="24"/>
              <w:jc w:val="both"/>
              <w:rPr>
                <w:rStyle w:val="Znakyprepoznmkupodiarou"/>
                <w:rFonts w:ascii="Times New Roman" w:hAnsi="Times New Roman" w:cs="Times New Roman"/>
                <w:szCs w:val="24"/>
                <w:vertAlign w:val="baseline"/>
              </w:rPr>
            </w:pPr>
            <w:r>
              <w:rPr>
                <w:rStyle w:val="Znakyprepoznmkupodiarou"/>
                <w:rFonts w:ascii="Times New Roman" w:hAnsi="Times New Roman" w:cs="Times New Roman"/>
                <w:szCs w:val="24"/>
                <w:vertAlign w:val="baseline"/>
              </w:rPr>
              <w:t>-primeranými hygienickými opatreniami,</w:t>
            </w:r>
          </w:p>
          <w:p>
            <w:pPr>
              <w:ind w:hanging="24"/>
              <w:jc w:val="both"/>
              <w:rPr>
                <w:rStyle w:val="Znakyprepoznmkupodiarou"/>
                <w:rFonts w:ascii="Times New Roman" w:hAnsi="Times New Roman" w:cs="Times New Roman"/>
                <w:szCs w:val="24"/>
                <w:vertAlign w:val="baseline"/>
              </w:rPr>
            </w:pPr>
            <w:r>
              <w:rPr>
                <w:rStyle w:val="Znakyprepoznmkupodiarou"/>
                <w:rFonts w:ascii="Times New Roman" w:hAnsi="Times New Roman" w:cs="Times New Roman"/>
                <w:szCs w:val="24"/>
                <w:vertAlign w:val="baseline"/>
              </w:rPr>
              <w:t>-znížením množstva chemických faktorov vyskytujúcich sa na pracovisku na minimum požadované pre daný druh práce,</w:t>
            </w:r>
          </w:p>
          <w:p>
            <w:pPr>
              <w:ind w:hanging="24"/>
              <w:jc w:val="both"/>
              <w:rPr>
                <w:rStyle w:val="WW8Num18z2"/>
                <w:rFonts w:ascii="Times New Roman" w:hAnsi="Times New Roman" w:cs="Times New Roman"/>
                <w:szCs w:val="24"/>
              </w:rPr>
            </w:pPr>
            <w:r>
              <w:rPr>
                <w:rStyle w:val="WW8Num18z2"/>
                <w:rFonts w:ascii="Times New Roman" w:hAnsi="Times New Roman" w:cs="Times New Roman"/>
                <w:szCs w:val="24"/>
              </w:rPr>
              <w:t xml:space="preserve">- vhodnými pracovnými postupmi, ktoré zahŕňajú opatrenia pre bezpečnú manipuláciu, skladovanie a dopravu nebezpečných chemických faktorov a odpadu obsahujúceho takéto chemické faktory na pracovisku. </w:t>
            </w:r>
          </w:p>
          <w:p>
            <w:pPr>
              <w:ind w:firstLine="24"/>
              <w:jc w:val="both"/>
              <w:rPr>
                <w:rStyle w:val="WW8Num18z2"/>
                <w:rFonts w:ascii="Times New Roman" w:hAnsi="Times New Roman" w:cs="Times New Roman"/>
                <w:szCs w:val="24"/>
              </w:rPr>
            </w:pPr>
            <w:r>
              <w:rPr>
                <w:rStyle w:val="WW8Num18z2"/>
                <w:rFonts w:ascii="Times New Roman" w:hAnsi="Times New Roman" w:cs="Times New Roman"/>
                <w:szCs w:val="24"/>
              </w:rPr>
              <w:t>Praktické smernice pre preventívne opatrenia na kontrolu rizika sa vypracujú v súlade s článkom 12 od</w:t>
            </w:r>
            <w:r>
              <w:rPr>
                <w:rStyle w:val="WW8Num18z2"/>
                <w:rFonts w:ascii="Times New Roman" w:hAnsi="Times New Roman" w:cs="Times New Roman"/>
                <w:szCs w:val="24"/>
              </w:rPr>
              <w:t>s. 2.</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Návrh zákona</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 39</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 5</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rPr>
                <w:rStyle w:val="WW-Znakapoznmky"/>
                <w:rFonts w:ascii="Times New Roman" w:hAnsi="Times New Roman" w:cs="Times New Roman"/>
                <w:szCs w:val="24"/>
                <w:lang w:val="sk-SK"/>
              </w:rPr>
            </w:pPr>
          </w:p>
          <w:p>
            <w:pPr>
              <w:pStyle w:val="WW-Zkladntext3"/>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a)</w:t>
            </w: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b)</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c)</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d)</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 xml:space="preserve">P: e) </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f)</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r>
              <w:rPr>
                <w:rStyle w:val="WW-Znakapoznmky"/>
                <w:rFonts w:ascii="Times New Roman" w:hAnsi="Times New Roman" w:cs="Times New Roman"/>
                <w:sz w:val="20"/>
                <w:szCs w:val="24"/>
                <w:lang w:val="sk-SK"/>
              </w:rPr>
              <w:t>P: g)</w:t>
            </w: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pStyle w:val="WW-Zkladntext3"/>
              <w:jc w:val="center"/>
              <w:rPr>
                <w:rStyle w:val="WW-Znakapoznmky"/>
                <w:rFonts w:ascii="Times New Roman" w:hAnsi="Times New Roman" w:cs="Times New Roman"/>
                <w:szCs w:val="24"/>
                <w:lang w:val="sk-SK"/>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 11</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P: a)</w:t>
            </w:r>
          </w:p>
          <w:p>
            <w:pPr>
              <w:jc w:val="center"/>
              <w:rPr>
                <w:rStyle w:val="WW8Num18z3"/>
                <w:rFonts w:ascii="Times New Roman" w:hAnsi="Times New Roman" w:cs="Times New Roman"/>
                <w:szCs w:val="24"/>
              </w:rPr>
            </w:pPr>
            <w:r>
              <w:rPr>
                <w:rStyle w:val="WW8Num18z3"/>
                <w:rFonts w:ascii="Times New Roman" w:hAnsi="Times New Roman" w:cs="Times New Roman"/>
                <w:szCs w:val="24"/>
              </w:rPr>
              <w:t>P: b)</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P: c)</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P: d)</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P: e)</w:t>
            </w:r>
          </w:p>
          <w:p>
            <w:pPr>
              <w:jc w:val="center"/>
              <w:rPr>
                <w:rStyle w:val="WW8Num18z3"/>
                <w:rFonts w:ascii="Times New Roman" w:hAnsi="Times New Roman" w:cs="Times New Roman"/>
                <w:szCs w:val="24"/>
              </w:rPr>
            </w:pPr>
            <w:r>
              <w:rPr>
                <w:rStyle w:val="WW8Num18z3"/>
                <w:rFonts w:ascii="Times New Roman" w:hAnsi="Times New Roman" w:cs="Times New Roman"/>
                <w:szCs w:val="24"/>
              </w:rPr>
              <w:t>P: f)</w:t>
            </w:r>
          </w:p>
          <w:p>
            <w:pPr>
              <w:jc w:val="center"/>
              <w:rPr>
                <w:rStyle w:val="WW8Num18z3"/>
                <w:rFonts w:ascii="Times New Roman" w:hAnsi="Times New Roman" w:cs="Times New Roman"/>
                <w:szCs w:val="24"/>
              </w:rPr>
            </w:pPr>
          </w:p>
          <w:p>
            <w:pPr>
              <w:jc w:val="center"/>
              <w:rPr>
                <w:rStyle w:val="WW-Znakapoznmky"/>
                <w:rFonts w:ascii="Times New Roman" w:hAnsi="Times New Roman" w:cs="Times New Roman"/>
                <w:sz w:val="20"/>
                <w:szCs w:val="24"/>
              </w:rPr>
            </w:pPr>
            <w:r>
              <w:rPr>
                <w:rStyle w:val="WW8Num18z3"/>
                <w:rFonts w:ascii="Times New Roman" w:hAnsi="Times New Roman" w:cs="Times New Roman"/>
                <w:szCs w:val="24"/>
              </w:rPr>
              <w:t>P: g)</w:t>
            </w:r>
          </w:p>
          <w:p>
            <w:pPr>
              <w:pStyle w:val="WW-Zkladntext3"/>
              <w:jc w:val="center"/>
              <w:rPr>
                <w:rStyle w:val="WW-Znakapoznmky"/>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rPr>
              <w:t>Zamestnávateľ, ktorý zamestnáva zamestnancov činnosťami, pri ktorých môžu byť exponovaní chemickým faktorom, je povinný zabezpečiť v súlade s osobitným predpisom</w:t>
            </w:r>
            <w:r>
              <w:rPr>
                <w:rStyle w:val="FootnoteReference"/>
                <w:rFonts w:ascii="Times New Roman" w:hAnsi="Times New Roman" w:cs="Times New Roman"/>
                <w:szCs w:val="24"/>
                <w:rtl w:val="0"/>
              </w:rPr>
              <w:footnoteReference w:customMarkFollows="1" w:id="3"/>
              <w:t xml:space="preserve">4</w:t>
            </w:r>
            <w:r>
              <w:rPr>
                <w:rStyle w:val="FootnoteReference"/>
                <w:rFonts w:ascii="Times New Roman" w:hAnsi="Times New Roman" w:cs="Times New Roman"/>
                <w:szCs w:val="24"/>
              </w:rPr>
              <w:t>1</w:t>
            </w:r>
            <w:r>
              <w:rPr>
                <w:rStyle w:val="DefaultParagraphFont"/>
                <w:rFonts w:ascii="Times New Roman" w:hAnsi="Times New Roman" w:cs="Times New Roman"/>
                <w:szCs w:val="24"/>
              </w:rPr>
              <w:t>) technické, organizačné a iné opatrenia, ktoré vylúčia alebo znížia expozíciu zamestnancov chemickým faktorom na najnižšiu možnú a dosiahnuteľnú mieru.</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Zamestnávateľ je povinný pri činnosti súvisiacej s  nebezpečnými chemickými faktormi okrem všeobecných zásad prevencie ustanovených osobitným predpisom</w:t>
            </w:r>
            <w:r>
              <w:rPr>
                <w:rStyle w:val="DefaultParagraphFont"/>
                <w:rFonts w:ascii="Times New Roman" w:hAnsi="Times New Roman" w:cs="Times New Roman"/>
                <w:szCs w:val="24"/>
                <w:vertAlign w:val="superscript"/>
                <w:lang w:val="sk-SK"/>
              </w:rPr>
              <w:t>7</w:t>
            </w:r>
            <w:r>
              <w:rPr>
                <w:rStyle w:val="DefaultParagraphFont"/>
                <w:rFonts w:ascii="Times New Roman" w:hAnsi="Times New Roman" w:cs="Times New Roman"/>
                <w:szCs w:val="24"/>
                <w:lang w:val="sk-SK"/>
              </w:rPr>
              <w:t>) vylúčiť riziko alebo ho znížiť na najnižšiu možnú mieru</w:t>
            </w:r>
          </w:p>
          <w:p>
            <w:pPr>
              <w:pStyle w:val="Odsekspismenom"/>
              <w:numPr>
                <w:ilvl w:val="1"/>
                <w:numId w:val="32"/>
              </w:numPr>
              <w:tabs>
                <w:tab w:val="left" w:pos="316"/>
                <w:tab w:val="left" w:pos="1440"/>
              </w:tabs>
              <w:spacing w:before="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vhodným usporiadaním pracoviska,</w:t>
            </w:r>
          </w:p>
          <w:p>
            <w:pPr>
              <w:pStyle w:val="Odsekspismenom"/>
              <w:numPr>
                <w:ilvl w:val="1"/>
                <w:numId w:val="32"/>
              </w:numPr>
              <w:tabs>
                <w:tab w:val="left" w:pos="316"/>
                <w:tab w:val="left" w:pos="1440"/>
              </w:tabs>
              <w:spacing w:before="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používaním vhodných pracovných prostriedkov</w:t>
            </w:r>
            <w:r>
              <w:rPr>
                <w:rStyle w:val="DefaultParagraphFont"/>
                <w:rFonts w:ascii="Times New Roman" w:hAnsi="Times New Roman" w:cs="Times New Roman"/>
                <w:szCs w:val="24"/>
                <w:vertAlign w:val="superscript"/>
              </w:rPr>
              <w:t>8</w:t>
            </w:r>
            <w:r>
              <w:rPr>
                <w:rStyle w:val="DefaultParagraphFont"/>
                <w:rFonts w:ascii="Times New Roman" w:hAnsi="Times New Roman" w:cs="Times New Roman"/>
                <w:szCs w:val="24"/>
              </w:rPr>
              <w:t>) pri práci s nebezpečnými chemickými faktormi a postupmi údržby a opráv, ktoré zabezpečia ochranu zdravia zamestnancov na pracovisku,</w:t>
            </w:r>
          </w:p>
          <w:p>
            <w:pPr>
              <w:pStyle w:val="Odsekspismenom"/>
              <w:numPr>
                <w:ilvl w:val="1"/>
                <w:numId w:val="32"/>
              </w:numPr>
              <w:tabs>
                <w:tab w:val="left" w:pos="316"/>
                <w:tab w:val="left" w:pos="1440"/>
              </w:tabs>
              <w:spacing w:before="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znížením počtu zamestnancov, ktorí sú alebo môžu byť exponovaní nebezpečným chemickým faktorom na najnižšiu možnú mieru,</w:t>
            </w:r>
          </w:p>
          <w:p>
            <w:pPr>
              <w:pStyle w:val="Odsekspismenom"/>
              <w:numPr>
                <w:ilvl w:val="1"/>
                <w:numId w:val="32"/>
              </w:numPr>
              <w:tabs>
                <w:tab w:val="left" w:pos="316"/>
                <w:tab w:val="left" w:pos="1440"/>
              </w:tabs>
              <w:spacing w:before="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obmedzením dĺžky a  intenzity expozície zamestnancov nebezpečným chemickým faktorom na najnižšiu možnú mieru,</w:t>
            </w:r>
          </w:p>
          <w:p>
            <w:pPr>
              <w:pStyle w:val="Odsekspismenom"/>
              <w:numPr>
                <w:ilvl w:val="1"/>
                <w:numId w:val="32"/>
              </w:numPr>
              <w:tabs>
                <w:tab w:val="left" w:pos="316"/>
                <w:tab w:val="left" w:pos="1440"/>
              </w:tabs>
              <w:spacing w:before="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primeranými hygienickými opatreniami,</w:t>
            </w:r>
            <w:r>
              <w:rPr>
                <w:rStyle w:val="DefaultParagraphFont"/>
                <w:rFonts w:ascii="Times New Roman" w:hAnsi="Times New Roman" w:cs="Times New Roman"/>
                <w:szCs w:val="24"/>
                <w:vertAlign w:val="superscript"/>
              </w:rPr>
              <w:t>9</w:t>
            </w:r>
            <w:r>
              <w:rPr>
                <w:rStyle w:val="DefaultParagraphFont"/>
                <w:rFonts w:ascii="Times New Roman" w:hAnsi="Times New Roman" w:cs="Times New Roman"/>
                <w:szCs w:val="24"/>
              </w:rPr>
              <w:t>)</w:t>
            </w:r>
          </w:p>
          <w:p>
            <w:pPr>
              <w:pStyle w:val="Odsekspismenom"/>
              <w:numPr>
                <w:ilvl w:val="1"/>
                <w:numId w:val="32"/>
              </w:numPr>
              <w:tabs>
                <w:tab w:val="left" w:pos="316"/>
                <w:tab w:val="left" w:pos="1440"/>
              </w:tabs>
              <w:spacing w:before="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znížením množstva nebezpečných chemických faktorov na pracovisku na množstvo nevyhnutne potrebné pre daný druh práce,</w:t>
            </w:r>
          </w:p>
          <w:p>
            <w:pPr>
              <w:pStyle w:val="Odsekspismenom"/>
              <w:numPr>
                <w:ilvl w:val="1"/>
                <w:numId w:val="32"/>
              </w:numPr>
              <w:tabs>
                <w:tab w:val="left" w:pos="316"/>
                <w:tab w:val="left" w:pos="1440"/>
              </w:tabs>
              <w:spacing w:before="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vhodnými pracovnými postupmi, v ktorých sú zahrnuté opatrenia pre bezpečnú manipuláciu, skladovanie a prepravu nebezpečných chemických faktorov a odpadu obsahujúceho takéto </w:t>
            </w:r>
            <w:r>
              <w:rPr>
                <w:rStyle w:val="DefaultParagraphFont"/>
                <w:rFonts w:ascii="Times New Roman" w:hAnsi="Times New Roman" w:cs="Times New Roman"/>
                <w:szCs w:val="24"/>
              </w:rPr>
              <w:t>chemické faktory na pracovisku.</w:t>
            </w:r>
          </w:p>
          <w:p>
            <w:pPr>
              <w:pStyle w:val="Odsekspismenom"/>
              <w:tabs>
                <w:tab w:val="left" w:pos="316"/>
              </w:tabs>
              <w:spacing w:before="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w:t>
            </w:r>
          </w:p>
          <w:p>
            <w:pPr>
              <w:pStyle w:val="FootnoteText"/>
              <w:ind w:left="32" w:hanging="32"/>
              <w:jc w:val="both"/>
              <w:rPr>
                <w:rStyle w:val="DefaultParagraphFont"/>
                <w:rFonts w:ascii="Times New Roman" w:hAnsi="Times New Roman" w:cs="Times New Roman"/>
                <w:szCs w:val="24"/>
              </w:rPr>
            </w:pPr>
            <w:r>
              <w:rPr>
                <w:rStyle w:val="FootnoteReference"/>
                <w:rFonts w:ascii="Times New Roman" w:hAnsi="Times New Roman" w:cs="Times New Roman"/>
                <w:szCs w:val="24"/>
              </w:rPr>
              <w:t>7</w:t>
            </w:r>
            <w:r>
              <w:rPr>
                <w:rStyle w:val="DefaultParagraphFont"/>
                <w:rFonts w:ascii="Times New Roman" w:hAnsi="Times New Roman" w:cs="Times New Roman"/>
                <w:szCs w:val="24"/>
              </w:rPr>
              <w:t xml:space="preserve">) § 8 zákona Národnej rady Slovenskej republiky č. 330/1996 Z. z.  v znení neskorších predpisov. </w:t>
            </w:r>
          </w:p>
          <w:p>
            <w:pPr>
              <w:pStyle w:val="FootnoteText"/>
              <w:ind w:left="32" w:hanging="32"/>
              <w:rPr>
                <w:rStyle w:val="DefaultParagraphFont"/>
                <w:rFonts w:ascii="Times New Roman" w:hAnsi="Times New Roman" w:cs="Times New Roman"/>
                <w:szCs w:val="24"/>
              </w:rPr>
            </w:pPr>
            <w:r>
              <w:rPr>
                <w:rStyle w:val="FootnoteReference"/>
                <w:rFonts w:ascii="Times New Roman" w:hAnsi="Times New Roman" w:cs="Times New Roman"/>
                <w:szCs w:val="24"/>
              </w:rPr>
              <w:t>8</w:t>
            </w:r>
            <w:r>
              <w:rPr>
                <w:rStyle w:val="DefaultParagraphFont"/>
                <w:rFonts w:ascii="Times New Roman" w:hAnsi="Times New Roman" w:cs="Times New Roman"/>
                <w:szCs w:val="24"/>
              </w:rPr>
              <w:t xml:space="preserve">) Nariadenie vlády Slovenskej republiky č. 159/2001 Z. z. o minimálnych bezpečnostných a zdravotných požiadavkách pri používaní pracovných prostriedkov v znení nariadenia vlády Slovenskej republiky </w:t>
            </w:r>
          </w:p>
          <w:p>
            <w:pPr>
              <w:pStyle w:val="BodyTextIndent"/>
              <w:spacing w:after="0"/>
              <w:rPr>
                <w:rStyle w:val="DefaultParagraphFont"/>
                <w:rFonts w:ascii="Times New Roman" w:hAnsi="Times New Roman" w:cs="Times New Roman"/>
                <w:szCs w:val="24"/>
              </w:rPr>
            </w:pPr>
            <w:r>
              <w:rPr>
                <w:rStyle w:val="FootnoteReference"/>
                <w:rFonts w:ascii="Times New Roman" w:hAnsi="Times New Roman" w:cs="Times New Roman"/>
                <w:szCs w:val="24"/>
              </w:rPr>
              <w:t>9</w:t>
            </w:r>
            <w:r>
              <w:rPr>
                <w:rStyle w:val="DefaultParagraphFont"/>
                <w:rFonts w:ascii="Times New Roman" w:hAnsi="Times New Roman" w:cs="Times New Roman"/>
                <w:szCs w:val="24"/>
              </w:rPr>
              <w:t>) Nariadenie vlády Slovenskej republiky č. 201/2001 Z. z. o minimálnych bezpečnostných a zdravotných požiadavkách na pracovisko.</w:t>
            </w:r>
          </w:p>
          <w:p>
            <w:pPr>
              <w:pStyle w:val="BodyTextIndent"/>
              <w:spacing w:after="0"/>
              <w:rPr>
                <w:rStyle w:val="DefaultParagraphFont"/>
                <w:rFonts w:ascii="Times New Roman" w:hAnsi="Times New Roman" w:cs="Times New Roman"/>
                <w:szCs w:val="24"/>
              </w:rPr>
            </w:pPr>
          </w:p>
          <w:p>
            <w:pPr>
              <w:pStyle w:val="ListNumber"/>
              <w:numPr>
                <w:numId w:val="0"/>
              </w:numPr>
              <w:tabs>
                <w:tab w:val="clear" w:pos="360"/>
              </w:tabs>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Prevádzkový poriadok zamestnávateľa na účely tohto nariadenia vlády obsahuje najmä</w:t>
            </w:r>
          </w:p>
          <w:p>
            <w:pPr>
              <w:pStyle w:val="Uroven2"/>
              <w:numPr>
                <w:ilvl w:val="0"/>
                <w:numId w:val="37"/>
              </w:numPr>
              <w:tabs>
                <w:tab w:val="left" w:pos="643"/>
              </w:tabs>
              <w:spacing w:before="0" w:after="0"/>
              <w:ind w:left="643"/>
              <w:rPr>
                <w:rStyle w:val="DefaultParagraphFont"/>
                <w:rFonts w:ascii="Times New Roman" w:hAnsi="Times New Roman" w:cs="Times New Roman"/>
                <w:szCs w:val="24"/>
              </w:rPr>
            </w:pPr>
            <w:r>
              <w:rPr>
                <w:rStyle w:val="DefaultParagraphFont"/>
                <w:rFonts w:ascii="Times New Roman" w:hAnsi="Times New Roman" w:cs="Times New Roman"/>
                <w:szCs w:val="24"/>
              </w:rPr>
              <w:t>posudok o riziku (§ 4 ods. 3),</w:t>
            </w:r>
          </w:p>
          <w:p>
            <w:pPr>
              <w:pStyle w:val="Uroven2"/>
              <w:numPr>
                <w:ilvl w:val="0"/>
                <w:numId w:val="37"/>
              </w:numPr>
              <w:tabs>
                <w:tab w:val="left" w:pos="643"/>
              </w:tabs>
              <w:spacing w:before="0" w:after="0"/>
              <w:ind w:left="643"/>
              <w:rPr>
                <w:rStyle w:val="DefaultParagraphFont"/>
                <w:rFonts w:ascii="Times New Roman" w:hAnsi="Times New Roman" w:cs="Times New Roman"/>
                <w:szCs w:val="24"/>
              </w:rPr>
            </w:pPr>
            <w:r>
              <w:rPr>
                <w:rStyle w:val="DefaultParagraphFont"/>
                <w:rFonts w:ascii="Times New Roman" w:hAnsi="Times New Roman" w:cs="Times New Roman"/>
                <w:szCs w:val="24"/>
              </w:rPr>
              <w:t>údaje o umiestnení zariadenia alebo pracoviska, na ktorom sa vyskytujú nebezpečné chemické faktory,</w:t>
            </w:r>
          </w:p>
          <w:p>
            <w:pPr>
              <w:pStyle w:val="Uroven2"/>
              <w:numPr>
                <w:ilvl w:val="0"/>
                <w:numId w:val="37"/>
              </w:numPr>
              <w:tabs>
                <w:tab w:val="left" w:pos="643"/>
              </w:tabs>
              <w:spacing w:before="0" w:after="0"/>
              <w:ind w:left="643"/>
              <w:rPr>
                <w:rStyle w:val="DefaultParagraphFont"/>
                <w:rFonts w:ascii="Times New Roman" w:hAnsi="Times New Roman" w:cs="Times New Roman"/>
                <w:szCs w:val="24"/>
              </w:rPr>
            </w:pPr>
            <w:r>
              <w:rPr>
                <w:rStyle w:val="DefaultParagraphFont"/>
                <w:rFonts w:ascii="Times New Roman" w:hAnsi="Times New Roman" w:cs="Times New Roman"/>
                <w:szCs w:val="24"/>
              </w:rPr>
              <w:t>bezpečné pracovné a technologické postupy a  pracovné prostriedky pre jednotlivé pracovné činnosti, vrátane postupov údržby, bezpečnej manipulácie, skladovania a prepravy v rámci pracoviska a zneškodňovania odpadov s obsahom nebezpečných chemických faktorov,</w:t>
            </w:r>
          </w:p>
          <w:p>
            <w:pPr>
              <w:pStyle w:val="Uroven2"/>
              <w:numPr>
                <w:ilvl w:val="0"/>
                <w:numId w:val="37"/>
              </w:numPr>
              <w:tabs>
                <w:tab w:val="left" w:pos="643"/>
              </w:tabs>
              <w:spacing w:before="0" w:after="0"/>
              <w:ind w:left="643"/>
              <w:rPr>
                <w:rStyle w:val="DefaultParagraphFont"/>
                <w:rFonts w:ascii="Times New Roman" w:hAnsi="Times New Roman" w:cs="Times New Roman"/>
                <w:szCs w:val="24"/>
              </w:rPr>
            </w:pPr>
            <w:r>
              <w:rPr>
                <w:rStyle w:val="DefaultParagraphFont"/>
                <w:rFonts w:ascii="Times New Roman" w:hAnsi="Times New Roman" w:cs="Times New Roman"/>
                <w:szCs w:val="24"/>
              </w:rPr>
              <w:t>ochranné a preventívne opatrenia na vylúčenie alebo zníženie rizika, vrátane technických kontrolných systémov na zabránenie úniku nebezpečných chemických faktorov, ich vznietenia alebo výbuchu (§ 5 a 6),</w:t>
            </w:r>
          </w:p>
          <w:p>
            <w:pPr>
              <w:pStyle w:val="Uroven2"/>
              <w:numPr>
                <w:ilvl w:val="0"/>
                <w:numId w:val="37"/>
              </w:numPr>
              <w:tabs>
                <w:tab w:val="left" w:pos="643"/>
              </w:tabs>
              <w:spacing w:before="0" w:after="0"/>
              <w:ind w:left="643"/>
              <w:rPr>
                <w:rStyle w:val="DefaultParagraphFont"/>
                <w:rFonts w:ascii="Times New Roman" w:hAnsi="Times New Roman" w:cs="Times New Roman"/>
                <w:szCs w:val="24"/>
              </w:rPr>
            </w:pPr>
            <w:r>
              <w:rPr>
                <w:rStyle w:val="DefaultParagraphFont"/>
                <w:rFonts w:ascii="Times New Roman" w:hAnsi="Times New Roman" w:cs="Times New Roman"/>
                <w:szCs w:val="24"/>
              </w:rPr>
              <w:t>havarijný plán (§ 7 ods. 1),</w:t>
            </w:r>
          </w:p>
          <w:p>
            <w:pPr>
              <w:pStyle w:val="Uroven2"/>
              <w:numPr>
                <w:ilvl w:val="0"/>
                <w:numId w:val="37"/>
              </w:numPr>
              <w:tabs>
                <w:tab w:val="left" w:pos="643"/>
              </w:tabs>
              <w:spacing w:before="0" w:after="0"/>
              <w:ind w:left="643"/>
              <w:rPr>
                <w:rStyle w:val="DefaultParagraphFont"/>
                <w:rFonts w:ascii="Times New Roman" w:hAnsi="Times New Roman" w:cs="Times New Roman"/>
                <w:szCs w:val="24"/>
              </w:rPr>
            </w:pPr>
            <w:r>
              <w:rPr>
                <w:rStyle w:val="DefaultParagraphFont"/>
                <w:rFonts w:ascii="Times New Roman" w:hAnsi="Times New Roman" w:cs="Times New Roman"/>
                <w:szCs w:val="24"/>
              </w:rPr>
              <w:t>pokyny  a vybavenie pre prvú pomoc,</w:t>
            </w:r>
          </w:p>
          <w:p>
            <w:pPr>
              <w:pStyle w:val="Uroven2"/>
              <w:numPr>
                <w:ilvl w:val="0"/>
                <w:numId w:val="37"/>
              </w:numPr>
              <w:tabs>
                <w:tab w:val="left" w:pos="643"/>
              </w:tabs>
              <w:spacing w:before="0" w:after="0"/>
              <w:ind w:left="643"/>
              <w:rPr>
                <w:rStyle w:val="DefaultParagraphFont"/>
                <w:rFonts w:ascii="Times New Roman" w:hAnsi="Times New Roman" w:cs="Times New Roman"/>
                <w:szCs w:val="24"/>
              </w:rPr>
            </w:pPr>
            <w:r>
              <w:rPr>
                <w:rStyle w:val="DefaultParagraphFont"/>
                <w:rFonts w:ascii="Times New Roman" w:hAnsi="Times New Roman" w:cs="Times New Roman"/>
                <w:szCs w:val="24"/>
              </w:rPr>
              <w:t>spôsob a frekvenciu školení zamestnancov.</w:t>
            </w:r>
          </w:p>
        </w:tc>
        <w:tc>
          <w:tcPr>
            <w:tcW w:w="0" w:type="auto"/>
            <w:gridSpan w:val="2"/>
            <w:tcBorders>
              <w:top w:val="nil"/>
              <w:left w:val="nil"/>
              <w:bottom w:val="nil"/>
              <w:right w:val="nil"/>
              <w:tl2br w:val="nil"/>
              <w:tr2bl w:val="nil"/>
            </w:tcBorders>
            <w:textDirection w:val="lrTb"/>
            <w:vAlign w:val="top"/>
          </w:tcPr>
          <w:p>
            <w:pPr>
              <w:numPr>
                <w:ilvl w:val="0"/>
                <w:numId w:val="53"/>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numPr>
                <w:ilvl w:val="0"/>
                <w:numId w:val="53"/>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p>
          <w:p>
            <w:pPr>
              <w:numPr>
                <w:ilvl w:val="0"/>
                <w:numId w:val="53"/>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numPr>
                <w:ilvl w:val="0"/>
                <w:numId w:val="54"/>
              </w:numPr>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numPr>
                <w:ilvl w:val="0"/>
                <w:numId w:val="55"/>
              </w:numPr>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numPr>
                <w:ilvl w:val="0"/>
                <w:numId w:val="57"/>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Č:5</w:t>
            </w:r>
          </w:p>
          <w:p>
            <w:pPr>
              <w:numPr>
                <w:ilvl w:val="0"/>
                <w:numId w:val="57"/>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tcBorders>
              <w:top w:val="nil"/>
              <w:left w:val="nil"/>
              <w:bottom w:val="nil"/>
              <w:right w:val="nil"/>
              <w:tl2br w:val="nil"/>
              <w:tr2bl w:val="nil"/>
            </w:tcBorders>
            <w:textDirection w:val="lrTb"/>
            <w:vAlign w:val="top"/>
          </w:tcPr>
          <w:p>
            <w:pPr>
              <w:numPr>
                <w:ilvl w:val="0"/>
                <w:numId w:val="58"/>
              </w:numPr>
              <w:jc w:val="both"/>
              <w:rPr>
                <w:rStyle w:val="WW8Num26z0"/>
                <w:rFonts w:ascii="Times New Roman" w:hAnsi="Times New Roman" w:cs="Times New Roman"/>
                <w:szCs w:val="24"/>
              </w:rPr>
            </w:pPr>
            <w:r>
              <w:rPr>
                <w:rStyle w:val="WW8Num26z0"/>
                <w:rFonts w:ascii="Times New Roman" w:hAnsi="Times New Roman" w:cs="Times New Roman"/>
                <w:szCs w:val="24"/>
              </w:rPr>
              <w:t>Ak výsledky posúdenia rizika uvedené v článku 4 ods. 1 odhalia riziko pre bezpečnosť a zdravie pracovníkov, budú sa uplatňovať osobitné ochranné, preventívne a monitorovacie opatrenia stanovené v článkoch 6, 7 a 10.</w:t>
            </w:r>
          </w:p>
        </w:tc>
        <w:tc>
          <w:tcPr>
            <w:tcW w:w="0" w:type="auto"/>
            <w:gridSpan w:val="2"/>
            <w:tcBorders>
              <w:top w:val="nil"/>
              <w:left w:val="nil"/>
              <w:bottom w:val="nil"/>
              <w:right w:val="nil"/>
              <w:tl2br w:val="nil"/>
              <w:tr2bl w:val="nil"/>
            </w:tcBorders>
            <w:textDirection w:val="lrTb"/>
            <w:vAlign w:val="top"/>
          </w:tcPr>
          <w:p>
            <w:pPr>
              <w:numPr>
                <w:ilvl w:val="0"/>
                <w:numId w:val="59"/>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numPr>
                <w:ilvl w:val="0"/>
                <w:numId w:val="59"/>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numPr>
                <w:ilvl w:val="0"/>
                <w:numId w:val="59"/>
              </w:num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numPr>
                <w:ilvl w:val="0"/>
                <w:numId w:val="59"/>
              </w:num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6</w:t>
            </w:r>
          </w:p>
        </w:tc>
        <w:tc>
          <w:tcPr>
            <w:tcW w:w="0" w:type="auto"/>
            <w:gridSpan w:val="2"/>
            <w:tcBorders>
              <w:top w:val="nil"/>
              <w:left w:val="nil"/>
              <w:bottom w:val="nil"/>
              <w:right w:val="nil"/>
              <w:tl2br w:val="nil"/>
              <w:tr2bl w:val="nil"/>
            </w:tcBorders>
            <w:textDirection w:val="lrTb"/>
            <w:vAlign w:val="top"/>
          </w:tcPr>
          <w:p>
            <w:pPr>
              <w:pStyle w:val="BodyText"/>
              <w:numPr>
                <w:ilvl w:val="0"/>
                <w:numId w:val="60"/>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 Ak výsledky posúdenia rizika podľa odseku 1 preukážu riziko, zamestnávateľ je povinný vykonať špecifické opatrenia podľa  § 6 a 7 a zabezpečiť zdravotný dohľad podľa § 12, ak v odseku 7 nie je ustanovené inak.</w:t>
            </w:r>
          </w:p>
          <w:p>
            <w:pPr>
              <w:pStyle w:val="BodyText"/>
              <w:numPr>
                <w:ilvl w:val="0"/>
                <w:numId w:val="61"/>
              </w:numPr>
              <w:spacing w:before="0" w:after="0"/>
              <w:rPr>
                <w:rStyle w:val="DefaultParagraphFont"/>
                <w:rFonts w:ascii="Times New Roman" w:hAnsi="Times New Roman" w:cs="Times New Roman"/>
                <w:color w:val="FF0000"/>
                <w:szCs w:val="24"/>
                <w:lang w:val="sk-SK"/>
              </w:rPr>
            </w:pPr>
          </w:p>
        </w:tc>
        <w:tc>
          <w:tcPr>
            <w:tcW w:w="0" w:type="auto"/>
            <w:gridSpan w:val="2"/>
            <w:tcBorders>
              <w:top w:val="nil"/>
              <w:left w:val="nil"/>
              <w:bottom w:val="nil"/>
              <w:right w:val="nil"/>
              <w:tl2br w:val="nil"/>
              <w:tr2bl w:val="nil"/>
            </w:tcBorders>
            <w:textDirection w:val="lrTb"/>
            <w:vAlign w:val="top"/>
          </w:tcPr>
          <w:p>
            <w:pPr>
              <w:numPr>
                <w:ilvl w:val="0"/>
                <w:numId w:val="62"/>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numPr>
                <w:ilvl w:val="0"/>
                <w:numId w:val="62"/>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numPr>
                <w:ilvl w:val="0"/>
                <w:numId w:val="63"/>
              </w:numPr>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numPr>
                <w:ilvl w:val="0"/>
                <w:numId w:val="64"/>
              </w:numPr>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numPr>
                <w:ilvl w:val="0"/>
                <w:numId w:val="66"/>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Č:5</w:t>
            </w:r>
          </w:p>
          <w:p>
            <w:pPr>
              <w:numPr>
                <w:ilvl w:val="0"/>
                <w:numId w:val="66"/>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tcBorders>
              <w:top w:val="nil"/>
              <w:left w:val="nil"/>
              <w:bottom w:val="nil"/>
              <w:right w:val="nil"/>
              <w:tl2br w:val="nil"/>
              <w:tr2bl w:val="nil"/>
            </w:tcBorders>
            <w:textDirection w:val="lrTb"/>
            <w:vAlign w:val="top"/>
          </w:tcPr>
          <w:p>
            <w:pPr>
              <w:numPr>
                <w:ilvl w:val="0"/>
                <w:numId w:val="67"/>
              </w:numPr>
              <w:jc w:val="both"/>
              <w:rPr>
                <w:rStyle w:val="WW8Num26z0"/>
                <w:rFonts w:ascii="Times New Roman" w:hAnsi="Times New Roman" w:cs="Times New Roman"/>
                <w:szCs w:val="24"/>
              </w:rPr>
            </w:pPr>
            <w:r>
              <w:rPr>
                <w:rStyle w:val="WW8Num26z0"/>
                <w:rFonts w:ascii="Times New Roman" w:hAnsi="Times New Roman" w:cs="Times New Roman"/>
                <w:szCs w:val="24"/>
              </w:rPr>
              <w:t>Ak výsledky posúdenia rizika uvedené v článku 4  ods. 1 preukážu, že vzhľadom na množstvá nebezpečného chemického faktora vyskytujúce sa na pracovisku existuje len malé riziko pre bezpečnosť a zdravie pracovníkov a opatrenia prijaté v súlade s odsekmi 1 a 2 tohto článku sú dostatočné na zníženie tohto rizika, opatrenia článkov 6, 7 a 10 sa neuplatňujú.</w:t>
            </w:r>
          </w:p>
        </w:tc>
        <w:tc>
          <w:tcPr>
            <w:tcW w:w="0" w:type="auto"/>
            <w:gridSpan w:val="2"/>
            <w:tcBorders>
              <w:top w:val="nil"/>
              <w:left w:val="nil"/>
              <w:bottom w:val="nil"/>
              <w:right w:val="nil"/>
              <w:tl2br w:val="nil"/>
              <w:tr2bl w:val="nil"/>
            </w:tcBorders>
            <w:textDirection w:val="lrTb"/>
            <w:vAlign w:val="top"/>
          </w:tcPr>
          <w:p>
            <w:pPr>
              <w:numPr>
                <w:ilvl w:val="0"/>
                <w:numId w:val="68"/>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numPr>
                <w:ilvl w:val="0"/>
                <w:numId w:val="68"/>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numPr>
                <w:ilvl w:val="0"/>
                <w:numId w:val="68"/>
              </w:num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4</w:t>
            </w:r>
          </w:p>
          <w:p>
            <w:pPr>
              <w:numPr>
                <w:ilvl w:val="0"/>
                <w:numId w:val="68"/>
              </w:num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7</w:t>
            </w:r>
          </w:p>
        </w:tc>
        <w:tc>
          <w:tcPr>
            <w:tcW w:w="0" w:type="auto"/>
            <w:gridSpan w:val="2"/>
            <w:tcBorders>
              <w:top w:val="nil"/>
              <w:left w:val="nil"/>
              <w:bottom w:val="nil"/>
              <w:right w:val="nil"/>
              <w:tl2br w:val="nil"/>
              <w:tr2bl w:val="nil"/>
            </w:tcBorders>
            <w:textDirection w:val="lrTb"/>
            <w:vAlign w:val="top"/>
          </w:tcPr>
          <w:p>
            <w:pPr>
              <w:pStyle w:val="BodyText"/>
              <w:numPr>
                <w:ilvl w:val="0"/>
                <w:numId w:val="69"/>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(7) Plnenie povinnosti </w:t>
            </w:r>
            <w:r>
              <w:rPr>
                <w:rStyle w:val="DefaultParagraphFont"/>
                <w:rFonts w:ascii="Times New Roman" w:hAnsi="Times New Roman" w:cs="Times New Roman"/>
                <w:szCs w:val="24"/>
                <w:lang w:val="sk-SK"/>
              </w:rPr>
              <w:t>podľa odseku 6 sa nevyžaduje, ak výsledky posúdenia rizika podľa odseku 1 preukážu, že vzhľadom na množstvo nebezpečných chemických faktorov na pracovisku je len malé riziko vyplývajúce z týchto faktorov, pričom dodržiavanie všeobecných zásad prevencie ri</w:t>
            </w:r>
            <w:r>
              <w:rPr>
                <w:rStyle w:val="DefaultParagraphFont"/>
                <w:rFonts w:ascii="Times New Roman" w:hAnsi="Times New Roman" w:cs="Times New Roman"/>
                <w:szCs w:val="24"/>
                <w:lang w:val="sk-SK"/>
              </w:rPr>
              <w:t>z</w:t>
            </w:r>
            <w:r>
              <w:rPr>
                <w:rStyle w:val="DefaultParagraphFont"/>
                <w:rFonts w:ascii="Times New Roman" w:hAnsi="Times New Roman" w:cs="Times New Roman"/>
                <w:szCs w:val="24"/>
                <w:lang w:val="sk-SK"/>
              </w:rPr>
              <w:t>ika (§ 5) je dostatočné na zníženie tohto rizika.</w:t>
            </w:r>
          </w:p>
          <w:p>
            <w:pPr>
              <w:pStyle w:val="BodyText"/>
              <w:numPr>
                <w:ilvl w:val="0"/>
                <w:numId w:val="70"/>
              </w:numPr>
              <w:spacing w:before="0" w:after="0"/>
              <w:rPr>
                <w:rStyle w:val="DefaultParagraphFont"/>
                <w:rFonts w:ascii="Times New Roman" w:hAnsi="Times New Roman" w:cs="Times New Roman"/>
                <w:color w:val="FF0000"/>
                <w:szCs w:val="24"/>
                <w:lang w:val="sk-SK"/>
              </w:rPr>
            </w:pPr>
          </w:p>
        </w:tc>
        <w:tc>
          <w:tcPr>
            <w:tcW w:w="0" w:type="auto"/>
            <w:gridSpan w:val="2"/>
            <w:tcBorders>
              <w:top w:val="nil"/>
              <w:left w:val="nil"/>
              <w:bottom w:val="nil"/>
              <w:right w:val="nil"/>
              <w:tl2br w:val="nil"/>
              <w:tr2bl w:val="nil"/>
            </w:tcBorders>
            <w:textDirection w:val="lrTb"/>
            <w:vAlign w:val="top"/>
          </w:tcPr>
          <w:p>
            <w:pPr>
              <w:numPr>
                <w:ilvl w:val="0"/>
                <w:numId w:val="71"/>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numPr>
                <w:ilvl w:val="0"/>
                <w:numId w:val="71"/>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numPr>
                <w:ilvl w:val="0"/>
                <w:numId w:val="72"/>
              </w:numPr>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numPr>
                <w:ilvl w:val="0"/>
                <w:numId w:val="73"/>
              </w:numPr>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numPr>
                <w:ilvl w:val="0"/>
                <w:numId w:val="75"/>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Č:6</w:t>
            </w:r>
          </w:p>
        </w:tc>
        <w:tc>
          <w:tcPr>
            <w:tcW w:w="0" w:type="auto"/>
            <w:tcBorders>
              <w:top w:val="nil"/>
              <w:left w:val="nil"/>
              <w:bottom w:val="nil"/>
              <w:right w:val="nil"/>
              <w:tl2br w:val="nil"/>
              <w:tr2bl w:val="nil"/>
            </w:tcBorders>
            <w:textDirection w:val="lrTb"/>
            <w:vAlign w:val="top"/>
          </w:tcPr>
          <w:p>
            <w:pPr>
              <w:pStyle w:val="BodyText"/>
              <w:numPr>
                <w:ilvl w:val="0"/>
                <w:numId w:val="76"/>
              </w:numPr>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Osobitné ochranné a preventívne opatrenia</w:t>
            </w:r>
          </w:p>
        </w:tc>
        <w:tc>
          <w:tcPr>
            <w:tcW w:w="0" w:type="auto"/>
            <w:gridSpan w:val="2"/>
            <w:tcBorders>
              <w:top w:val="nil"/>
              <w:left w:val="nil"/>
              <w:bottom w:val="nil"/>
              <w:right w:val="nil"/>
              <w:tl2br w:val="nil"/>
              <w:tr2bl w:val="nil"/>
            </w:tcBorders>
            <w:textDirection w:val="lrTb"/>
            <w:vAlign w:val="top"/>
          </w:tcPr>
          <w:p>
            <w:pPr>
              <w:numPr>
                <w:ilvl w:val="0"/>
                <w:numId w:val="77"/>
              </w:num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numPr>
                <w:ilvl w:val="0"/>
                <w:numId w:val="77"/>
              </w:num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numPr>
                <w:ilvl w:val="0"/>
                <w:numId w:val="78"/>
              </w:num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BodyTextIndent"/>
              <w:numPr>
                <w:ilvl w:val="0"/>
                <w:numId w:val="79"/>
              </w:numPr>
              <w:spacing w:after="0"/>
              <w:ind w:left="283"/>
              <w:jc w:val="both"/>
              <w:rPr>
                <w:rStyle w:val="DefaultParagraphFont"/>
                <w:rFonts w:ascii="Times New Roman" w:hAnsi="Times New Roman" w:cs="Times New Roman"/>
                <w:b/>
                <w:szCs w:val="24"/>
              </w:rPr>
            </w:pPr>
            <w:r>
              <w:rPr>
                <w:rStyle w:val="DefaultParagraphFont"/>
                <w:rFonts w:ascii="Times New Roman" w:hAnsi="Times New Roman" w:cs="Times New Roman"/>
                <w:b/>
                <w:szCs w:val="24"/>
              </w:rPr>
              <w:t>Špecifické ochranné a preventívne opatrenia</w:t>
            </w:r>
          </w:p>
        </w:tc>
        <w:tc>
          <w:tcPr>
            <w:tcW w:w="0" w:type="auto"/>
            <w:gridSpan w:val="2"/>
            <w:tcBorders>
              <w:top w:val="nil"/>
              <w:left w:val="nil"/>
              <w:bottom w:val="nil"/>
              <w:right w:val="nil"/>
              <w:tl2br w:val="nil"/>
              <w:tr2bl w:val="nil"/>
            </w:tcBorders>
            <w:textDirection w:val="lrTb"/>
            <w:vAlign w:val="top"/>
          </w:tcPr>
          <w:p>
            <w:pPr>
              <w:numPr>
                <w:ilvl w:val="0"/>
                <w:numId w:val="80"/>
              </w:num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numPr>
                <w:ilvl w:val="0"/>
                <w:numId w:val="80"/>
              </w:num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numPr>
                <w:ilvl w:val="0"/>
                <w:numId w:val="81"/>
              </w:numPr>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numPr>
                <w:ilvl w:val="0"/>
                <w:numId w:val="82"/>
              </w:numPr>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numPr>
                <w:ilvl w:val="0"/>
                <w:numId w:val="84"/>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Č:6</w:t>
            </w:r>
          </w:p>
          <w:p>
            <w:pPr>
              <w:numPr>
                <w:ilvl w:val="0"/>
                <w:numId w:val="84"/>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pStyle w:val="BodyText"/>
              <w:numPr>
                <w:ilvl w:val="0"/>
                <w:numId w:val="85"/>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Zamestnávateľ zabezpečí, aby sa riziko pre bezpečnosť a zdravie pracovníkov na pracovisku vyplývajúce z nebezpečných chemických faktorov vylúčilo alebo znížilo na minimum.</w:t>
            </w:r>
          </w:p>
        </w:tc>
        <w:tc>
          <w:tcPr>
            <w:tcW w:w="0" w:type="auto"/>
            <w:gridSpan w:val="2"/>
            <w:tcBorders>
              <w:top w:val="nil"/>
              <w:left w:val="nil"/>
              <w:bottom w:val="nil"/>
              <w:right w:val="nil"/>
              <w:tl2br w:val="nil"/>
              <w:tr2bl w:val="nil"/>
            </w:tcBorders>
            <w:textDirection w:val="lrTb"/>
            <w:vAlign w:val="top"/>
          </w:tcPr>
          <w:p>
            <w:pPr>
              <w:numPr>
                <w:ilvl w:val="0"/>
                <w:numId w:val="86"/>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numPr>
                <w:ilvl w:val="0"/>
                <w:numId w:val="86"/>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numPr>
                <w:ilvl w:val="0"/>
                <w:numId w:val="87"/>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pPr>
              <w:pStyle w:val="Normlny"/>
              <w:numPr>
                <w:ilvl w:val="0"/>
                <w:numId w:val="87"/>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p>
            <w:pPr>
              <w:pStyle w:val="Normlny"/>
              <w:numPr>
                <w:ilvl w:val="0"/>
                <w:numId w:val="87"/>
              </w:numPr>
              <w:jc w:val="center"/>
              <w:rPr>
                <w:rStyle w:val="DefaultParagraphFont"/>
                <w:rFonts w:ascii="Times New Roman" w:hAnsi="Times New Roman" w:cs="Times New Roman"/>
                <w:szCs w:val="24"/>
              </w:rPr>
            </w:pPr>
          </w:p>
          <w:p>
            <w:pPr>
              <w:pStyle w:val="Normlny"/>
              <w:numPr>
                <w:ilvl w:val="0"/>
                <w:numId w:val="87"/>
              </w:num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BodyText"/>
              <w:numPr>
                <w:ilvl w:val="0"/>
                <w:numId w:val="88"/>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 Zamestnávateľ vylúči riziko nahradením nebezpečných chemických faktorov takými chemickými faktormi alebo postupmi, ktoré v podmienkach použitia nie sú nebezpečné alebo sú menej nebezpečné pre zdravie a bezpečnosť zamestnancov.</w:t>
            </w:r>
          </w:p>
          <w:p>
            <w:pPr>
              <w:pStyle w:val="BodyTextIndent"/>
              <w:numPr>
                <w:ilvl w:val="0"/>
                <w:numId w:val="89"/>
              </w:numPr>
              <w:ind w:left="283"/>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numPr>
                <w:ilvl w:val="0"/>
                <w:numId w:val="9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numPr>
                <w:ilvl w:val="0"/>
                <w:numId w:val="9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numPr>
                <w:ilvl w:val="0"/>
                <w:numId w:val="91"/>
              </w:numPr>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numPr>
                <w:ilvl w:val="0"/>
                <w:numId w:val="92"/>
              </w:numPr>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numPr>
                <w:ilvl w:val="0"/>
                <w:numId w:val="94"/>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Č:6</w:t>
            </w:r>
          </w:p>
          <w:p>
            <w:pPr>
              <w:numPr>
                <w:ilvl w:val="0"/>
                <w:numId w:val="94"/>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p>
            <w:pPr>
              <w:numPr>
                <w:ilvl w:val="0"/>
                <w:numId w:val="94"/>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 až c)</w:t>
            </w:r>
          </w:p>
        </w:tc>
        <w:tc>
          <w:tcPr>
            <w:tcW w:w="0" w:type="auto"/>
            <w:tcBorders>
              <w:top w:val="nil"/>
              <w:left w:val="nil"/>
              <w:bottom w:val="nil"/>
              <w:right w:val="nil"/>
              <w:tl2br w:val="nil"/>
              <w:tr2bl w:val="nil"/>
            </w:tcBorders>
            <w:textDirection w:val="lrTb"/>
            <w:vAlign w:val="top"/>
          </w:tcPr>
          <w:p>
            <w:pPr>
              <w:pStyle w:val="BodyText"/>
              <w:numPr>
                <w:ilvl w:val="0"/>
                <w:numId w:val="95"/>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Pri uplatňovaní odseku 1 sa prednostne uskutoční náhrada, čím sa zamestnávateľ vyhne používaniu nebezpečného chemického faktora tým, že ho nahradí chemickým faktorom alebo postupom, ktoré v podmienkach používania nie sú nebezpečné alebo sú menej nebezpečné pre bezpečnosť a zdravie pracovníkov podľa jednotlivých prípadov.</w:t>
            </w:r>
          </w:p>
          <w:p>
            <w:pPr>
              <w:pStyle w:val="BodyTextIndent"/>
              <w:numPr>
                <w:ilvl w:val="0"/>
                <w:numId w:val="96"/>
              </w:numPr>
              <w:spacing w:after="0"/>
              <w:ind w:left="283"/>
              <w:jc w:val="both"/>
              <w:rPr>
                <w:rStyle w:val="DefaultParagraphFont"/>
                <w:rFonts w:ascii="Times New Roman" w:hAnsi="Times New Roman" w:cs="Times New Roman"/>
                <w:szCs w:val="24"/>
              </w:rPr>
            </w:pPr>
            <w:r>
              <w:rPr>
                <w:rStyle w:val="DefaultParagraphFont"/>
                <w:rFonts w:ascii="Times New Roman" w:hAnsi="Times New Roman" w:cs="Times New Roman"/>
                <w:szCs w:val="24"/>
              </w:rPr>
              <w:t>Ak charakter činnosti neumožňuje vylúčiť riziko nahradením s ohľadom na činnosť a posúdenie rizika uvedeného v článku 4, zamestnávateľ zabezpečí, aby sa riziko znížilo na minimum uplatnením ochranných a preventívnych opatrení v  zhode s posúdením rizika uskutočneným podľa článku 4. Tieto opatrenia zahŕň</w:t>
            </w:r>
            <w:r>
              <w:rPr>
                <w:rStyle w:val="DefaultParagraphFont"/>
                <w:rFonts w:ascii="Times New Roman" w:hAnsi="Times New Roman" w:cs="Times New Roman"/>
                <w:szCs w:val="24"/>
              </w:rPr>
              <w:t>a</w:t>
            </w:r>
            <w:r>
              <w:rPr>
                <w:rStyle w:val="DefaultParagraphFont"/>
                <w:rFonts w:ascii="Times New Roman" w:hAnsi="Times New Roman" w:cs="Times New Roman"/>
                <w:szCs w:val="24"/>
              </w:rPr>
              <w:t xml:space="preserve">jú v nasledujúcom poradí dôležitosti: </w:t>
            </w:r>
          </w:p>
          <w:p>
            <w:pPr>
              <w:pStyle w:val="BodyTextIndent"/>
              <w:numPr>
                <w:ilvl w:val="0"/>
                <w:numId w:val="96"/>
              </w:numPr>
              <w:spacing w:after="0"/>
              <w:ind w:left="283"/>
              <w:jc w:val="both"/>
              <w:rPr>
                <w:rStyle w:val="DefaultParagraphFont"/>
                <w:rFonts w:ascii="Times New Roman" w:hAnsi="Times New Roman" w:cs="Times New Roman"/>
                <w:szCs w:val="24"/>
              </w:rPr>
            </w:pPr>
            <w:r>
              <w:rPr>
                <w:rStyle w:val="DefaultParagraphFont"/>
                <w:rFonts w:ascii="Times New Roman" w:hAnsi="Times New Roman" w:cs="Times New Roman"/>
                <w:szCs w:val="24"/>
              </w:rPr>
              <w:t>a) návrh vhodných pracovných procesov a technických riadiacich systémov a použitie primeraných pracovných prostriedkov a materiálov, aby sa vylúčilo alebo minimalizovalo uvoľňovanie nebezpečných chemických faktorov, ktoré môžu predstavovať riziko pre bezpečnosť a zdravie pracovníkov na pracovisku;</w:t>
            </w:r>
          </w:p>
          <w:p>
            <w:pPr>
              <w:pStyle w:val="BodyText"/>
              <w:numPr>
                <w:ilvl w:val="0"/>
                <w:numId w:val="97"/>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b) uplatňovanie kolektívnych ochranných opatrení pri zdroji rizika,  ako napríklad primeraného   vetrania a primeraných organizačných opatrení;</w:t>
            </w:r>
          </w:p>
          <w:p>
            <w:pPr>
              <w:pStyle w:val="BodyText"/>
              <w:numPr>
                <w:ilvl w:val="0"/>
                <w:numId w:val="98"/>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c) ak expozícii nemožno predísť inými prostriedkami, uplatňovanie individuálnych ochranných opatrení vrátane osobných ochranných prostriedkov. </w:t>
            </w:r>
          </w:p>
          <w:p>
            <w:pPr>
              <w:pStyle w:val="BodyText"/>
              <w:numPr>
                <w:ilvl w:val="0"/>
                <w:numId w:val="98"/>
              </w:numPr>
              <w:spacing w:before="0" w:after="0"/>
              <w:rPr>
                <w:rStyle w:val="DefaultParagraphFont"/>
                <w:rFonts w:ascii="Times New Roman" w:hAnsi="Times New Roman" w:cs="Times New Roman"/>
                <w:szCs w:val="24"/>
                <w:lang w:val="sk-SK"/>
              </w:rPr>
            </w:pPr>
          </w:p>
          <w:p>
            <w:pPr>
              <w:pStyle w:val="BodyText"/>
              <w:numPr>
                <w:ilvl w:val="0"/>
                <w:numId w:val="98"/>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Praktické predpisy pre ochranné a preventívne opatrenia na kontrolu rizika sa vypracujú v súlade s článkom 12 ods. 2.</w:t>
            </w:r>
          </w:p>
        </w:tc>
        <w:tc>
          <w:tcPr>
            <w:tcW w:w="0" w:type="auto"/>
            <w:gridSpan w:val="2"/>
            <w:tcBorders>
              <w:top w:val="nil"/>
              <w:left w:val="nil"/>
              <w:bottom w:val="nil"/>
              <w:right w:val="nil"/>
              <w:tl2br w:val="nil"/>
              <w:tr2bl w:val="nil"/>
            </w:tcBorders>
            <w:textDirection w:val="lrTb"/>
            <w:vAlign w:val="top"/>
          </w:tcPr>
          <w:p>
            <w:pPr>
              <w:numPr>
                <w:ilvl w:val="0"/>
                <w:numId w:val="99"/>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p>
          <w:p>
            <w:pPr>
              <w:numPr>
                <w:ilvl w:val="0"/>
                <w:numId w:val="99"/>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p>
            <w:pPr>
              <w:numPr>
                <w:ilvl w:val="0"/>
                <w:numId w:val="99"/>
              </w:num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numPr>
                <w:ilvl w:val="0"/>
                <w:numId w:val="99"/>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numPr>
                <w:ilvl w:val="0"/>
                <w:numId w:val="10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pPr>
              <w:pStyle w:val="Normlny"/>
              <w:numPr>
                <w:ilvl w:val="0"/>
                <w:numId w:val="10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pPr>
              <w:pStyle w:val="Normlny"/>
              <w:numPr>
                <w:ilvl w:val="0"/>
                <w:numId w:val="10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p>
            <w:pPr>
              <w:pStyle w:val="Normlny"/>
              <w:numPr>
                <w:ilvl w:val="0"/>
                <w:numId w:val="100"/>
              </w:num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BodyText"/>
              <w:numPr>
                <w:ilvl w:val="0"/>
                <w:numId w:val="101"/>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 Zamestnávateľ vylúči riziko nahradením nebezpečných chemických faktorov takými chemickými faktormi alebo postupmi, ktoré v podmienkach použitia nie sú nebezpečné alebo sú menej nebezpečné pre zdravie a bezpečnosť zamestnancov.</w:t>
            </w:r>
          </w:p>
          <w:p>
            <w:pPr>
              <w:pStyle w:val="BodyText"/>
              <w:numPr>
                <w:ilvl w:val="0"/>
                <w:numId w:val="101"/>
              </w:numPr>
              <w:spacing w:before="0" w:after="0"/>
              <w:rPr>
                <w:rStyle w:val="DefaultParagraphFont"/>
                <w:rFonts w:ascii="Times New Roman" w:hAnsi="Times New Roman" w:cs="Times New Roman"/>
                <w:szCs w:val="24"/>
                <w:lang w:val="sk-SK"/>
              </w:rPr>
            </w:pPr>
          </w:p>
          <w:p>
            <w:pPr>
              <w:pStyle w:val="BodyText"/>
              <w:numPr>
                <w:ilvl w:val="0"/>
                <w:numId w:val="101"/>
              </w:numPr>
              <w:spacing w:before="0" w:after="0"/>
              <w:rPr>
                <w:rStyle w:val="DefaultParagraphFont"/>
                <w:rFonts w:ascii="Times New Roman" w:hAnsi="Times New Roman" w:cs="Times New Roman"/>
                <w:szCs w:val="24"/>
                <w:lang w:val="sk-SK"/>
              </w:rPr>
            </w:pPr>
          </w:p>
          <w:p>
            <w:pPr>
              <w:pStyle w:val="BodyText"/>
              <w:numPr>
                <w:ilvl w:val="0"/>
                <w:numId w:val="101"/>
              </w:numPr>
              <w:spacing w:before="0" w:after="0"/>
              <w:rPr>
                <w:rStyle w:val="DefaultParagraphFont"/>
                <w:rFonts w:ascii="Times New Roman" w:hAnsi="Times New Roman" w:cs="Times New Roman"/>
                <w:szCs w:val="24"/>
                <w:lang w:val="sk-SK"/>
              </w:rPr>
            </w:pPr>
          </w:p>
          <w:p>
            <w:pPr>
              <w:pStyle w:val="BodyText"/>
              <w:numPr>
                <w:ilvl w:val="0"/>
                <w:numId w:val="101"/>
              </w:numPr>
              <w:spacing w:before="0" w:after="0"/>
              <w:rPr>
                <w:rStyle w:val="DefaultParagraphFont"/>
                <w:rFonts w:ascii="Times New Roman" w:hAnsi="Times New Roman" w:cs="Times New Roman"/>
                <w:szCs w:val="24"/>
                <w:lang w:val="sk-SK"/>
              </w:rPr>
            </w:pPr>
          </w:p>
          <w:p>
            <w:pPr>
              <w:pStyle w:val="BodyText"/>
              <w:numPr>
                <w:ilvl w:val="0"/>
                <w:numId w:val="101"/>
              </w:numPr>
              <w:spacing w:before="0" w:after="0"/>
              <w:rPr>
                <w:rStyle w:val="DefaultParagraphFont"/>
                <w:rFonts w:ascii="Times New Roman" w:hAnsi="Times New Roman" w:cs="Times New Roman"/>
                <w:szCs w:val="24"/>
                <w:lang w:val="sk-SK"/>
              </w:rPr>
            </w:pPr>
          </w:p>
          <w:p>
            <w:pPr>
              <w:pStyle w:val="BodyText"/>
              <w:numPr>
                <w:ilvl w:val="0"/>
                <w:numId w:val="101"/>
              </w:numPr>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(2) Ak povaha činnosti neumožňuje vylúčiť riziko podľa odseku 1, zamestnávateľ na základe posúdenia rizika podľa § 4 ods.1 a 2 zabezpečí zníženie rizika na najnižšiu možnú mieru vykonaním ďalších ochranných a preventívnych opatrení. Tieto opatrenia zahŕňajú v poradí dôležitosti </w:t>
            </w:r>
          </w:p>
          <w:p>
            <w:pPr>
              <w:pStyle w:val="Uroven2"/>
              <w:numPr>
                <w:ilvl w:val="0"/>
                <w:numId w:val="24"/>
              </w:numPr>
              <w:tabs>
                <w:tab w:val="left" w:pos="643"/>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vhodné pracovné postupy, technické systémy riadenia a používanie primeraných pracovných prostriedkov a materiálov na vylúčenie alebo minimalizovanie uvoľňovania nebezpečných chemických faktorov do pracovného prostredia,</w:t>
            </w:r>
          </w:p>
          <w:p>
            <w:pPr>
              <w:pStyle w:val="Uroven2"/>
              <w:numPr>
                <w:ilvl w:val="0"/>
                <w:numId w:val="24"/>
              </w:numPr>
              <w:tabs>
                <w:tab w:val="left" w:pos="316"/>
                <w:tab w:val="left" w:pos="643"/>
                <w:tab w:val="left" w:pos="720"/>
              </w:tabs>
              <w:spacing w:before="0" w:after="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uplatňovanie kolektívnych ochranných opatrení pri zdroji rizika ako je odsávanie a uplatňovanie primeraných organizačných opatrení,</w:t>
            </w:r>
          </w:p>
          <w:p>
            <w:pPr>
              <w:pStyle w:val="Uroven2"/>
              <w:numPr>
                <w:ilvl w:val="0"/>
                <w:numId w:val="24"/>
              </w:numPr>
              <w:tabs>
                <w:tab w:val="left" w:pos="316"/>
                <w:tab w:val="left" w:pos="643"/>
                <w:tab w:val="left" w:pos="720"/>
              </w:tabs>
              <w:spacing w:before="0" w:after="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uplatňovanie individuálnych ochranných opatrení, vrátane účinných osobných ochranných pracovných prostriedkov, ak expozícii nemožno predísť iným spôsobom.</w:t>
            </w:r>
          </w:p>
          <w:p>
            <w:pPr>
              <w:pStyle w:val="Uroven2"/>
              <w:spacing w:before="0" w:after="0"/>
              <w:rPr>
                <w:rStyle w:val="DefaultParagraphFont"/>
                <w:rFonts w:ascii="Times New Roman" w:hAnsi="Times New Roman" w:cs="Times New Roman"/>
                <w:szCs w:val="24"/>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Č:6</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Opatrenia uvedené v odseku </w:t>
            </w:r>
            <w:r>
              <w:rPr>
                <w:rStyle w:val="DefaultParagraphFont"/>
                <w:rFonts w:ascii="Times New Roman" w:hAnsi="Times New Roman" w:cs="Times New Roman"/>
                <w:szCs w:val="24"/>
                <w:lang w:val="sk-SK"/>
              </w:rPr>
              <w:t>2 tohto článku sa doplnia zdravotným dohľadom v súlade s článkom 10, ak je to vhodné vzhľadom na charakter rizika.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3</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 Súčasťou opatrení podľa odseku 2 je zdravotný dohľad, ktorý zamestnávateľ zabezpečí pre zamestnancov podľa § 12 s prihliadnutím na povahu rizika.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Č:6</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Ak zamestnávateľ jasne nepreukáže inými spôsobmi hodnotenia, že v súlade s odsekom 2 bola dosiahnutá primeraná prevencia a ochrana, pravidelne a vždy keď sa vyskytne akákoľvek zmena v podmienkach, ktoré môžu ovplyvniť expozíciu pracovníkov chemickým faktorom, zamestnávateľ bude vykonávať merania chemických faktorov, ktoré môžu predstavovať riziko pre zdravie pracovníkov na pracovisku, pričom tieto merania sú potrebné najmä vo vzťah</w:t>
            </w:r>
            <w:r>
              <w:rPr>
                <w:rStyle w:val="DefaultParagraphFont"/>
                <w:rFonts w:ascii="Times New Roman" w:hAnsi="Times New Roman" w:cs="Times New Roman"/>
                <w:szCs w:val="24"/>
                <w:lang w:val="sk-SK"/>
              </w:rPr>
              <w:t>u k limitným hodnotám expozície pri práci.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4</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Ak zamestnávateľ nepreukáže inými spôsobmi posúdenia rizika splnenie primeraných ochranných a preventívnych opatrení podľa odseku 2, je povinný vykonávať pravidelne a pri každej zmene pracovných podmienok, ktorá môže ovplyvniť expozíciu zamestnancov, meranie chemických faktorov, ak môžu predstavovať riziko pre zamestnancov, najmä vo vzťahu k najvyššie prípustným expozičným limitom (§ 3 ods. 1)..</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b/>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Č:6</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O:5</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Pri plnení povinností stanovených v článku 4 alebo z  neho vyplývajúcich  zamestnávateľ vezme do úvahy výsledky postupov uvedených v odseku 4 tohto článku.</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V každom prípade, ak bola prekročená právne ustanovená  limitná hodnota expozície pri práci na území členského štátu, zamestnávateľ bezodkladne prijme opatrenia zohľadňujúce charakter tohto limitu, aby vykonaním preventívnych a ochranných opatrení napravil stav.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5</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 Výsledky merania chemických faktorov zam</w:t>
            </w:r>
            <w:r>
              <w:rPr>
                <w:rStyle w:val="DefaultParagraphFont"/>
                <w:rFonts w:ascii="Times New Roman" w:hAnsi="Times New Roman" w:cs="Times New Roman"/>
                <w:szCs w:val="24"/>
                <w:lang w:val="sk-SK"/>
              </w:rPr>
              <w:t>estnávateľ zohľadní pri posudzovaní rizika a plnení povinností vyplývajúcich z výsledkov posudzovania rizika ( § 4).  Pri prekročení najvyššieho prípustného expozičného limitu ( § 3 ods. 1) zamestnávateľ bezodkladne vykoná preventívne a ochranné opatrenia</w:t>
            </w:r>
            <w:r>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na zníženie rizika.</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Č:6</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O:6</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základe celkového posúdenia všeobecných zásad prevencie rizika v článkoch 4 a 5 zamestnávateľ prijme technické a/alebo organizačné opatrenia primerané charakteru činnosti, vrátane skladovania, manipulácie a oddelenia navzájom reagujúcich chemických faktorov a zabezpečí ochranu pracovníkov pred nebezpečenstvami vyplývajúcimi z fyzikálno-chemických vlastností chemických faktorov. Urobí najmä tieto opatrenia v nasledujúcom poradí dôležitosti:</w:t>
            </w:r>
          </w:p>
          <w:p>
            <w:pPr>
              <w:pStyle w:val="BodyText"/>
              <w:numPr>
                <w:numId w:val="16"/>
              </w:numPr>
              <w:tabs>
                <w:tab w:val="left" w:pos="360"/>
              </w:tabs>
              <w:spacing w:before="0" w:after="0"/>
              <w:ind w:left="24" w:hanging="24"/>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pracovisku zamedzí výs</w:t>
            </w:r>
            <w:r>
              <w:rPr>
                <w:rStyle w:val="DefaultParagraphFont"/>
                <w:rFonts w:ascii="Times New Roman" w:hAnsi="Times New Roman" w:cs="Times New Roman"/>
                <w:szCs w:val="24"/>
                <w:lang w:val="sk-SK"/>
              </w:rPr>
              <w:t>kytu nebezpečných koncentrácií horľavých látok alebo nebezpečných množstiev chemicky nestálych látok alebo, ak to charakter práce neumožňuje,</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b) zabráni výskytu zdrojov vznietenia, ktoré by mohli spôsobiť požiar alebo výbuch, alebo nepriaznivým podmienkam, ktoré by mohli zapríčiniť, že chemicky nestále látky alebo zmesi látok vyvolajú škodlivé fyzikálne účinky, a</w:t>
            </w:r>
          </w:p>
          <w:p>
            <w:pPr>
              <w:pStyle w:val="BodyText"/>
              <w:numPr>
                <w:numId w:val="16"/>
              </w:numPr>
              <w:tabs>
                <w:tab w:val="left" w:pos="360"/>
              </w:tabs>
              <w:spacing w:before="0" w:after="0"/>
              <w:ind w:left="36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zmierni škodlivé účinky na bezpečnosť a  zdravie pracovníkov v prípade požiaru alebo výbuchu spôsobeného vznietením horľavých látok alebo škodlivé fyzikálne účinky vyvolané chemicky nestálymi látkami alebo zmesami látok.</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Pracovné prostriedky a ochranné systémy, ktoré zabezpečí zamestnávateľ na ochranu pracovníkov, budú v súlade s príslušnými ustanoveniami Spoločenstva o návrhu, výrobe a dodávaní na trh s ohľadom na bezpečnosť a ochranu zdravia. Technické a/alebo organizačné opatrenia, ktoré prijme  zamestnávateľ, budú brať do úvahy a budú v súlade s kat</w:t>
            </w:r>
            <w:r>
              <w:rPr>
                <w:rStyle w:val="DefaultParagraphFont"/>
                <w:rFonts w:ascii="Times New Roman" w:hAnsi="Times New Roman" w:cs="Times New Roman"/>
                <w:szCs w:val="24"/>
                <w:lang w:val="sk-SK"/>
              </w:rPr>
              <w:t>e</w:t>
            </w:r>
            <w:r>
              <w:rPr>
                <w:rStyle w:val="DefaultParagraphFont"/>
                <w:rFonts w:ascii="Times New Roman" w:hAnsi="Times New Roman" w:cs="Times New Roman"/>
                <w:szCs w:val="24"/>
                <w:lang w:val="sk-SK"/>
              </w:rPr>
              <w:t>gorizáciou zariadení podľa skupín v prílohe I smernice 94/9/ES Európskeho parlamentu a Rady z 23. marca 1994 o aproximácii zákonov členských  štátov týkajúcich sa zariadení a ochranných systémov určených na použitie v potenciálne výbušnej atmosfére (19).</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Z</w:t>
            </w:r>
            <w:r>
              <w:rPr>
                <w:rStyle w:val="DefaultParagraphFont"/>
                <w:rFonts w:ascii="Times New Roman" w:hAnsi="Times New Roman" w:cs="Times New Roman"/>
                <w:szCs w:val="24"/>
                <w:lang w:val="sk-SK"/>
              </w:rPr>
              <w:t>amestnávateľ vykoná opatrenia na zabezpečenie dostatočnej kontroly prevádzky, vybavenia a strojného zariadenia, alebo zabezpečenie zariadenia na zabránenie výbuchu alebo systémov na uvoľnenia tlaku pri výbuchu.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6</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rPr>
                <w:rStyle w:val="DefaultParagraphFont"/>
                <w:rFonts w:ascii="Times New Roman" w:hAnsi="Times New Roman" w:cs="Times New Roman"/>
                <w:szCs w:val="24"/>
              </w:rPr>
            </w:pPr>
          </w:p>
          <w:p>
            <w:pPr>
              <w:pStyle w:val="Normlny"/>
              <w:rPr>
                <w:rStyle w:val="DefaultParagraphFont"/>
                <w:rFonts w:ascii="Times New Roman" w:hAnsi="Times New Roman" w:cs="Times New Roman"/>
                <w:szCs w:val="24"/>
              </w:rPr>
            </w:pPr>
          </w:p>
          <w:p>
            <w:pPr>
              <w:pStyle w:val="Normlny"/>
              <w:rPr>
                <w:rStyle w:val="DefaultParagraphFont"/>
                <w:rFonts w:ascii="Times New Roman" w:hAnsi="Times New Roman" w:cs="Times New Roman"/>
                <w:szCs w:val="24"/>
              </w:rPr>
            </w:pPr>
          </w:p>
          <w:p>
            <w:pPr>
              <w:pStyle w:val="Normlny"/>
              <w:rPr>
                <w:rStyle w:val="DefaultParagraphFont"/>
                <w:rFonts w:ascii="Times New Roman" w:hAnsi="Times New Roman" w:cs="Times New Roman"/>
                <w:szCs w:val="24"/>
              </w:rPr>
            </w:pPr>
          </w:p>
          <w:p>
            <w:pPr>
              <w:pStyle w:val="Normlny"/>
              <w:rPr>
                <w:rStyle w:val="DefaultParagraphFont"/>
                <w:rFonts w:ascii="Times New Roman" w:hAnsi="Times New Roman" w:cs="Times New Roman"/>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8</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8</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1</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a)</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b)</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c)</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d)</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e)</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f)</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8</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2</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8</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3</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8</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4</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8</w:t>
            </w:r>
          </w:p>
          <w:p>
            <w:pPr>
              <w:pStyle w:val="Normlny"/>
              <w:jc w:val="center"/>
              <w:rPr>
                <w:rStyle w:val="DefaultParagraphFont"/>
                <w:rFonts w:ascii="Times New Roman" w:hAnsi="Times New Roman" w:cs="Times New Roman"/>
                <w:szCs w:val="24"/>
              </w:rPr>
            </w:pPr>
            <w:r>
              <w:rPr>
                <w:rStyle w:val="WW-Znakapoznmky"/>
                <w:rFonts w:ascii="Times New Roman" w:hAnsi="Times New Roman" w:cs="Times New Roman"/>
                <w:sz w:val="20"/>
                <w:szCs w:val="24"/>
              </w:rPr>
              <w:t>O: 5</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O:7</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 Na základe celkového pos</w:t>
            </w:r>
            <w:r>
              <w:rPr>
                <w:rStyle w:val="DefaultParagraphFont"/>
                <w:rFonts w:ascii="Times New Roman" w:hAnsi="Times New Roman" w:cs="Times New Roman"/>
                <w:szCs w:val="24"/>
                <w:lang w:val="sk-SK"/>
              </w:rPr>
              <w:t>údenia rizík (§ 4) a všeobecných zásad prevencie rizika (§ 5), zamestnávateľ vykoná technické a organizačné opatrenia primerané povahe činnosti, vrátane skladovania, manipulácie a oddelenia navzájom reagujúcich chemických faktorov a zabezpečí ochranu zame</w:t>
            </w:r>
            <w:r>
              <w:rPr>
                <w:rStyle w:val="DefaultParagraphFont"/>
                <w:rFonts w:ascii="Times New Roman" w:hAnsi="Times New Roman" w:cs="Times New Roman"/>
                <w:szCs w:val="24"/>
                <w:lang w:val="sk-SK"/>
              </w:rPr>
              <w:t>s</w:t>
            </w:r>
            <w:r>
              <w:rPr>
                <w:rStyle w:val="DefaultParagraphFont"/>
                <w:rFonts w:ascii="Times New Roman" w:hAnsi="Times New Roman" w:cs="Times New Roman"/>
                <w:szCs w:val="24"/>
                <w:lang w:val="sk-SK"/>
              </w:rPr>
              <w:t>tnancov pred nebezpečenstvami vyplývajúcimi z ich fyzikálno-chemických vlastností, najmä</w:t>
            </w:r>
          </w:p>
          <w:p>
            <w:pPr>
              <w:pStyle w:val="Uroven2"/>
              <w:numPr>
                <w:ilvl w:val="1"/>
                <w:numId w:val="26"/>
              </w:numPr>
              <w:tabs>
                <w:tab w:val="left" w:pos="316"/>
                <w:tab w:val="left" w:pos="1440"/>
              </w:tabs>
              <w:spacing w:before="0" w:after="0"/>
              <w:ind w:left="316" w:hanging="316"/>
              <w:rPr>
                <w:rStyle w:val="DefaultParagraphFont"/>
                <w:rFonts w:ascii="Times New Roman" w:hAnsi="Times New Roman" w:cs="Times New Roman"/>
                <w:szCs w:val="24"/>
              </w:rPr>
            </w:pPr>
            <w:r>
              <w:rPr>
                <w:rStyle w:val="DefaultParagraphFont"/>
                <w:rFonts w:ascii="Times New Roman" w:hAnsi="Times New Roman" w:cs="Times New Roman"/>
                <w:szCs w:val="24"/>
              </w:rPr>
              <w:t>zabráni vzniku nebezpečných koncentrácií horľavých faktorov alebo nebezpečného množstva chemicky nestálych faktorov na pracovisku,</w:t>
            </w:r>
          </w:p>
          <w:p>
            <w:pPr>
              <w:pStyle w:val="Uroven2"/>
              <w:spacing w:before="0" w:after="0"/>
              <w:rPr>
                <w:rStyle w:val="DefaultParagraphFont"/>
                <w:rFonts w:ascii="Times New Roman" w:hAnsi="Times New Roman" w:cs="Times New Roman"/>
                <w:szCs w:val="24"/>
              </w:rPr>
            </w:pPr>
          </w:p>
          <w:p>
            <w:pPr>
              <w:pStyle w:val="Uroven2"/>
              <w:numPr>
                <w:ilvl w:val="1"/>
                <w:numId w:val="26"/>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vylúči na pracovisku zdroje vznietenia, ktoré by mohli spôsobiť požiar alebo výbuch, alebo nepriaznivé podmienky, ktoré by mohli zapríčiniť, že chemicky nestále faktory alebo ich zmesi vyvolajú škodlivé fyzikálne účinky a</w:t>
            </w:r>
          </w:p>
          <w:p>
            <w:pPr>
              <w:pStyle w:val="abc"/>
              <w:numPr>
                <w:ilvl w:val="1"/>
                <w:numId w:val="26"/>
              </w:numPr>
              <w:tabs>
                <w:tab w:val="left" w:pos="316"/>
                <w:tab w:val="clear" w:pos="360"/>
                <w:tab w:val="clear" w:pos="680"/>
                <w:tab w:val="left" w:pos="1440"/>
              </w:tabs>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zmierni škodlivé účinky na bezpečnosť a  zdravie zamestnancov v prípade požiaru alebo výbuchu spôsobeného vznietením horľavých látok alebo škodlivé fyzikálne účinky vyvolané chemicky nestálymi látkami alebo zmesami látok.</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Špecifické ochranné a preventívne opatrenia pri skladovaní </w:t>
              <w:br/>
              <w:t>veľmi jedovatých látok a prípravkov a jed</w:t>
            </w:r>
            <w:r>
              <w:rPr>
                <w:rStyle w:val="DefaultParagraphFont"/>
                <w:rFonts w:ascii="Times New Roman" w:hAnsi="Times New Roman" w:cs="Times New Roman"/>
                <w:szCs w:val="24"/>
                <w:lang w:val="sk-SK"/>
              </w:rPr>
              <w:t>ovatých látok a prípravkov</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 Miestnosť, v ktorej sa skladujú jedovaté látky a prípravky</w:t>
            </w:r>
            <w:r>
              <w:rPr>
                <w:rStyle w:val="DefaultParagraphFont"/>
                <w:rFonts w:ascii="Times New Roman" w:hAnsi="Times New Roman" w:cs="Times New Roman"/>
                <w:szCs w:val="24"/>
                <w:vertAlign w:val="superscript"/>
                <w:lang w:val="sk-SK"/>
              </w:rPr>
              <w:t>13</w:t>
            </w:r>
            <w:r>
              <w:rPr>
                <w:rStyle w:val="DefaultParagraphFont"/>
                <w:rFonts w:ascii="Times New Roman" w:hAnsi="Times New Roman" w:cs="Times New Roman"/>
                <w:szCs w:val="24"/>
                <w:lang w:val="sk-SK"/>
              </w:rPr>
              <w:t>) alebo veľmi jedovaté látky a prípravky</w:t>
            </w:r>
            <w:r>
              <w:rPr>
                <w:rStyle w:val="DefaultParagraphFont"/>
                <w:rFonts w:ascii="Times New Roman" w:hAnsi="Times New Roman" w:cs="Times New Roman"/>
                <w:szCs w:val="24"/>
                <w:vertAlign w:val="superscript"/>
                <w:lang w:val="sk-SK"/>
              </w:rPr>
              <w:t>14</w:t>
            </w:r>
            <w:r>
              <w:rPr>
                <w:rStyle w:val="DefaultParagraphFont"/>
                <w:rFonts w:ascii="Times New Roman" w:hAnsi="Times New Roman" w:cs="Times New Roman"/>
                <w:szCs w:val="24"/>
                <w:lang w:val="sk-SK"/>
              </w:rPr>
              <w:t>) musí byť uzamknutá, zabezpečená proti vlámaniu a nesmú sa v nej skladovať</w:t>
            </w:r>
          </w:p>
          <w:p>
            <w:pPr>
              <w:pStyle w:val="Uroven2"/>
              <w:numPr>
                <w:ilvl w:val="1"/>
                <w:numId w:val="35"/>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humánne lieky, veterinárne lieky a liečivá,</w:t>
            </w:r>
            <w:r>
              <w:rPr>
                <w:rStyle w:val="DefaultParagraphFont"/>
                <w:rFonts w:ascii="Times New Roman" w:hAnsi="Times New Roman" w:cs="Times New Roman"/>
                <w:szCs w:val="24"/>
                <w:vertAlign w:val="superscript"/>
              </w:rPr>
              <w:t>15</w:t>
            </w:r>
            <w:r>
              <w:rPr>
                <w:rStyle w:val="DefaultParagraphFont"/>
                <w:rFonts w:ascii="Times New Roman" w:hAnsi="Times New Roman" w:cs="Times New Roman"/>
                <w:szCs w:val="24"/>
              </w:rPr>
              <w:t>)</w:t>
            </w:r>
          </w:p>
          <w:p>
            <w:pPr>
              <w:pStyle w:val="Uroven2"/>
              <w:numPr>
                <w:ilvl w:val="1"/>
                <w:numId w:val="35"/>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omamné látky, psychotropné látky a prípravky,</w:t>
            </w:r>
            <w:r>
              <w:rPr>
                <w:rStyle w:val="DefaultParagraphFont"/>
                <w:rFonts w:ascii="Times New Roman" w:hAnsi="Times New Roman" w:cs="Times New Roman"/>
                <w:szCs w:val="24"/>
                <w:vertAlign w:val="superscript"/>
              </w:rPr>
              <w:t>16</w:t>
            </w:r>
            <w:r>
              <w:rPr>
                <w:rStyle w:val="DefaultParagraphFont"/>
                <w:rFonts w:ascii="Times New Roman" w:hAnsi="Times New Roman" w:cs="Times New Roman"/>
                <w:szCs w:val="24"/>
              </w:rPr>
              <w:t>)</w:t>
            </w:r>
          </w:p>
          <w:p>
            <w:pPr>
              <w:pStyle w:val="Uroven2"/>
              <w:numPr>
                <w:ilvl w:val="1"/>
                <w:numId w:val="35"/>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potraviny,</w:t>
            </w:r>
            <w:r>
              <w:rPr>
                <w:rStyle w:val="DefaultParagraphFont"/>
                <w:rFonts w:ascii="Times New Roman" w:hAnsi="Times New Roman" w:cs="Times New Roman"/>
                <w:szCs w:val="24"/>
                <w:vertAlign w:val="superscript"/>
              </w:rPr>
              <w:t>17</w:t>
            </w:r>
            <w:r>
              <w:rPr>
                <w:rStyle w:val="DefaultParagraphFont"/>
                <w:rFonts w:ascii="Times New Roman" w:hAnsi="Times New Roman" w:cs="Times New Roman"/>
                <w:szCs w:val="24"/>
              </w:rPr>
              <w:t>)</w:t>
            </w:r>
          </w:p>
          <w:p>
            <w:pPr>
              <w:pStyle w:val="Uroven2"/>
              <w:numPr>
                <w:ilvl w:val="1"/>
                <w:numId w:val="35"/>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krmivá,</w:t>
            </w:r>
            <w:r>
              <w:rPr>
                <w:rStyle w:val="DefaultParagraphFont"/>
                <w:rFonts w:ascii="Times New Roman" w:hAnsi="Times New Roman" w:cs="Times New Roman"/>
                <w:szCs w:val="24"/>
                <w:vertAlign w:val="superscript"/>
              </w:rPr>
              <w:t>18</w:t>
            </w:r>
            <w:r>
              <w:rPr>
                <w:rStyle w:val="DefaultParagraphFont"/>
                <w:rFonts w:ascii="Times New Roman" w:hAnsi="Times New Roman" w:cs="Times New Roman"/>
                <w:szCs w:val="24"/>
              </w:rPr>
              <w:t>)</w:t>
            </w:r>
          </w:p>
          <w:p>
            <w:pPr>
              <w:pStyle w:val="Uroven2"/>
              <w:numPr>
                <w:ilvl w:val="1"/>
                <w:numId w:val="35"/>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výbušné látky a prípravky</w:t>
            </w:r>
            <w:r>
              <w:rPr>
                <w:rStyle w:val="DefaultParagraphFont"/>
                <w:rFonts w:ascii="Times New Roman" w:hAnsi="Times New Roman" w:cs="Times New Roman"/>
                <w:szCs w:val="24"/>
                <w:vertAlign w:val="superscript"/>
              </w:rPr>
              <w:t>19</w:t>
            </w:r>
            <w:r>
              <w:rPr>
                <w:rStyle w:val="DefaultParagraphFont"/>
                <w:rFonts w:ascii="Times New Roman" w:hAnsi="Times New Roman" w:cs="Times New Roman"/>
                <w:szCs w:val="24"/>
              </w:rPr>
              <w:t>) a</w:t>
            </w:r>
          </w:p>
          <w:p>
            <w:pPr>
              <w:pStyle w:val="Uroven2"/>
              <w:numPr>
                <w:ilvl w:val="1"/>
                <w:numId w:val="35"/>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horľavé látky.</w:t>
            </w:r>
            <w:r>
              <w:rPr>
                <w:rStyle w:val="DefaultParagraphFont"/>
                <w:rFonts w:ascii="Times New Roman" w:hAnsi="Times New Roman" w:cs="Times New Roman"/>
                <w:szCs w:val="24"/>
                <w:vertAlign w:val="superscript"/>
              </w:rPr>
              <w:t>20</w:t>
            </w:r>
            <w:r>
              <w:rPr>
                <w:rStyle w:val="DefaultParagraphFont"/>
                <w:rFonts w:ascii="Times New Roman" w:hAnsi="Times New Roman" w:cs="Times New Roman"/>
                <w:szCs w:val="24"/>
              </w:rPr>
              <w:t>)</w:t>
            </w:r>
          </w:p>
          <w:p>
            <w:pPr>
              <w:pStyle w:val="Uroven2"/>
              <w:spacing w:before="0" w:after="0"/>
              <w:rPr>
                <w:rStyle w:val="DefaultParagraphFont"/>
                <w:rFonts w:ascii="Times New Roman" w:hAnsi="Times New Roman" w:cs="Times New Roman"/>
                <w:szCs w:val="24"/>
              </w:rPr>
            </w:pPr>
            <w:r>
              <w:rPr>
                <w:rStyle w:val="DefaultParagraphFont"/>
                <w:rFonts w:ascii="Times New Roman" w:hAnsi="Times New Roman" w:cs="Times New Roman"/>
                <w:szCs w:val="24"/>
              </w:rPr>
              <w:t>–––––––––––––––-</w:t>
            </w:r>
          </w:p>
          <w:p>
            <w:pPr>
              <w:pStyle w:val="FootnoteText"/>
              <w:ind w:left="32" w:hanging="32"/>
              <w:rPr>
                <w:rStyle w:val="DefaultParagraphFont"/>
                <w:rFonts w:ascii="Times New Roman" w:hAnsi="Times New Roman" w:cs="Times New Roman"/>
                <w:szCs w:val="24"/>
              </w:rPr>
            </w:pPr>
            <w:r>
              <w:rPr>
                <w:rStyle w:val="FootnoteReference"/>
                <w:rFonts w:ascii="Times New Roman" w:hAnsi="Times New Roman" w:cs="Times New Roman"/>
                <w:szCs w:val="24"/>
              </w:rPr>
              <w:t>13</w:t>
            </w:r>
            <w:r>
              <w:rPr>
                <w:rStyle w:val="DefaultParagraphFont"/>
                <w:rFonts w:ascii="Times New Roman" w:hAnsi="Times New Roman" w:cs="Times New Roman"/>
                <w:szCs w:val="24"/>
              </w:rPr>
              <w:t xml:space="preserve">)  § 3 ods.1 písm. g) zákona č.163/2001 Z. z v znení neskorších predpisov. </w:t>
            </w:r>
          </w:p>
          <w:p>
            <w:pPr>
              <w:pStyle w:val="FootnoteText"/>
              <w:rPr>
                <w:rStyle w:val="DefaultParagraphFont"/>
                <w:rFonts w:ascii="Times New Roman" w:hAnsi="Times New Roman" w:cs="Times New Roman"/>
                <w:szCs w:val="24"/>
              </w:rPr>
            </w:pPr>
            <w:r>
              <w:rPr>
                <w:rStyle w:val="FootnoteReference"/>
                <w:rFonts w:ascii="Times New Roman" w:hAnsi="Times New Roman" w:cs="Times New Roman"/>
                <w:szCs w:val="24"/>
              </w:rPr>
              <w:t>14</w:t>
            </w:r>
            <w:r>
              <w:rPr>
                <w:rStyle w:val="DefaultParagraphFont"/>
                <w:rFonts w:ascii="Times New Roman" w:hAnsi="Times New Roman" w:cs="Times New Roman"/>
                <w:szCs w:val="24"/>
              </w:rPr>
              <w:t>)  § 3 ods.1 písm. f) zákona č.163/2</w:t>
            </w:r>
            <w:r>
              <w:rPr>
                <w:rStyle w:val="DefaultParagraphFont"/>
                <w:rFonts w:ascii="Times New Roman" w:hAnsi="Times New Roman" w:cs="Times New Roman"/>
                <w:szCs w:val="24"/>
              </w:rPr>
              <w:t xml:space="preserve">001 Z. z. v znení neskorších predpisov. </w:t>
            </w:r>
          </w:p>
          <w:p>
            <w:pPr>
              <w:pStyle w:val="FootnoteText"/>
              <w:rPr>
                <w:rStyle w:val="DefaultParagraphFont"/>
                <w:rFonts w:ascii="Times New Roman" w:hAnsi="Times New Roman" w:cs="Times New Roman"/>
                <w:szCs w:val="24"/>
              </w:rPr>
            </w:pPr>
            <w:r>
              <w:rPr>
                <w:rStyle w:val="FootnoteReference"/>
                <w:rFonts w:ascii="Times New Roman" w:hAnsi="Times New Roman" w:cs="Times New Roman"/>
                <w:szCs w:val="24"/>
              </w:rPr>
              <w:t>15</w:t>
            </w:r>
            <w:r>
              <w:rPr>
                <w:rStyle w:val="DefaultParagraphFont"/>
                <w:rFonts w:ascii="Times New Roman" w:hAnsi="Times New Roman" w:cs="Times New Roman"/>
                <w:szCs w:val="24"/>
              </w:rPr>
              <w:t xml:space="preserve">)  § 2 ods. 6 až 8 zákona č. 140/1998 Z. z. o liekoch a zdravotníckych pomôckach, o zmene zákona č. 455/1991 Zb. o živnostenskom podnikaní (živnostenský zákon) v znení neskorších predpisov a o zmene a doplnení zákona Národnej rady Slovenskej republiky č. 220/1996 Z. z. o reklame v znení neskorších predpisov.  </w:t>
            </w:r>
          </w:p>
          <w:p>
            <w:pPr>
              <w:pStyle w:val="FootnoteText"/>
              <w:ind w:left="32" w:hanging="32"/>
              <w:rPr>
                <w:rStyle w:val="DefaultParagraphFont"/>
                <w:rFonts w:ascii="Times New Roman" w:hAnsi="Times New Roman" w:cs="Times New Roman"/>
                <w:szCs w:val="24"/>
              </w:rPr>
            </w:pPr>
            <w:r>
              <w:rPr>
                <w:rStyle w:val="FootnoteReference"/>
                <w:rFonts w:ascii="Times New Roman" w:hAnsi="Times New Roman" w:cs="Times New Roman"/>
                <w:szCs w:val="24"/>
              </w:rPr>
              <w:t>16</w:t>
            </w:r>
            <w:r>
              <w:rPr>
                <w:rStyle w:val="DefaultParagraphFont"/>
                <w:rFonts w:ascii="Times New Roman" w:hAnsi="Times New Roman" w:cs="Times New Roman"/>
                <w:szCs w:val="24"/>
              </w:rPr>
              <w:t xml:space="preserve">) § 2 ods.1 až 3 zákona č. 139/1998 Z. z. o omamných látkach, psychotropných látkach a prípravkoch v znení neskorších predpisov. </w:t>
            </w:r>
          </w:p>
          <w:p>
            <w:pPr>
              <w:pStyle w:val="FootnoteText"/>
              <w:ind w:left="32" w:hanging="32"/>
              <w:rPr>
                <w:rStyle w:val="DefaultParagraphFont"/>
                <w:rFonts w:ascii="Times New Roman" w:hAnsi="Times New Roman" w:cs="Times New Roman"/>
                <w:szCs w:val="24"/>
              </w:rPr>
            </w:pPr>
            <w:r>
              <w:rPr>
                <w:rStyle w:val="FootnoteReference"/>
                <w:rFonts w:ascii="Times New Roman" w:hAnsi="Times New Roman" w:cs="Times New Roman"/>
                <w:szCs w:val="24"/>
              </w:rPr>
              <w:t>17</w:t>
            </w:r>
            <w:r>
              <w:rPr>
                <w:rStyle w:val="DefaultParagraphFont"/>
                <w:rFonts w:ascii="Times New Roman" w:hAnsi="Times New Roman" w:cs="Times New Roman"/>
                <w:szCs w:val="24"/>
              </w:rPr>
              <w:t>)  § 2 ods. 1 zákona Ná</w:t>
            </w:r>
            <w:r>
              <w:rPr>
                <w:rStyle w:val="DefaultParagraphFont"/>
                <w:rFonts w:ascii="Times New Roman" w:hAnsi="Times New Roman" w:cs="Times New Roman"/>
                <w:szCs w:val="24"/>
              </w:rPr>
              <w:t xml:space="preserve">rodnej rady Slovenskej republiky č.152/1995 Z. z. o potravinách v znení neskorších predpisov. </w:t>
            </w:r>
          </w:p>
          <w:p>
            <w:pPr>
              <w:pStyle w:val="FootnoteText"/>
              <w:ind w:left="32" w:hanging="32"/>
              <w:rPr>
                <w:rStyle w:val="DefaultParagraphFont"/>
                <w:rFonts w:ascii="Times New Roman" w:hAnsi="Times New Roman" w:cs="Times New Roman"/>
                <w:szCs w:val="24"/>
              </w:rPr>
            </w:pPr>
            <w:r>
              <w:rPr>
                <w:rStyle w:val="FootnoteReference"/>
                <w:rFonts w:ascii="Times New Roman" w:hAnsi="Times New Roman" w:cs="Times New Roman"/>
                <w:szCs w:val="24"/>
              </w:rPr>
              <w:t>18</w:t>
            </w:r>
            <w:r>
              <w:rPr>
                <w:rStyle w:val="DefaultParagraphFont"/>
                <w:rFonts w:ascii="Times New Roman" w:hAnsi="Times New Roman" w:cs="Times New Roman"/>
                <w:szCs w:val="24"/>
              </w:rPr>
              <w:t xml:space="preserve">) Zákon č. 271/2005 Z. z. o výrobe, uvádzaní na trh a používaní krmív (krmivársky zákon). </w:t>
            </w:r>
          </w:p>
          <w:p>
            <w:pPr>
              <w:pStyle w:val="FootnoteText"/>
              <w:ind w:left="32" w:hanging="32"/>
              <w:rPr>
                <w:rStyle w:val="DefaultParagraphFont"/>
                <w:rFonts w:ascii="Times New Roman" w:hAnsi="Times New Roman" w:cs="Times New Roman"/>
                <w:szCs w:val="24"/>
              </w:rPr>
            </w:pPr>
            <w:r>
              <w:rPr>
                <w:rStyle w:val="FootnoteReference"/>
                <w:rFonts w:ascii="Times New Roman" w:hAnsi="Times New Roman" w:cs="Times New Roman"/>
                <w:szCs w:val="24"/>
              </w:rPr>
              <w:t>19</w:t>
            </w:r>
            <w:r>
              <w:rPr>
                <w:rStyle w:val="DefaultParagraphFont"/>
                <w:rFonts w:ascii="Times New Roman" w:hAnsi="Times New Roman" w:cs="Times New Roman"/>
                <w:szCs w:val="24"/>
              </w:rPr>
              <w:t xml:space="preserve">) § 3 ods.1 písm. a) zákona č. 163/2001 Z. z. § 21 ods. 1 zákona Slovenskej národnej rady č. 51/1988 Zb. o banskej činnosti, výbušninách a o štátnej banskej správe v znení neskorších predpisov. </w:t>
            </w:r>
          </w:p>
          <w:p>
            <w:pPr>
              <w:pStyle w:val="FootnoteText"/>
              <w:rPr>
                <w:rStyle w:val="DefaultParagraphFont"/>
                <w:rFonts w:ascii="Times New Roman" w:hAnsi="Times New Roman" w:cs="Times New Roman"/>
                <w:szCs w:val="24"/>
              </w:rPr>
            </w:pPr>
            <w:r>
              <w:rPr>
                <w:rStyle w:val="FootnoteReference"/>
                <w:rFonts w:ascii="Times New Roman" w:hAnsi="Times New Roman" w:cs="Times New Roman"/>
                <w:szCs w:val="24"/>
              </w:rPr>
              <w:t>20</w:t>
            </w:r>
            <w:r>
              <w:rPr>
                <w:rStyle w:val="DefaultParagraphFont"/>
                <w:rFonts w:ascii="Times New Roman" w:hAnsi="Times New Roman" w:cs="Times New Roman"/>
                <w:szCs w:val="24"/>
              </w:rPr>
              <w:t xml:space="preserve">) § 3 ods.1 písm. c) až e) zákona č.163/2001 Z. z. v znení neskorších predpisov. </w:t>
            </w:r>
          </w:p>
          <w:p>
            <w:pPr>
              <w:pStyle w:val="Uroven2"/>
              <w:spacing w:before="0" w:after="0"/>
              <w:rPr>
                <w:rStyle w:val="DefaultParagraphFont"/>
                <w:rFonts w:ascii="Times New Roman" w:hAnsi="Times New Roman" w:cs="Times New Roman"/>
                <w:szCs w:val="24"/>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Veľmi jedovaté látky a  prípravky možno skladovať v jednej miestnosti s inými látkami a prípravkami, ktoré nie sú jedovaté, s výnimkou látok uvedených v odseku 1 písm. a) až f), len za predpokladu, že sú uložené v uzamknutej schránke určenej výhradne na skladovanie veľmi jedovatých látok a pr</w:t>
            </w:r>
            <w:r>
              <w:rPr>
                <w:rStyle w:val="DefaultParagraphFont"/>
                <w:rFonts w:ascii="Times New Roman" w:hAnsi="Times New Roman" w:cs="Times New Roman"/>
                <w:szCs w:val="24"/>
                <w:lang w:val="sk-SK"/>
              </w:rPr>
              <w:t>í</w:t>
            </w:r>
            <w:r>
              <w:rPr>
                <w:rStyle w:val="DefaultParagraphFont"/>
                <w:rFonts w:ascii="Times New Roman" w:hAnsi="Times New Roman" w:cs="Times New Roman"/>
                <w:szCs w:val="24"/>
                <w:lang w:val="sk-SK"/>
              </w:rPr>
              <w:t>pravkov. S jedovatými látkami a prípravkami sa môžu veľmi jedovaté látky a prípravky skladovať v jednej miestnosti, prípadne v jednej schránke, ak sú uložené oddelene a je vylúčené ich vzájomné škodlivé pôsobenie alebo zámena, ak takýto spôsob skladovania</w:t>
            </w:r>
            <w:r>
              <w:rPr>
                <w:rStyle w:val="DefaultParagraphFont"/>
                <w:rFonts w:ascii="Times New Roman" w:hAnsi="Times New Roman" w:cs="Times New Roman"/>
                <w:szCs w:val="24"/>
                <w:lang w:val="sk-SK"/>
              </w:rPr>
              <w:t xml:space="preserve"> schválil príslušný úrad verejného zdravotníctva.</w:t>
            </w:r>
            <w:r>
              <w:rPr>
                <w:rStyle w:val="DefaultParagraphFont"/>
                <w:rFonts w:ascii="Times New Roman" w:hAnsi="Times New Roman" w:cs="Times New Roman"/>
                <w:szCs w:val="24"/>
                <w:vertAlign w:val="superscript"/>
                <w:lang w:val="sk-SK"/>
              </w:rPr>
              <w:t>21</w:t>
            </w: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FootnoteReference"/>
                <w:rFonts w:ascii="Times New Roman" w:hAnsi="Times New Roman" w:cs="Times New Roman"/>
                <w:szCs w:val="24"/>
                <w:lang w:val="sk-SK"/>
              </w:rPr>
              <w:t>21</w:t>
            </w:r>
            <w:r>
              <w:rPr>
                <w:rStyle w:val="DefaultParagraphFont"/>
                <w:rFonts w:ascii="Times New Roman" w:hAnsi="Times New Roman" w:cs="Times New Roman"/>
                <w:szCs w:val="24"/>
                <w:lang w:val="sk-SK"/>
              </w:rPr>
              <w:t xml:space="preserve">) </w:t>
              <w:tab/>
              <w:t>§ 10 ods. 4 písm. f) zákona č. 126/2006 Z. z. o verejnom zdravotníctve a o zmene a doplnení niektorých zákonov.</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 Jedovaté látky a prípravky možno skladovať v jednej miestnosti, prípadne v jednej schránke s látkami alebo prípravkami, ktoré nie sú jedovaté, s výnimkou látok uvedených v odseku 1 písm. a) až f), ak sú uložené oddelene a  je vylúčené ich vzájomné škodlivé pôsobenie alebo zámena.</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Jedovaté látky a prípravky a veľmi jedovaté látky a prípravky umiestnené v cisternách, v obdobných veľkokapacitných kontajneroch alebo v obaloch možno skladovať v uzavretých priestoroch zabezpečených proti nepriaznivým klimatickým podmienkam, proti škodlivému pôsobeniu týchto látok a prípra</w:t>
            </w:r>
            <w:r>
              <w:rPr>
                <w:rStyle w:val="DefaultParagraphFont"/>
                <w:rFonts w:ascii="Times New Roman" w:hAnsi="Times New Roman" w:cs="Times New Roman"/>
                <w:szCs w:val="24"/>
                <w:lang w:val="sk-SK"/>
              </w:rPr>
              <w:t>vkov na okolie a proti vniknutiu nepovolaných osôb do týchto priestorov.</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 Veľmi jedovaté látky a prípravky možno vydávať zo skladu len na žiadanku podpísanú zamestnancom, ktorý riadi práce s veľmi jedovatými látkami a prípravkami. Nepoužité veľmi jedovaté látky a prípravky sa musia po ukončení pracovnej zmeny vrátiť do skladu alebo inak spoľahlivo zabezpečiť. Množstvo veľmi jedovatých látok a prípravkov sa musí evidovať spôsobom, ktorý zaručí spoľahlivú evidenciu záznamov o každom príjme a výdaji týchto</w:t>
            </w:r>
            <w:r>
              <w:rPr>
                <w:rStyle w:val="DefaultParagraphFont"/>
                <w:rFonts w:ascii="Times New Roman" w:hAnsi="Times New Roman" w:cs="Times New Roman"/>
                <w:szCs w:val="24"/>
                <w:lang w:val="sk-SK"/>
              </w:rPr>
              <w:t xml:space="preserve"> látok a prípravkov.</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 Pracovné prostriedky a ochranné systémy na pracovisku s nebezpečenstvom výbuchu musia spĺňať požiadavky ustanovené osobitnými predpismi;</w:t>
            </w:r>
            <w:r>
              <w:rPr>
                <w:rStyle w:val="DefaultParagraphFont"/>
                <w:rFonts w:ascii="Times New Roman" w:hAnsi="Times New Roman" w:cs="Times New Roman"/>
                <w:szCs w:val="24"/>
                <w:vertAlign w:val="superscript"/>
                <w:lang w:val="sk-SK"/>
              </w:rPr>
              <w:t>10</w:t>
            </w:r>
            <w:r>
              <w:rPr>
                <w:rStyle w:val="DefaultParagraphFont"/>
                <w:rFonts w:ascii="Times New Roman" w:hAnsi="Times New Roman" w:cs="Times New Roman"/>
                <w:szCs w:val="24"/>
                <w:lang w:val="sk-SK"/>
              </w:rPr>
              <w:t xml:space="preserve">) zamestnávateľ zabezpečí dostatočnú kontrolu pracoviska, vybavenia a strojného zariadenia, </w:t>
            </w:r>
            <w:r>
              <w:rPr>
                <w:rStyle w:val="DefaultParagraphFont"/>
                <w:rFonts w:ascii="Times New Roman" w:hAnsi="Times New Roman" w:cs="Times New Roman"/>
                <w:szCs w:val="24"/>
                <w:lang w:val="sk-SK"/>
              </w:rPr>
              <w:t>opatrení na zabránenie výbuchu a systému záchranných prác.</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FootnoteReference"/>
                <w:rFonts w:ascii="Times New Roman" w:hAnsi="Times New Roman" w:cs="Times New Roman"/>
                <w:szCs w:val="24"/>
                <w:lang w:val="sk-SK"/>
              </w:rPr>
              <w:t>10</w:t>
            </w:r>
            <w:r>
              <w:rPr>
                <w:rStyle w:val="DefaultParagraphFont"/>
                <w:rFonts w:ascii="Times New Roman" w:hAnsi="Times New Roman" w:cs="Times New Roman"/>
                <w:szCs w:val="24"/>
                <w:lang w:val="sk-SK"/>
              </w:rPr>
              <w:t>) Napríklad nariadenie vlády Slovenskej republiky č. 117/2001 Z. z., ktorým sa ustanovujú podrobnosti o technických požiadavkách a postupoch posudzovania zhody zariadení a ochranných systémov určených na použitie  v prostredí s nebezpečenstvom výbuchu v znení nariadenia vlády Slovenskej republiky č. 296/2002 Z. z., nariadenie vlády Slovenskej republiky č. 493/2002 Z. z. o minimálnych požiadavkách na zaistenie bezpečnosti a ochrany</w:t>
            </w:r>
            <w:r>
              <w:rPr>
                <w:rStyle w:val="DefaultParagraphFont"/>
                <w:rFonts w:ascii="Times New Roman" w:hAnsi="Times New Roman" w:cs="Times New Roman"/>
                <w:szCs w:val="24"/>
                <w:lang w:val="sk-SK"/>
              </w:rPr>
              <w:t xml:space="preserve"> zdravia pri práci vo výbušnom prostredí.</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Č:7</w:t>
            </w:r>
          </w:p>
        </w:tc>
        <w:tc>
          <w:tcPr>
            <w:tcW w:w="0" w:type="auto"/>
            <w:tcBorders>
              <w:top w:val="nil"/>
              <w:left w:val="nil"/>
              <w:bottom w:val="nil"/>
              <w:right w:val="nil"/>
              <w:tl2br w:val="nil"/>
              <w:tr2bl w:val="nil"/>
            </w:tcBorders>
            <w:textDirection w:val="lrTb"/>
            <w:vAlign w:val="top"/>
          </w:tcPr>
          <w:p>
            <w:pPr>
              <w:ind w:left="23" w:hanging="23"/>
              <w:jc w:val="both"/>
              <w:rPr>
                <w:rStyle w:val="WW8Num26z0"/>
                <w:rFonts w:ascii="Times New Roman" w:hAnsi="Times New Roman" w:cs="Times New Roman"/>
                <w:b/>
                <w:szCs w:val="24"/>
              </w:rPr>
            </w:pPr>
            <w:r>
              <w:rPr>
                <w:rStyle w:val="WW8Num26z0"/>
                <w:rFonts w:ascii="Times New Roman" w:hAnsi="Times New Roman" w:cs="Times New Roman"/>
                <w:b/>
                <w:szCs w:val="24"/>
              </w:rPr>
              <w:t>Opatrenia pre prípad nehôd, mimoriadnych udalostí a núdzových stavov.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Opatrenia pri haváriách a mimoriadnych situáciách</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Č:7</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ind w:left="23" w:hanging="23"/>
              <w:jc w:val="both"/>
              <w:rPr>
                <w:rStyle w:val="WW8Num26z0"/>
                <w:rFonts w:ascii="Times New Roman" w:hAnsi="Times New Roman" w:cs="Times New Roman"/>
                <w:szCs w:val="24"/>
              </w:rPr>
            </w:pPr>
            <w:r>
              <w:rPr>
                <w:rStyle w:val="WW8Num26z0"/>
                <w:rFonts w:ascii="Times New Roman" w:hAnsi="Times New Roman" w:cs="Times New Roman"/>
                <w:szCs w:val="24"/>
              </w:rPr>
              <w:t>S rešpektovaním povinností ustanovených v článku 8 smernice 89/391/EHS na ochranu bezpečnosti a zdravia pracovníkov pri nehode, mimoriadnej udalosti alebo núdzovom stave súvisiacimi s výskytom nebezpečných chemických faktorov  na pracovisku, zamestnávateľ vypracuje postupy (akčné plány), ktoré možno v prípade v</w:t>
            </w:r>
            <w:r>
              <w:rPr>
                <w:rStyle w:val="WW8Num26z0"/>
                <w:rFonts w:ascii="Times New Roman" w:hAnsi="Times New Roman" w:cs="Times New Roman"/>
                <w:szCs w:val="24"/>
              </w:rPr>
              <w:t>ý</w:t>
            </w:r>
            <w:r>
              <w:rPr>
                <w:rStyle w:val="WW8Num26z0"/>
                <w:rFonts w:ascii="Times New Roman" w:hAnsi="Times New Roman" w:cs="Times New Roman"/>
                <w:szCs w:val="24"/>
              </w:rPr>
              <w:t>skytu akejkoľvek takejto udalosti použiť, aby sa vykonali primerané opatrenia. Tieto opatrenia budú zahŕňať príslušný bezpečnostný výcvik, ktorý sa má  vykonávať v pravidelných intervaloch, a zabezpečenie primeraného vybavenia prvej pomoci.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w:t>
            </w:r>
            <w:r>
              <w:rPr>
                <w:rStyle w:val="DefaultParagraphFont"/>
                <w:rFonts w:ascii="Times New Roman" w:hAnsi="Times New Roman" w:cs="Times New Roman"/>
                <w:szCs w:val="24"/>
              </w:rPr>
              <w:t>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7</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1</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(1) Zamestnávateľ vypracuje na ochranu zdravia a  bezpečnosti zamestnancov havarijný plán na vykonanie primeraných opatrení pre prípad vzniku havárie a mimoriadnej situácie (ďalej len “udalosť”) bez toho, aby boli dotknuté </w:t>
            </w:r>
            <w:r>
              <w:rPr>
                <w:rStyle w:val="DefaultParagraphFont"/>
                <w:rFonts w:ascii="Times New Roman" w:hAnsi="Times New Roman" w:cs="Times New Roman"/>
                <w:szCs w:val="24"/>
                <w:lang w:val="sk-SK"/>
              </w:rPr>
              <w:t>všeobecné povinnosti ustanovené osobitným predpisom.</w:t>
            </w:r>
            <w:r>
              <w:rPr>
                <w:rStyle w:val="DefaultParagraphFont"/>
                <w:rFonts w:ascii="Times New Roman" w:hAnsi="Times New Roman" w:cs="Times New Roman"/>
                <w:szCs w:val="24"/>
                <w:vertAlign w:val="superscript"/>
                <w:lang w:val="sk-SK"/>
              </w:rPr>
              <w:t>11</w:t>
            </w:r>
            <w:r>
              <w:rPr>
                <w:rStyle w:val="DefaultParagraphFont"/>
                <w:rFonts w:ascii="Times New Roman" w:hAnsi="Times New Roman" w:cs="Times New Roman"/>
                <w:szCs w:val="24"/>
                <w:lang w:val="sk-SK"/>
              </w:rPr>
              <w:t>) Tieto opatrenia zahŕňajú odborný výcvik opakovaný v pravidelných intervaloch a zabezpečenie primeraného vybavenia prvej pomoci.</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FootnoteText"/>
              <w:rPr>
                <w:rStyle w:val="DefaultParagraphFont"/>
                <w:rFonts w:ascii="Times New Roman" w:hAnsi="Times New Roman" w:cs="Times New Roman"/>
                <w:szCs w:val="24"/>
              </w:rPr>
            </w:pPr>
            <w:r>
              <w:rPr>
                <w:rStyle w:val="FootnoteReference"/>
                <w:rFonts w:ascii="Times New Roman" w:hAnsi="Times New Roman" w:cs="Times New Roman"/>
                <w:szCs w:val="24"/>
              </w:rPr>
              <w:t>11</w:t>
            </w:r>
            <w:r>
              <w:rPr>
                <w:rStyle w:val="DefaultParagraphFont"/>
                <w:rFonts w:ascii="Times New Roman" w:hAnsi="Times New Roman" w:cs="Times New Roman"/>
                <w:szCs w:val="24"/>
              </w:rPr>
              <w:t>) § 8c zákona Národnej rady Slovenskej republiky č.  330/</w:t>
            </w:r>
            <w:r>
              <w:rPr>
                <w:rStyle w:val="DefaultParagraphFont"/>
                <w:rFonts w:ascii="Times New Roman" w:hAnsi="Times New Roman" w:cs="Times New Roman"/>
                <w:szCs w:val="24"/>
              </w:rPr>
              <w:t xml:space="preserve">1996 Z. z.  v znení neskorších predpisov. </w:t>
            </w:r>
          </w:p>
          <w:p>
            <w:pPr>
              <w:pStyle w:val="FootnoteText"/>
              <w:ind w:left="32" w:hanging="32"/>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Č:7</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V prípade výskytu udalosti uvedenej v odseku 1, zamestnávateľ bezodkladne vykoná opatrenia na zmiernenie účinkov takejto udalosti a informuje o tom pracovníkov, ktorých sa to týka.</w:t>
            </w:r>
          </w:p>
          <w:p>
            <w:pPr>
              <w:ind w:left="23" w:hanging="23"/>
              <w:jc w:val="both"/>
              <w:rPr>
                <w:rStyle w:val="WW8Num18z2"/>
                <w:rFonts w:ascii="Times New Roman" w:hAnsi="Times New Roman" w:cs="Times New Roman"/>
                <w:szCs w:val="24"/>
              </w:rPr>
            </w:pPr>
            <w:r>
              <w:rPr>
                <w:rStyle w:val="WW8Num18z2"/>
                <w:rFonts w:ascii="Times New Roman" w:hAnsi="Times New Roman" w:cs="Times New Roman"/>
                <w:szCs w:val="24"/>
              </w:rPr>
              <w:t>Za účelom ob</w:t>
            </w:r>
            <w:r>
              <w:rPr>
                <w:rStyle w:val="WW8Num18z2"/>
                <w:rFonts w:ascii="Times New Roman" w:hAnsi="Times New Roman" w:cs="Times New Roman"/>
                <w:szCs w:val="24"/>
              </w:rPr>
              <w:t>novenia normálnej situácie:</w:t>
            </w:r>
          </w:p>
          <w:p>
            <w:pPr>
              <w:ind w:left="23" w:hanging="23"/>
              <w:jc w:val="both"/>
              <w:rPr>
                <w:rStyle w:val="WW8Num18z2"/>
                <w:rFonts w:ascii="Times New Roman" w:hAnsi="Times New Roman" w:cs="Times New Roman"/>
                <w:szCs w:val="24"/>
              </w:rPr>
            </w:pPr>
            <w:r>
              <w:rPr>
                <w:rStyle w:val="WW8Num18z2"/>
                <w:rFonts w:ascii="Times New Roman" w:hAnsi="Times New Roman" w:cs="Times New Roman"/>
                <w:szCs w:val="24"/>
              </w:rPr>
              <w:t xml:space="preserve">  - zamestnávateľ čo najskôr vykoná vhodné opatrenia na nápravu situácie,</w:t>
            </w:r>
          </w:p>
          <w:p>
            <w:pPr>
              <w:ind w:left="23" w:hanging="23"/>
              <w:jc w:val="both"/>
              <w:rPr>
                <w:rStyle w:val="WW8Num26z0"/>
                <w:rFonts w:ascii="Times New Roman" w:hAnsi="Times New Roman" w:cs="Times New Roman"/>
                <w:szCs w:val="24"/>
              </w:rPr>
            </w:pPr>
            <w:r>
              <w:rPr>
                <w:rStyle w:val="WW8Num26z0"/>
                <w:rFonts w:ascii="Times New Roman" w:hAnsi="Times New Roman" w:cs="Times New Roman"/>
                <w:szCs w:val="24"/>
              </w:rPr>
              <w:t>- v zasiahnutej oblasti bude povolené pracovať iba tým pracovníkom, ktorí sú potrební na vykonávanie opráv a inej  nevyhnutnej práce.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w:t>
            </w:r>
            <w:r>
              <w:rPr>
                <w:rStyle w:val="DefaultParagraphFont"/>
                <w:rFonts w:ascii="Times New Roman" w:hAnsi="Times New Roman" w:cs="Times New Roman"/>
                <w:szCs w:val="24"/>
              </w:rPr>
              <w:t>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7</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2</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(2) V prípade vzniku udalosti zamestnávateľ bezodkladne vykoná opatrenia na zmiernenie jej následkov, o týchto opatreniach informuje zamestnancov a bezodkladne vykoná primerané nápravné opatrenia. </w:t>
            </w:r>
          </w:p>
          <w:p>
            <w:pPr>
              <w:pStyle w:val="BodyTextIndent"/>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Č:7</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tcBorders>
              <w:top w:val="nil"/>
              <w:left w:val="nil"/>
              <w:bottom w:val="nil"/>
              <w:right w:val="nil"/>
              <w:tl2br w:val="nil"/>
              <w:tr2bl w:val="nil"/>
            </w:tcBorders>
            <w:textDirection w:val="lrTb"/>
            <w:vAlign w:val="top"/>
          </w:tcPr>
          <w:p>
            <w:pPr>
              <w:jc w:val="both"/>
              <w:rPr>
                <w:rStyle w:val="WW8Num18z2"/>
                <w:rFonts w:ascii="Times New Roman" w:hAnsi="Times New Roman" w:cs="Times New Roman"/>
                <w:szCs w:val="24"/>
              </w:rPr>
            </w:pPr>
            <w:r>
              <w:rPr>
                <w:rStyle w:val="WW8Num18z2"/>
                <w:rFonts w:ascii="Times New Roman" w:hAnsi="Times New Roman" w:cs="Times New Roman"/>
                <w:szCs w:val="24"/>
              </w:rPr>
              <w:t>Pracovníci</w:t>
            </w:r>
            <w:r>
              <w:rPr>
                <w:rStyle w:val="WW8Num18z2"/>
                <w:rFonts w:ascii="Times New Roman" w:hAnsi="Times New Roman" w:cs="Times New Roman"/>
                <w:szCs w:val="24"/>
              </w:rPr>
              <w:t>, ktorým je povolené pracovať v zasiahnutej oblasti, budú vybavení primeraným ochranným odevom, osobnými ochrannými prostriedkami, špeciálnym bezpečnostným výstrojom a zariadením, ktoré musia používať dovtedy, pokiaľ situácia trvá;  táto situácia nie je t</w:t>
            </w:r>
            <w:r>
              <w:rPr>
                <w:rStyle w:val="WW8Num18z2"/>
                <w:rFonts w:ascii="Times New Roman" w:hAnsi="Times New Roman" w:cs="Times New Roman"/>
                <w:szCs w:val="24"/>
              </w:rPr>
              <w:t xml:space="preserve">rvalá. </w:t>
            </w:r>
          </w:p>
          <w:p>
            <w:pPr>
              <w:jc w:val="both"/>
              <w:rPr>
                <w:rStyle w:val="WW8Num26z0"/>
                <w:rFonts w:ascii="Times New Roman" w:hAnsi="Times New Roman" w:cs="Times New Roman"/>
                <w:szCs w:val="24"/>
              </w:rPr>
            </w:pPr>
            <w:r>
              <w:rPr>
                <w:rStyle w:val="WW8Num26z0"/>
                <w:rFonts w:ascii="Times New Roman" w:hAnsi="Times New Roman" w:cs="Times New Roman"/>
                <w:szCs w:val="24"/>
              </w:rPr>
              <w:t>Nechráneným osobám nebude povolené zotrvávať v zasiahnutej oblasti.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7</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3</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 V zasiahnutom priestore môžu dočasne pracovať iba tí zamestnanci, ktorí sú určení na vykonanie opráv a  inej nevyhnutnej práce. Takýmto zamestnancom zamestnávateľ poskytne primerané osobné ochranné pracovné prostriedky</w:t>
            </w:r>
            <w:r>
              <w:rPr>
                <w:rStyle w:val="DefaultParagraphFont"/>
                <w:rFonts w:ascii="Times New Roman" w:hAnsi="Times New Roman" w:cs="Times New Roman"/>
                <w:szCs w:val="24"/>
                <w:vertAlign w:val="superscript"/>
                <w:lang w:val="sk-SK"/>
              </w:rPr>
              <w:t>12</w:t>
            </w:r>
            <w:r>
              <w:rPr>
                <w:rStyle w:val="DefaultParagraphFont"/>
                <w:rFonts w:ascii="Times New Roman" w:hAnsi="Times New Roman" w:cs="Times New Roman"/>
                <w:szCs w:val="24"/>
                <w:lang w:val="sk-SK"/>
              </w:rPr>
              <w:t>) na ochranu dýchacích orgánov a na ochranu celého tela, ktoré musia používať až do odstránenia príčin a následkov udalosti.</w:t>
            </w:r>
          </w:p>
          <w:p>
            <w:pPr>
              <w:pStyle w:val="BodyTextIndent"/>
              <w:spacing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w:t>
            </w:r>
          </w:p>
          <w:p>
            <w:pPr>
              <w:pStyle w:val="FootnoteText"/>
              <w:ind w:hanging="32"/>
              <w:rPr>
                <w:rStyle w:val="DefaultParagraphFont"/>
                <w:rFonts w:ascii="Times New Roman" w:hAnsi="Times New Roman" w:cs="Times New Roman"/>
                <w:szCs w:val="24"/>
              </w:rPr>
            </w:pPr>
            <w:r>
              <w:rPr>
                <w:rStyle w:val="FootnoteReference"/>
                <w:rFonts w:ascii="Times New Roman" w:hAnsi="Times New Roman" w:cs="Times New Roman"/>
                <w:szCs w:val="24"/>
              </w:rPr>
              <w:t>12</w:t>
            </w:r>
            <w:r>
              <w:rPr>
                <w:rStyle w:val="DefaultParagraphFont"/>
                <w:rFonts w:ascii="Times New Roman" w:hAnsi="Times New Roman" w:cs="Times New Roman"/>
                <w:szCs w:val="24"/>
              </w:rPr>
              <w:t>) Nariadenie vlády Slov</w:t>
            </w:r>
            <w:r>
              <w:rPr>
                <w:rStyle w:val="DefaultParagraphFont"/>
                <w:rFonts w:ascii="Times New Roman" w:hAnsi="Times New Roman" w:cs="Times New Roman"/>
                <w:szCs w:val="24"/>
              </w:rPr>
              <w:t xml:space="preserve">enskej republiky č. 504/2002 Z. z. o podmienkach poskytovania osobných ochranných pracovných prostriedkov. </w:t>
            </w:r>
          </w:p>
          <w:p>
            <w:pPr>
              <w:pStyle w:val="BodyTextIndent"/>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Č:7</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tcBorders>
              <w:top w:val="nil"/>
              <w:left w:val="nil"/>
              <w:bottom w:val="nil"/>
              <w:right w:val="nil"/>
              <w:tl2br w:val="nil"/>
              <w:tr2bl w:val="nil"/>
            </w:tcBorders>
            <w:textDirection w:val="lrTb"/>
            <w:vAlign w:val="top"/>
          </w:tcPr>
          <w:p>
            <w:pPr>
              <w:ind w:left="24"/>
              <w:jc w:val="both"/>
              <w:rPr>
                <w:rStyle w:val="WW8Num18z2"/>
                <w:rFonts w:ascii="Times New Roman" w:hAnsi="Times New Roman" w:cs="Times New Roman"/>
                <w:szCs w:val="24"/>
              </w:rPr>
            </w:pPr>
            <w:r>
              <w:rPr>
                <w:rStyle w:val="WW8Num18z2"/>
                <w:rFonts w:ascii="Times New Roman" w:hAnsi="Times New Roman" w:cs="Times New Roman"/>
                <w:szCs w:val="24"/>
              </w:rPr>
              <w:t>S rešpektovaním článku 8 smernice 89/391/EHS zamestnávateľ prijme potrebné opatrenia na zabezpečenie varovných a iných komunikačných systémov, potrebných na signalizovanie zvýšeného rizika pre bezpečnosť a zdravie, aby bolo možné primerane reagovať a začať práce na odstránení následkov udalosti a poskytovaní, pomoci a začať únikové a záchranné činnosti bezodkladne, keď sú potrebné</w:t>
            </w:r>
            <w:r>
              <w:rPr>
                <w:rStyle w:val="WW8Num18z2"/>
                <w:rFonts w:ascii="Times New Roman" w:hAnsi="Times New Roman" w:cs="Times New Roman"/>
                <w:szCs w:val="24"/>
              </w:rPr>
              <w:t>.</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7</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4</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Zamestnávateľ bez toho, aby boli dotknuté povinnosti ustanovené osobitným predpisom,</w:t>
            </w:r>
            <w:r>
              <w:rPr>
                <w:rStyle w:val="DefaultParagraphFont"/>
                <w:rFonts w:ascii="Times New Roman" w:hAnsi="Times New Roman" w:cs="Times New Roman"/>
                <w:szCs w:val="24"/>
                <w:vertAlign w:val="superscript"/>
                <w:lang w:val="sk-SK"/>
              </w:rPr>
              <w:t>11</w:t>
            </w:r>
            <w:r>
              <w:rPr>
                <w:rStyle w:val="DefaultParagraphFont"/>
                <w:rFonts w:ascii="Times New Roman" w:hAnsi="Times New Roman" w:cs="Times New Roman"/>
                <w:szCs w:val="24"/>
                <w:lang w:val="sk-SK"/>
              </w:rPr>
              <w:t>) vykoná opatrenia na zabezpečenie varovných a iných komunikačných systémov potrebných na signalizovanie zvýšeného rizika, aby bolo možné bezodkladne začať odstraňovať následky udalosti, poskytovať pomoc a  začať záchranné práce a únikové práce, ak sú potrebné.</w:t>
            </w:r>
          </w:p>
          <w:p>
            <w:pPr>
              <w:pStyle w:val="BodyTextIndent"/>
              <w:spacing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w:t>
            </w:r>
          </w:p>
          <w:p>
            <w:pPr>
              <w:pStyle w:val="FootnoteText"/>
              <w:rPr>
                <w:rStyle w:val="DefaultParagraphFont"/>
                <w:rFonts w:ascii="Times New Roman" w:hAnsi="Times New Roman" w:cs="Times New Roman"/>
                <w:szCs w:val="24"/>
              </w:rPr>
            </w:pPr>
            <w:r>
              <w:rPr>
                <w:rStyle w:val="FootnoteReference"/>
                <w:rFonts w:ascii="Times New Roman" w:hAnsi="Times New Roman" w:cs="Times New Roman"/>
                <w:szCs w:val="24"/>
              </w:rPr>
              <w:t>11</w:t>
            </w:r>
            <w:r>
              <w:rPr>
                <w:rStyle w:val="DefaultParagraphFont"/>
                <w:rFonts w:ascii="Times New Roman" w:hAnsi="Times New Roman" w:cs="Times New Roman"/>
                <w:szCs w:val="24"/>
              </w:rPr>
              <w:t>) § 8c zákona Národnej rady Slovenskej republiky č.  330/1996 Z. z.  v znení neskorších predpisov</w:t>
            </w:r>
            <w:r>
              <w:rPr>
                <w:rStyle w:val="DefaultParagraphFont"/>
                <w:rFonts w:ascii="Times New Roman" w:hAnsi="Times New Roman" w:cs="Times New Roman"/>
                <w:szCs w:val="24"/>
              </w:rPr>
              <w:t xml:space="preserve">. </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val="1963"/>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Č:7</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O:5</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Zamestnávateľ zabezpečí dostupnosť informácií o opatreniach pri stave núdze v súvislosti s nebezpečnými chemickými faktormi. Prístup k týmto informáciám budú mať príslušné vnútorné aj vonkajšie havarijné a záchranné služby. Informácie budú obsahovať:</w:t>
            </w:r>
          </w:p>
          <w:p>
            <w:pPr>
              <w:numPr>
                <w:numId w:val="17"/>
              </w:numPr>
              <w:tabs>
                <w:tab w:val="left" w:pos="307"/>
                <w:tab w:val="left" w:pos="360"/>
              </w:tabs>
              <w:suppressAutoHyphens/>
              <w:ind w:left="24"/>
              <w:jc w:val="both"/>
              <w:rPr>
                <w:rStyle w:val="WW8Num26z0"/>
                <w:rFonts w:ascii="Times New Roman" w:hAnsi="Times New Roman" w:cs="Times New Roman"/>
                <w:szCs w:val="24"/>
              </w:rPr>
            </w:pPr>
            <w:r>
              <w:rPr>
                <w:rStyle w:val="WW8Num26z0"/>
                <w:rFonts w:ascii="Times New Roman" w:hAnsi="Times New Roman" w:cs="Times New Roman"/>
                <w:szCs w:val="24"/>
              </w:rPr>
              <w:t>včasné upozornenie na príslušné nebezpečenstvá pri práci, opatrenia na identifikáciu nebezpečenstva, preventívne opatrenia a postupy, aby záchranné služby mohli pripraviť svoje vlastné postupy a preventívne opatrenia a</w:t>
            </w:r>
          </w:p>
          <w:p>
            <w:pPr>
              <w:numPr>
                <w:numId w:val="17"/>
              </w:numPr>
              <w:tabs>
                <w:tab w:val="left" w:pos="307"/>
                <w:tab w:val="left" w:pos="360"/>
              </w:tabs>
              <w:suppressAutoHyphens/>
              <w:ind w:left="24"/>
              <w:jc w:val="both"/>
              <w:rPr>
                <w:rStyle w:val="WW8Num26z0"/>
                <w:rFonts w:ascii="Times New Roman" w:hAnsi="Times New Roman" w:cs="Times New Roman"/>
                <w:szCs w:val="24"/>
              </w:rPr>
            </w:pPr>
            <w:r>
              <w:rPr>
                <w:rStyle w:val="WW8Num26z0"/>
                <w:rFonts w:ascii="Times New Roman" w:hAnsi="Times New Roman" w:cs="Times New Roman"/>
                <w:szCs w:val="24"/>
              </w:rPr>
              <w:t>všetky dostupné info</w:t>
            </w:r>
            <w:r>
              <w:rPr>
                <w:rStyle w:val="WW8Num26z0"/>
                <w:rFonts w:ascii="Times New Roman" w:hAnsi="Times New Roman" w:cs="Times New Roman"/>
                <w:szCs w:val="24"/>
              </w:rPr>
              <w:t>rmácie týkajúce sa špecifických nebezpečenstiev, ktoré vznikli alebo pravdepodobne vzniknú v čase nehody alebo havarijného stavu, vrátane informácií o postupoch pripravených podľa tohto článku.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7</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5</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7</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6</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a)</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b)</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 Zamestnávateľ zabezpečí dostupnosť informácií o opatreniach pre prípad udalosti; prístup k týmto informáciám budú mať vnútorné aj vonkajšie havarijné a záchranné služby.</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(6) Informácie podľa odseku 5 budú obsahovať </w:t>
            </w:r>
          </w:p>
          <w:p>
            <w:pPr>
              <w:pStyle w:val="Uroven2"/>
              <w:numPr>
                <w:numId w:val="33"/>
              </w:numPr>
              <w:tabs>
                <w:tab w:val="left" w:pos="360"/>
              </w:tabs>
              <w:spacing w:before="0" w:after="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včasné upozornenie na príslušné nebezpečenstvá pri práci, spôsob identifikácie nebezpečenstva, bezpečnostné opatrenia a postupy v nadväznosti na postupy záchranných služieb a</w:t>
            </w:r>
          </w:p>
          <w:p>
            <w:pPr>
              <w:pStyle w:val="Uroven2"/>
              <w:numPr>
                <w:numId w:val="33"/>
              </w:numPr>
              <w:tabs>
                <w:tab w:val="left" w:pos="360"/>
              </w:tabs>
              <w:spacing w:before="0" w:after="0"/>
              <w:ind w:left="360"/>
              <w:rPr>
                <w:rStyle w:val="DefaultParagraphFont"/>
                <w:rFonts w:ascii="Times New Roman" w:hAnsi="Times New Roman" w:cs="Times New Roman"/>
                <w:szCs w:val="24"/>
              </w:rPr>
            </w:pPr>
            <w:r>
              <w:rPr>
                <w:rStyle w:val="DefaultParagraphFont"/>
                <w:rFonts w:ascii="Times New Roman" w:hAnsi="Times New Roman" w:cs="Times New Roman"/>
                <w:szCs w:val="24"/>
              </w:rPr>
              <w:t>všetky dostupné informácie týkajúce sa špecifických nebezpečenstiev, ktoré vznikli alebo môžu vzniknúť  v čase udalosti a o pripravených postupoch.</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 8</w:t>
            </w:r>
          </w:p>
        </w:tc>
        <w:tc>
          <w:tcPr>
            <w:tcW w:w="0" w:type="auto"/>
            <w:tcBorders>
              <w:top w:val="nil"/>
              <w:left w:val="nil"/>
              <w:bottom w:val="nil"/>
              <w:right w:val="nil"/>
              <w:tl2br w:val="nil"/>
              <w:tr2bl w:val="nil"/>
            </w:tcBorders>
            <w:textDirection w:val="lrTb"/>
            <w:vAlign w:val="top"/>
          </w:tcPr>
          <w:p>
            <w:pPr>
              <w:rPr>
                <w:rStyle w:val="WW8Num26z0"/>
                <w:rFonts w:ascii="Times New Roman" w:hAnsi="Times New Roman" w:cs="Times New Roman"/>
                <w:b/>
                <w:szCs w:val="24"/>
              </w:rPr>
            </w:pPr>
            <w:r>
              <w:rPr>
                <w:rStyle w:val="WW8Num26z0"/>
                <w:rFonts w:ascii="Times New Roman" w:hAnsi="Times New Roman" w:cs="Times New Roman"/>
                <w:b/>
                <w:szCs w:val="24"/>
              </w:rPr>
              <w:t>Informovanie a  školenie pracovníkov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Informovanie a oboznamovanie zamestnancov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Č:8</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A rešpektovaním článkov 10 a 12 smernice 89/391/EHS zamestnávateľ zabezpečí, aby pracovníkom a/alebo ich zástupcom boli poskytnuté:</w:t>
            </w:r>
          </w:p>
          <w:p>
            <w:pPr>
              <w:numPr>
                <w:ilvl w:val="0"/>
                <w:numId w:val="23"/>
              </w:numPr>
              <w:tabs>
                <w:tab w:val="left" w:pos="360"/>
              </w:tabs>
              <w:ind w:left="360"/>
              <w:jc w:val="both"/>
              <w:rPr>
                <w:rStyle w:val="WW8Num26z0"/>
                <w:rFonts w:ascii="Times New Roman" w:hAnsi="Times New Roman" w:cs="Times New Roman"/>
                <w:szCs w:val="24"/>
              </w:rPr>
            </w:pPr>
            <w:r>
              <w:rPr>
                <w:rStyle w:val="WW8Num26z0"/>
                <w:rFonts w:ascii="Times New Roman" w:hAnsi="Times New Roman" w:cs="Times New Roman"/>
                <w:szCs w:val="24"/>
              </w:rPr>
              <w:t>údaje získané podľa článku 4 tejto smernice a ďalšie informácie vždy vtedy, keď väčšia zmena na pracovisku vedie k zmene týchto údajov,</w:t>
            </w:r>
          </w:p>
          <w:p>
            <w:pPr>
              <w:numPr>
                <w:ilvl w:val="0"/>
                <w:numId w:val="106"/>
              </w:numPr>
              <w:jc w:val="both"/>
              <w:rPr>
                <w:rStyle w:val="WW8Num26z0"/>
                <w:rFonts w:ascii="Times New Roman" w:hAnsi="Times New Roman" w:cs="Times New Roman"/>
                <w:szCs w:val="24"/>
              </w:rPr>
            </w:pPr>
          </w:p>
          <w:p>
            <w:pPr>
              <w:pStyle w:val="abc"/>
              <w:numPr>
                <w:ilvl w:val="0"/>
                <w:numId w:val="107"/>
              </w:numPr>
              <w:tabs>
                <w:tab w:val="clear" w:pos="360"/>
                <w:tab w:val="clear" w:pos="680"/>
              </w:tabs>
              <w:rPr>
                <w:rStyle w:val="WW8Num26z0"/>
                <w:rFonts w:ascii="Times New Roman" w:hAnsi="Times New Roman" w:cs="Times New Roman"/>
                <w:szCs w:val="24"/>
              </w:rPr>
            </w:pPr>
            <w:r>
              <w:rPr>
                <w:rStyle w:val="WW8Num26z0"/>
                <w:rFonts w:ascii="Times New Roman" w:hAnsi="Times New Roman" w:cs="Times New Roman"/>
                <w:szCs w:val="24"/>
              </w:rPr>
              <w:t>- informácie o nebezpečných</w:t>
            </w:r>
          </w:p>
          <w:p>
            <w:pPr>
              <w:numPr>
                <w:ilvl w:val="0"/>
                <w:numId w:val="108"/>
              </w:numPr>
              <w:tabs>
                <w:tab w:val="left" w:pos="360"/>
              </w:tabs>
              <w:ind w:hanging="52"/>
              <w:jc w:val="both"/>
              <w:rPr>
                <w:rStyle w:val="WW8Num26z0"/>
                <w:rFonts w:ascii="Times New Roman" w:hAnsi="Times New Roman" w:cs="Times New Roman"/>
                <w:szCs w:val="24"/>
              </w:rPr>
            </w:pPr>
            <w:r>
              <w:rPr>
                <w:rStyle w:val="WW8Num26z0"/>
                <w:rFonts w:ascii="Times New Roman" w:hAnsi="Times New Roman" w:cs="Times New Roman"/>
                <w:szCs w:val="24"/>
              </w:rPr>
              <w:t xml:space="preserve"> chemických faktoroch vyskytuj</w:t>
            </w:r>
            <w:r>
              <w:rPr>
                <w:rStyle w:val="WW8Num26z0"/>
                <w:rFonts w:ascii="Times New Roman" w:hAnsi="Times New Roman" w:cs="Times New Roman"/>
                <w:szCs w:val="24"/>
              </w:rPr>
              <w:t xml:space="preserve">úcich sa na pracovisku, ako napríklad identita týchto faktorov, riziká pre bezpečnosť a zdravie, príslušné limitné hodnoty expozície pri práci a iné zákonné opatrenia,  </w:t>
            </w:r>
          </w:p>
          <w:p>
            <w:pPr>
              <w:numPr>
                <w:ilvl w:val="0"/>
                <w:numId w:val="109"/>
              </w:numPr>
              <w:jc w:val="both"/>
              <w:rPr>
                <w:rStyle w:val="WW8Num26z0"/>
                <w:rFonts w:ascii="Times New Roman" w:hAnsi="Times New Roman" w:cs="Times New Roman"/>
                <w:szCs w:val="24"/>
              </w:rPr>
            </w:pPr>
          </w:p>
          <w:p>
            <w:pPr>
              <w:numPr>
                <w:ilvl w:val="0"/>
                <w:numId w:val="23"/>
              </w:numPr>
              <w:tabs>
                <w:tab w:val="left" w:pos="24"/>
                <w:tab w:val="left" w:pos="360"/>
              </w:tabs>
              <w:ind w:left="24" w:hanging="24"/>
              <w:jc w:val="both"/>
              <w:rPr>
                <w:rStyle w:val="WW8Num18z2"/>
                <w:rFonts w:ascii="Times New Roman" w:hAnsi="Times New Roman" w:cs="Times New Roman"/>
                <w:szCs w:val="24"/>
              </w:rPr>
            </w:pPr>
            <w:r>
              <w:rPr>
                <w:rStyle w:val="WW8Num18z2"/>
                <w:rFonts w:ascii="Times New Roman" w:hAnsi="Times New Roman" w:cs="Times New Roman"/>
                <w:szCs w:val="24"/>
              </w:rPr>
              <w:t>školenie a informovanie o primeraných ochranných opatreniach a činnostiach, ktoré vykonajú v záujme svojej vlastnej bezpečnosti a bezpečnosti iných pracovníkov na pracovisku,</w:t>
            </w:r>
          </w:p>
          <w:p>
            <w:pPr>
              <w:jc w:val="both"/>
              <w:rPr>
                <w:rStyle w:val="WW8Num18z2"/>
                <w:rFonts w:ascii="Times New Roman" w:hAnsi="Times New Roman" w:cs="Times New Roman"/>
                <w:szCs w:val="24"/>
              </w:rPr>
            </w:pPr>
          </w:p>
          <w:p>
            <w:pPr>
              <w:jc w:val="both"/>
              <w:rPr>
                <w:rStyle w:val="WW8Num18z2"/>
                <w:rFonts w:ascii="Times New Roman" w:hAnsi="Times New Roman" w:cs="Times New Roman"/>
                <w:szCs w:val="24"/>
              </w:rPr>
            </w:pPr>
            <w:r>
              <w:rPr>
                <w:rStyle w:val="WW8Num18z2"/>
                <w:rFonts w:ascii="Times New Roman" w:hAnsi="Times New Roman" w:cs="Times New Roman"/>
                <w:szCs w:val="24"/>
              </w:rPr>
              <w:t>- prístup ku všetkým kartám  bezpečnostných údajoch, ktoré poskytuje dodávateľ v súlade s článkom 10 smernice  88/379/EHS a článkom 27 smernice 92/32/EHS  (20)</w:t>
            </w:r>
          </w:p>
          <w:p>
            <w:pPr>
              <w:jc w:val="both"/>
              <w:rPr>
                <w:rStyle w:val="WW8Num18z2"/>
                <w:rFonts w:ascii="Times New Roman" w:hAnsi="Times New Roman" w:cs="Times New Roman"/>
                <w:szCs w:val="24"/>
              </w:rPr>
            </w:pPr>
          </w:p>
          <w:p>
            <w:pPr>
              <w:ind w:left="23" w:hanging="23"/>
              <w:jc w:val="both"/>
              <w:rPr>
                <w:rStyle w:val="WW8Num26z0"/>
                <w:rFonts w:ascii="Times New Roman" w:hAnsi="Times New Roman" w:cs="Times New Roman"/>
                <w:szCs w:val="24"/>
              </w:rPr>
            </w:pPr>
            <w:r>
              <w:rPr>
                <w:rStyle w:val="WW8Num26z0"/>
                <w:rFonts w:ascii="Times New Roman" w:hAnsi="Times New Roman" w:cs="Times New Roman"/>
                <w:szCs w:val="24"/>
              </w:rPr>
              <w:t>a aby tieto informácie boli:</w:t>
            </w:r>
          </w:p>
          <w:p>
            <w:pPr>
              <w:ind w:left="23" w:hanging="23"/>
              <w:jc w:val="both"/>
              <w:rPr>
                <w:rStyle w:val="WW8Num26z0"/>
                <w:rFonts w:ascii="Times New Roman" w:hAnsi="Times New Roman" w:cs="Times New Roman"/>
                <w:szCs w:val="24"/>
              </w:rPr>
            </w:pPr>
            <w:r>
              <w:rPr>
                <w:rStyle w:val="WW8Num26z0"/>
                <w:rFonts w:ascii="Times New Roman" w:hAnsi="Times New Roman" w:cs="Times New Roman"/>
                <w:szCs w:val="24"/>
              </w:rPr>
              <w:t xml:space="preserve">- poskytnuté spôsobom primeraným výsledku posúdenia rizika podľa článku 4 tejto smernice. Tieto informácie môžu mať rôznu formu od slovnej komunikácie až po individuálnu inštruktáž a školenie doplnené písomnou informáciou v závislosti od charakteru a stupňa rizika zisteného pri posudzovaní vyžadovanom v uvedenom článku, </w:t>
            </w:r>
          </w:p>
          <w:p>
            <w:pPr>
              <w:ind w:left="23" w:hanging="23"/>
              <w:jc w:val="both"/>
              <w:rPr>
                <w:rStyle w:val="WW8Num26z0"/>
                <w:rFonts w:ascii="Times New Roman" w:hAnsi="Times New Roman" w:cs="Times New Roman"/>
                <w:szCs w:val="24"/>
              </w:rPr>
            </w:pPr>
            <w:r>
              <w:rPr>
                <w:rStyle w:val="WW8Num26z0"/>
                <w:rFonts w:ascii="Times New Roman" w:hAnsi="Times New Roman" w:cs="Times New Roman"/>
                <w:szCs w:val="24"/>
              </w:rPr>
              <w:t>- aktualizované s ohľadom na meniace sa okolnosti.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10</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1</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a)</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b)</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 1</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B:2</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B:3</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B:4</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B:5</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B:6</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B:7</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c)</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d)</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10</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O:2</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10</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O:3</w:t>
            </w:r>
          </w:p>
          <w:p>
            <w:pPr>
              <w:jc w:val="center"/>
              <w:rPr>
                <w:rStyle w:val="WW-Znakapoznmky"/>
                <w:rFonts w:ascii="Times New Roman" w:hAnsi="Times New Roman" w:cs="Times New Roman"/>
                <w:sz w:val="20"/>
                <w:szCs w:val="24"/>
              </w:rPr>
            </w:pPr>
          </w:p>
          <w:p>
            <w:pPr>
              <w:pStyle w:val="PARA"/>
              <w:keepNext w:val="0"/>
              <w:keepLines w:val="0"/>
              <w:tabs>
                <w:tab w:val="clear" w:pos="680"/>
              </w:tabs>
              <w:spacing w:before="0" w:after="0"/>
              <w:rPr>
                <w:rStyle w:val="WW-Znakapoznmky"/>
                <w:rFonts w:ascii="Times New Roman" w:hAnsi="Times New Roman" w:cs="Times New Roman"/>
                <w:sz w:val="20"/>
                <w:szCs w:val="24"/>
                <w:lang w:val="sk-SK"/>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 Zamestnávateľ je povinný poskytovať zamestnancom a zástupcom zamestnancov pre bezpečnosť a ochranu zdravia pri práci</w:t>
            </w:r>
            <w:r>
              <w:rPr>
                <w:rStyle w:val="DefaultParagraphFont"/>
                <w:rFonts w:ascii="Times New Roman" w:hAnsi="Times New Roman" w:cs="Times New Roman"/>
                <w:szCs w:val="24"/>
                <w:vertAlign w:val="superscript"/>
                <w:lang w:val="sk-SK"/>
              </w:rPr>
              <w:t>23</w:t>
            </w:r>
            <w:r>
              <w:rPr>
                <w:rStyle w:val="DefaultParagraphFont"/>
                <w:rFonts w:ascii="Times New Roman" w:hAnsi="Times New Roman" w:cs="Times New Roman"/>
                <w:szCs w:val="24"/>
                <w:lang w:val="sk-SK"/>
              </w:rPr>
              <w:t>) bez toho, aby boli dotknuté ustanovenia osobitného predpisu,</w:t>
            </w:r>
            <w:r>
              <w:rPr>
                <w:rStyle w:val="DefaultParagraphFont"/>
                <w:rFonts w:ascii="Times New Roman" w:hAnsi="Times New Roman" w:cs="Times New Roman"/>
                <w:szCs w:val="24"/>
                <w:vertAlign w:val="superscript"/>
                <w:lang w:val="sk-SK"/>
              </w:rPr>
              <w:t>24</w:t>
            </w:r>
            <w:r>
              <w:rPr>
                <w:rStyle w:val="DefaultParagraphFont"/>
                <w:rFonts w:ascii="Times New Roman" w:hAnsi="Times New Roman" w:cs="Times New Roman"/>
                <w:szCs w:val="24"/>
                <w:lang w:val="sk-SK"/>
              </w:rPr>
              <w:t xml:space="preserve">) </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FootnoteText"/>
              <w:ind w:left="357" w:hanging="357"/>
              <w:rPr>
                <w:rStyle w:val="DefaultParagraphFont"/>
                <w:rFonts w:ascii="Times New Roman" w:hAnsi="Times New Roman" w:cs="Times New Roman"/>
                <w:szCs w:val="24"/>
              </w:rPr>
            </w:pPr>
            <w:r>
              <w:rPr>
                <w:rStyle w:val="DefaultParagraphFont"/>
                <w:rFonts w:ascii="Times New Roman" w:hAnsi="Times New Roman" w:cs="Times New Roman"/>
                <w:szCs w:val="24"/>
                <w:vertAlign w:val="superscript"/>
              </w:rPr>
              <w:t>23</w:t>
            </w:r>
            <w:r>
              <w:rPr>
                <w:rStyle w:val="DefaultParagraphFont"/>
                <w:rFonts w:ascii="Times New Roman" w:hAnsi="Times New Roman" w:cs="Times New Roman"/>
                <w:szCs w:val="24"/>
              </w:rPr>
              <w:t>)</w:t>
            </w:r>
            <w:r>
              <w:rPr>
                <w:rStyle w:val="DefaultParagraphFont"/>
                <w:rFonts w:ascii="Times New Roman" w:hAnsi="Times New Roman" w:cs="Times New Roman"/>
                <w:szCs w:val="24"/>
                <w:vertAlign w:val="superscript"/>
              </w:rPr>
              <w:t xml:space="preserve">    </w:t>
            </w:r>
            <w:r>
              <w:rPr>
                <w:rStyle w:val="DefaultParagraphFont"/>
                <w:rFonts w:ascii="Times New Roman" w:hAnsi="Times New Roman" w:cs="Times New Roman"/>
                <w:szCs w:val="24"/>
              </w:rPr>
              <w:t>§ 11a Zákonníka práce.</w:t>
            </w:r>
          </w:p>
          <w:p>
            <w:pPr>
              <w:pStyle w:val="FootnoteText"/>
              <w:ind w:left="357" w:hanging="357"/>
              <w:rPr>
                <w:rStyle w:val="DefaultParagraphFont"/>
                <w:rFonts w:ascii="Times New Roman" w:hAnsi="Times New Roman" w:cs="Times New Roman"/>
                <w:szCs w:val="24"/>
              </w:rPr>
            </w:pPr>
            <w:r>
              <w:rPr>
                <w:rStyle w:val="DefaultParagraphFont"/>
                <w:rFonts w:ascii="Times New Roman" w:hAnsi="Times New Roman" w:cs="Times New Roman"/>
                <w:szCs w:val="24"/>
                <w:vertAlign w:val="superscript"/>
              </w:rPr>
              <w:t>24</w:t>
            </w:r>
            <w:r>
              <w:rPr>
                <w:rStyle w:val="DefaultParagraphFont"/>
                <w:rFonts w:ascii="Times New Roman" w:hAnsi="Times New Roman" w:cs="Times New Roman"/>
                <w:szCs w:val="24"/>
              </w:rPr>
              <w:t>)   § 8b zákona Národnej rady Slovenskej republiky č. 330/1996 Z. z.  o bezpečnosti a ochrane zdravia pri práci v znení neskorších predpisov.</w:t>
            </w:r>
          </w:p>
          <w:p>
            <w:pPr>
              <w:pStyle w:val="BodyText"/>
              <w:spacing w:before="0" w:after="0"/>
              <w:rPr>
                <w:rStyle w:val="DefaultParagraphFont"/>
                <w:rFonts w:ascii="Times New Roman" w:hAnsi="Times New Roman" w:cs="Times New Roman"/>
                <w:szCs w:val="24"/>
                <w:lang w:val="sk-SK"/>
              </w:rPr>
            </w:pPr>
          </w:p>
          <w:p>
            <w:pPr>
              <w:pStyle w:val="Uroven2"/>
              <w:numPr>
                <w:ilvl w:val="1"/>
                <w:numId w:val="33"/>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údaje získané z posúdenia rizík</w:t>
            </w:r>
            <w:r>
              <w:rPr>
                <w:rStyle w:val="DefaultParagraphFont"/>
                <w:rFonts w:ascii="Times New Roman" w:hAnsi="Times New Roman" w:cs="Times New Roman"/>
                <w:color w:val="FF0000"/>
                <w:szCs w:val="24"/>
              </w:rPr>
              <w:t xml:space="preserve"> </w:t>
            </w:r>
            <w:r>
              <w:rPr>
                <w:rStyle w:val="DefaultParagraphFont"/>
                <w:rFonts w:ascii="Times New Roman" w:hAnsi="Times New Roman" w:cs="Times New Roman"/>
                <w:szCs w:val="24"/>
              </w:rPr>
              <w:t>podľa § 4 a ďalšie informácie vždy vtedy, ak na</w:t>
            </w:r>
            <w:r>
              <w:rPr>
                <w:rStyle w:val="DefaultParagraphFont"/>
                <w:rFonts w:ascii="Times New Roman" w:hAnsi="Times New Roman" w:cs="Times New Roman"/>
                <w:szCs w:val="24"/>
              </w:rPr>
              <w:t>stali  na pracovisku zmeny, ktoré vedú k zmene týchto údajov,</w:t>
            </w:r>
          </w:p>
          <w:p>
            <w:pPr>
              <w:pStyle w:val="Uroven2"/>
              <w:numPr>
                <w:ilvl w:val="1"/>
                <w:numId w:val="33"/>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informácie o</w:t>
            </w:r>
          </w:p>
          <w:p>
            <w:pPr>
              <w:pStyle w:val="Uroven3"/>
              <w:numPr>
                <w:ilvl w:val="0"/>
                <w:numId w:val="34"/>
              </w:numPr>
              <w:tabs>
                <w:tab w:val="clear" w:pos="451"/>
                <w:tab w:val="clear" w:pos="907"/>
                <w:tab w:val="left" w:pos="926"/>
              </w:tabs>
              <w:ind w:left="599" w:hanging="239"/>
              <w:rPr>
                <w:rStyle w:val="DefaultParagraphFont"/>
                <w:rFonts w:ascii="Times New Roman" w:hAnsi="Times New Roman" w:cs="Times New Roman"/>
                <w:szCs w:val="24"/>
              </w:rPr>
            </w:pPr>
            <w:r>
              <w:rPr>
                <w:rStyle w:val="DefaultParagraphFont"/>
                <w:rFonts w:ascii="Times New Roman" w:hAnsi="Times New Roman" w:cs="Times New Roman"/>
                <w:szCs w:val="24"/>
              </w:rPr>
              <w:t> kolektívnych preventívnych opatreniach vykonaných alebo navrhnutých na predchádzanie   alebo zníženie expozície chemickým faktorom,</w:t>
            </w:r>
          </w:p>
          <w:p>
            <w:pPr>
              <w:pStyle w:val="Uroven3"/>
              <w:numPr>
                <w:ilvl w:val="0"/>
                <w:numId w:val="34"/>
              </w:numPr>
              <w:tabs>
                <w:tab w:val="clear" w:pos="451"/>
                <w:tab w:val="clear" w:pos="907"/>
                <w:tab w:val="left" w:pos="926"/>
              </w:tabs>
              <w:ind w:left="599" w:hanging="239"/>
              <w:rPr>
                <w:rStyle w:val="DefaultParagraphFont"/>
                <w:rFonts w:ascii="Times New Roman" w:hAnsi="Times New Roman" w:cs="Times New Roman"/>
                <w:szCs w:val="24"/>
              </w:rPr>
            </w:pPr>
            <w:r>
              <w:rPr>
                <w:rStyle w:val="DefaultParagraphFont"/>
                <w:rFonts w:ascii="Times New Roman" w:hAnsi="Times New Roman" w:cs="Times New Roman"/>
                <w:szCs w:val="24"/>
              </w:rPr>
              <w:t>individuálnych opatreniach, vrátane osobných och</w:t>
            </w:r>
            <w:r>
              <w:rPr>
                <w:rStyle w:val="DefaultParagraphFont"/>
                <w:rFonts w:ascii="Times New Roman" w:hAnsi="Times New Roman" w:cs="Times New Roman"/>
                <w:szCs w:val="24"/>
              </w:rPr>
              <w:t>ranných pracovných prostriedkov,    ktoré musia používať,</w:t>
            </w:r>
          </w:p>
          <w:p>
            <w:pPr>
              <w:pStyle w:val="Uroven3"/>
              <w:numPr>
                <w:ilvl w:val="0"/>
                <w:numId w:val="34"/>
              </w:numPr>
              <w:tabs>
                <w:tab w:val="clear" w:pos="451"/>
                <w:tab w:val="clear" w:pos="907"/>
                <w:tab w:val="left" w:pos="926"/>
              </w:tabs>
              <w:ind w:left="599" w:hanging="239"/>
              <w:rPr>
                <w:rStyle w:val="DefaultParagraphFont"/>
                <w:rFonts w:ascii="Times New Roman" w:hAnsi="Times New Roman" w:cs="Times New Roman"/>
                <w:szCs w:val="24"/>
              </w:rPr>
            </w:pPr>
            <w:r>
              <w:rPr>
                <w:rStyle w:val="DefaultParagraphFont"/>
                <w:rFonts w:ascii="Times New Roman" w:hAnsi="Times New Roman" w:cs="Times New Roman"/>
                <w:szCs w:val="24"/>
              </w:rPr>
              <w:t>opatreniach v prípade nepredvídanej udalosti,</w:t>
            </w:r>
          </w:p>
          <w:p>
            <w:pPr>
              <w:pStyle w:val="Uroven3"/>
              <w:numPr>
                <w:ilvl w:val="0"/>
                <w:numId w:val="34"/>
              </w:numPr>
              <w:tabs>
                <w:tab w:val="clear" w:pos="451"/>
                <w:tab w:val="clear" w:pos="907"/>
                <w:tab w:val="left" w:pos="926"/>
              </w:tabs>
              <w:ind w:left="599" w:hanging="239"/>
              <w:rPr>
                <w:rStyle w:val="DefaultParagraphFont"/>
                <w:rFonts w:ascii="Times New Roman" w:hAnsi="Times New Roman" w:cs="Times New Roman"/>
                <w:szCs w:val="24"/>
              </w:rPr>
            </w:pPr>
            <w:r>
              <w:rPr>
                <w:rStyle w:val="DefaultParagraphFont"/>
                <w:rFonts w:ascii="Times New Roman" w:hAnsi="Times New Roman" w:cs="Times New Roman"/>
                <w:szCs w:val="24"/>
              </w:rPr>
              <w:t>výsledkoch meraní nebezpečných chemických faktorov v pracovnom ovzduší a v biologickom materiáli vo vzťahu k najvyššie prípustným expozičným limitom   a</w:t>
            </w:r>
            <w:r>
              <w:rPr>
                <w:rStyle w:val="DefaultParagraphFont"/>
                <w:rFonts w:ascii="Times New Roman" w:hAnsi="Times New Roman" w:cs="Times New Roman"/>
                <w:szCs w:val="24"/>
              </w:rPr>
              <w:t> biologickým medzným hodnotám,</w:t>
            </w:r>
          </w:p>
          <w:p>
            <w:pPr>
              <w:pStyle w:val="Uroven3"/>
              <w:numPr>
                <w:ilvl w:val="0"/>
                <w:numId w:val="34"/>
              </w:numPr>
              <w:tabs>
                <w:tab w:val="clear" w:pos="451"/>
                <w:tab w:val="clear" w:pos="907"/>
                <w:tab w:val="left" w:pos="926"/>
              </w:tabs>
              <w:ind w:left="599" w:hanging="239"/>
              <w:rPr>
                <w:rStyle w:val="DefaultParagraphFont"/>
                <w:rFonts w:ascii="Times New Roman" w:hAnsi="Times New Roman" w:cs="Times New Roman"/>
                <w:szCs w:val="24"/>
              </w:rPr>
            </w:pPr>
            <w:r>
              <w:rPr>
                <w:rStyle w:val="DefaultParagraphFont"/>
                <w:rFonts w:ascii="Times New Roman" w:hAnsi="Times New Roman" w:cs="Times New Roman"/>
                <w:szCs w:val="24"/>
              </w:rPr>
              <w:t>výskyte chorôb z povolania na pracovisku a ich príčinách,</w:t>
            </w:r>
          </w:p>
          <w:p>
            <w:pPr>
              <w:pStyle w:val="Uroven3"/>
              <w:numPr>
                <w:ilvl w:val="0"/>
                <w:numId w:val="34"/>
              </w:numPr>
              <w:tabs>
                <w:tab w:val="clear" w:pos="451"/>
                <w:tab w:val="clear" w:pos="907"/>
                <w:tab w:val="left" w:pos="926"/>
              </w:tabs>
              <w:ind w:left="599" w:hanging="239"/>
              <w:rPr>
                <w:rStyle w:val="DefaultParagraphFont"/>
                <w:rFonts w:ascii="Times New Roman" w:hAnsi="Times New Roman" w:cs="Times New Roman"/>
                <w:szCs w:val="24"/>
              </w:rPr>
            </w:pPr>
            <w:r>
              <w:rPr>
                <w:rStyle w:val="DefaultParagraphFont"/>
                <w:rFonts w:ascii="Times New Roman" w:hAnsi="Times New Roman" w:cs="Times New Roman"/>
                <w:szCs w:val="24"/>
              </w:rPr>
              <w:t>možnostiach zabezpečenia zdravotného dohľadu,</w:t>
            </w:r>
          </w:p>
          <w:p>
            <w:pPr>
              <w:pStyle w:val="Uroven3"/>
              <w:numPr>
                <w:ilvl w:val="0"/>
                <w:numId w:val="34"/>
              </w:numPr>
              <w:tabs>
                <w:tab w:val="clear" w:pos="451"/>
                <w:tab w:val="clear" w:pos="907"/>
                <w:tab w:val="left" w:pos="926"/>
              </w:tabs>
              <w:ind w:left="599" w:hanging="239"/>
              <w:rPr>
                <w:rStyle w:val="DefaultParagraphFont"/>
                <w:rFonts w:ascii="Times New Roman" w:hAnsi="Times New Roman" w:cs="Times New Roman"/>
                <w:szCs w:val="24"/>
              </w:rPr>
            </w:pPr>
            <w:r>
              <w:rPr>
                <w:rStyle w:val="DefaultParagraphFont"/>
                <w:rFonts w:ascii="Times New Roman" w:hAnsi="Times New Roman" w:cs="Times New Roman"/>
                <w:szCs w:val="24"/>
              </w:rPr>
              <w:t>určených postupoch práce a spôsoboch správania sa, ktoré musia zamestnanci dodržiavať v záujme vlastnej bezpečnosti a bezpečnosti iných zamestnancov na pracovisku,</w:t>
            </w:r>
          </w:p>
          <w:p>
            <w:pPr>
              <w:pStyle w:val="Uroven2"/>
              <w:numPr>
                <w:ilvl w:val="1"/>
                <w:numId w:val="33"/>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prístup ku kartám  bezpečnostných údajov, ktoré poskytuje dodávateľ chemických látok alebo chemických prípravkov podľa osobitného predpisu,</w:t>
            </w:r>
            <w:r>
              <w:rPr>
                <w:rStyle w:val="DefaultParagraphFont"/>
                <w:rFonts w:ascii="Times New Roman" w:hAnsi="Times New Roman" w:cs="Times New Roman"/>
                <w:szCs w:val="24"/>
                <w:vertAlign w:val="superscript"/>
              </w:rPr>
              <w:t>4</w:t>
            </w:r>
            <w:r>
              <w:rPr>
                <w:rStyle w:val="DefaultParagraphFont"/>
                <w:rFonts w:ascii="Times New Roman" w:hAnsi="Times New Roman" w:cs="Times New Roman"/>
                <w:szCs w:val="24"/>
              </w:rPr>
              <w:t>)</w:t>
            </w:r>
          </w:p>
          <w:p>
            <w:pPr>
              <w:pStyle w:val="BodyText"/>
              <w:numPr>
                <w:ilvl w:val="1"/>
                <w:numId w:val="33"/>
              </w:numPr>
              <w:tabs>
                <w:tab w:val="left" w:pos="316"/>
                <w:tab w:val="left" w:pos="1440"/>
              </w:tabs>
              <w:spacing w:before="0" w:after="0"/>
              <w:ind w:left="316" w:hanging="284"/>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prístup k záznamom o expozícii.</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FootnoteReference"/>
                <w:rFonts w:ascii="Times New Roman" w:hAnsi="Times New Roman" w:cs="Times New Roman"/>
                <w:szCs w:val="24"/>
                <w:lang w:val="sk-SK"/>
              </w:rPr>
              <w:t>4</w:t>
            </w:r>
            <w:r>
              <w:rPr>
                <w:rStyle w:val="DefaultParagraphFont"/>
                <w:rFonts w:ascii="Times New Roman" w:hAnsi="Times New Roman" w:cs="Times New Roman"/>
                <w:szCs w:val="24"/>
                <w:lang w:val="sk-SK"/>
              </w:rPr>
              <w:t>) § 27 zákona č. 163/2</w:t>
            </w:r>
            <w:r>
              <w:rPr>
                <w:rStyle w:val="DefaultParagraphFont"/>
                <w:rFonts w:ascii="Times New Roman" w:hAnsi="Times New Roman" w:cs="Times New Roman"/>
                <w:szCs w:val="24"/>
                <w:lang w:val="sk-SK"/>
              </w:rPr>
              <w:t>001 Z. z. v znení neskorších predpisov.</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Informácie podľa odseku 1 zamestnávateľ poskytuje primerane k výsledku posúdenia rizík podľa § 4 a  s  prihliadnutím na vykonávanú prácu individuálne formou inštruktáží, poučení a pokynov; kolektívne formou škol</w:t>
            </w:r>
            <w:r>
              <w:rPr>
                <w:rStyle w:val="DefaultParagraphFont"/>
                <w:rFonts w:ascii="Times New Roman" w:hAnsi="Times New Roman" w:cs="Times New Roman"/>
                <w:szCs w:val="24"/>
                <w:lang w:val="sk-SK"/>
              </w:rPr>
              <w:t>ení, kurzov a praktického  výcviku.</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 Zamestnávateľ poskytuje zamestnancom informácie podľa odseku 1 pred začiatkom práce súvisiacej s nebezpečnými chemickými faktormi a opakovane s ohľadom na meniace sa podmienky, najmenej jedenkrát ročne.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w:t>
            </w:r>
            <w:r>
              <w:rPr>
                <w:rStyle w:val="DefaultParagraphFont"/>
                <w:rFonts w:ascii="Times New Roman" w:hAnsi="Times New Roman" w:cs="Times New Roman"/>
                <w:szCs w:val="24"/>
              </w:rPr>
              <w:t>:8</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tcBorders>
              <w:top w:val="nil"/>
              <w:left w:val="nil"/>
              <w:bottom w:val="nil"/>
              <w:right w:val="nil"/>
              <w:tl2br w:val="nil"/>
              <w:tr2bl w:val="nil"/>
            </w:tcBorders>
            <w:textDirection w:val="lrTb"/>
            <w:vAlign w:val="top"/>
          </w:tcPr>
          <w:p>
            <w:pPr>
              <w:ind w:left="24"/>
              <w:jc w:val="both"/>
              <w:rPr>
                <w:rStyle w:val="WW8Num18z2"/>
                <w:rFonts w:ascii="Times New Roman" w:hAnsi="Times New Roman" w:cs="Times New Roman"/>
                <w:szCs w:val="24"/>
              </w:rPr>
            </w:pPr>
            <w:r>
              <w:rPr>
                <w:rStyle w:val="WW8Num18z2"/>
                <w:rFonts w:ascii="Times New Roman" w:hAnsi="Times New Roman" w:cs="Times New Roman"/>
                <w:szCs w:val="24"/>
              </w:rPr>
              <w:t>Ak kontajnery a potrubia na nebezpečné chemické faktory používané na pracovisku nie  sú označené v zhode s príslušnou legislatívou Spoločenstva o označovaní chemických faktorov a o bezpečnostnom označení na pracovisku, s rešpektovaním výnimiek   ustanovených vo vyššie uvedenej legislatíve, zamestnávateľ zabezpečí, aby bol jasne identifikovateľný obsah kontajnerov a potrubí spolu s charakterom tohto obsahu a všetkými s ním spojenými nebezpečenstvami.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10</w:t>
              <w:br/>
              <w:t>O: 4</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w:t>
            </w:r>
            <w:r>
              <w:rPr>
                <w:rStyle w:val="DefaultParagraphFont"/>
                <w:rFonts w:ascii="Times New Roman" w:hAnsi="Times New Roman" w:cs="Times New Roman"/>
                <w:szCs w:val="24"/>
                <w:lang w:val="sk-SK"/>
              </w:rPr>
              <w:t>) Ak prepravné obaly a potrubia s nebezpečnými chemickými faktormi používané na pracovisku nie sú označené v súlade s osobitnými predpismi,</w:t>
            </w:r>
            <w:r>
              <w:rPr>
                <w:rStyle w:val="DefaultParagraphFont"/>
                <w:rFonts w:ascii="Times New Roman" w:hAnsi="Times New Roman" w:cs="Times New Roman"/>
                <w:szCs w:val="24"/>
                <w:vertAlign w:val="superscript"/>
                <w:lang w:val="sk-SK"/>
              </w:rPr>
              <w:t>25</w:t>
            </w:r>
            <w:r>
              <w:rPr>
                <w:rStyle w:val="DefaultParagraphFont"/>
                <w:rFonts w:ascii="Times New Roman" w:hAnsi="Times New Roman" w:cs="Times New Roman"/>
                <w:szCs w:val="24"/>
                <w:lang w:val="sk-SK"/>
              </w:rPr>
              <w:t>) zamestnávateľ zabezpečí ich označenie tak, aby bol jednoznačne identifikovateľný ich obsah vrátane charakteru obsahu a s nebezpečenstvom s ním spojeným.</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p>
            <w:pPr>
              <w:pStyle w:val="FootnoteText"/>
              <w:ind w:left="32" w:hanging="32"/>
              <w:rPr>
                <w:rStyle w:val="DefaultParagraphFont"/>
                <w:rFonts w:ascii="Times New Roman" w:hAnsi="Times New Roman" w:cs="Times New Roman"/>
                <w:szCs w:val="24"/>
              </w:rPr>
            </w:pPr>
            <w:r>
              <w:rPr>
                <w:rStyle w:val="DefaultParagraphFont"/>
                <w:rFonts w:ascii="Times New Roman" w:hAnsi="Times New Roman" w:cs="Times New Roman"/>
                <w:szCs w:val="24"/>
                <w:vertAlign w:val="superscript"/>
              </w:rPr>
              <w:t>25</w:t>
            </w:r>
            <w:r>
              <w:rPr>
                <w:rStyle w:val="DefaultParagraphFont"/>
                <w:rFonts w:ascii="Times New Roman" w:hAnsi="Times New Roman" w:cs="Times New Roman"/>
                <w:szCs w:val="24"/>
              </w:rPr>
              <w:t>) Zákon č. 163/2001 Z. z. v znení neskorších predpisov.</w:t>
            </w:r>
          </w:p>
          <w:p>
            <w:pPr>
              <w:pStyle w:val="FootnoteText"/>
              <w:ind w:left="32" w:hanging="32"/>
              <w:rPr>
                <w:rStyle w:val="DefaultParagraphFont"/>
                <w:rFonts w:ascii="Times New Roman" w:hAnsi="Times New Roman" w:cs="Times New Roman"/>
                <w:szCs w:val="24"/>
              </w:rPr>
            </w:pPr>
            <w:r>
              <w:rPr>
                <w:rStyle w:val="DefaultParagraphFont"/>
                <w:rFonts w:ascii="Times New Roman" w:hAnsi="Times New Roman" w:cs="Times New Roman"/>
                <w:szCs w:val="24"/>
              </w:rPr>
              <w:tab/>
              <w:t>Nariadenie vlády Slovenskej republiky č. 444/2001 Z. z. o požiadavkách na používanie označenia, symbolov a signálov na zaistenie bezpečnosti a o</w:t>
            </w:r>
            <w:r>
              <w:rPr>
                <w:rStyle w:val="DefaultParagraphFont"/>
                <w:rFonts w:ascii="Times New Roman" w:hAnsi="Times New Roman" w:cs="Times New Roman"/>
                <w:szCs w:val="24"/>
              </w:rPr>
              <w:t xml:space="preserve">chrany zdravia pri práci. </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Č:8</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Členské štáty môžu prijať potrebné opatrenia, aby zabezpečili, že zamestnávatelia môžu na požiadanie získať, prednostne od výrobcu alebo dodávateľa, všetky potrebné informácie o nebezpečných chemických faktoroch, potrebné na uplatnenie článku 4  ods. 1 tejto smernice, pokiaľ smernice 67/548/EHS a 88/379/EHS neobsahujú povinnosť poskytovať informácie.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BodyTextIndent"/>
              <w:suppressAutoHyphens/>
              <w:spacing w:after="0"/>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 9</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Zákazy</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Paragraf"/>
              <w:numPr>
                <w:numId w:val="0"/>
              </w:numPr>
              <w:tabs>
                <w:tab w:val="clear" w:pos="720"/>
              </w:tabs>
              <w:spacing w:before="0"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Zákaz niektorých činností s vybranými chemickými faktormi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Č:9</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Produkcia, v</w:t>
            </w:r>
            <w:r>
              <w:rPr>
                <w:rStyle w:val="DefaultParagraphFont"/>
                <w:rFonts w:ascii="Times New Roman" w:hAnsi="Times New Roman" w:cs="Times New Roman"/>
                <w:szCs w:val="24"/>
                <w:lang w:val="sk-SK"/>
              </w:rPr>
              <w:t>ýroba alebo používanie chemických faktorov pri práci a činnosti uvedené  v prílohe III sa zakazujú v  rozsahu ustanovenom v prílohe III, aby sa zabránilo expozícii pracovníkov rizikám z niektorých chemických faktorov a/alebo niektorých činností súvisiacic</w:t>
            </w:r>
            <w:r>
              <w:rPr>
                <w:rStyle w:val="DefaultParagraphFont"/>
                <w:rFonts w:ascii="Times New Roman" w:hAnsi="Times New Roman" w:cs="Times New Roman"/>
                <w:szCs w:val="24"/>
                <w:lang w:val="sk-SK"/>
              </w:rPr>
              <w:t>h s chemickými faktormi.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9</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 Na predchádzanie rizika zamestnancov z expozície vybraným chemickým faktorom a z pracovných činností  súvisiacich s takýmito faktormi je zakázaná výroba a  používanie vybraných chemických faktorov na  účely uvedené v prílohe č. 3.</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Č:9</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Členské štáty môžu povoliť výnimky z požiadaviek odseku 1 za nasledujúcich  okolností: </w:t>
            </w:r>
          </w:p>
          <w:p>
            <w:pPr>
              <w:pStyle w:val="BodyText"/>
              <w:numPr>
                <w:numId w:val="17"/>
              </w:numPr>
              <w:tabs>
                <w:tab w:val="left" w:pos="165"/>
                <w:tab w:val="left" w:pos="360"/>
              </w:tabs>
              <w:spacing w:before="0" w:after="0"/>
              <w:ind w:left="24"/>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výhradne na účel vedeckého výskumu a testovania, vrátane analýzy,</w:t>
            </w:r>
          </w:p>
          <w:p>
            <w:pPr>
              <w:pStyle w:val="BodyText"/>
              <w:numPr>
                <w:numId w:val="18"/>
              </w:numPr>
              <w:tabs>
                <w:tab w:val="left" w:pos="165"/>
                <w:tab w:val="left" w:pos="451"/>
              </w:tabs>
              <w:spacing w:before="0" w:after="0"/>
              <w:ind w:left="24"/>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pri činnostiach zameraných na elimináciu chemických faktorov, ktoré sa vyskytujú vo forme vedľajších produktov alebo odpadových produktov,</w:t>
            </w:r>
          </w:p>
          <w:p>
            <w:pPr>
              <w:pStyle w:val="BodyText"/>
              <w:numPr>
                <w:numId w:val="17"/>
              </w:numPr>
              <w:tabs>
                <w:tab w:val="left" w:pos="165"/>
                <w:tab w:val="left" w:pos="360"/>
              </w:tabs>
              <w:spacing w:before="0" w:after="0"/>
              <w:ind w:left="24"/>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pri výrobe chemických faktorov uvedených v odseku 1 na použitie ako medziprodukty a pre také použitie.</w:t>
            </w:r>
          </w:p>
          <w:p>
            <w:pPr>
              <w:pStyle w:val="BodyText"/>
              <w:spacing w:before="0" w:after="0"/>
              <w:rPr>
                <w:rStyle w:val="DefaultParagraphFont"/>
                <w:rFonts w:ascii="Times New Roman" w:hAnsi="Times New Roman" w:cs="Times New Roman"/>
                <w:szCs w:val="24"/>
                <w:lang w:val="sk-SK"/>
              </w:rPr>
            </w:pPr>
          </w:p>
          <w:p>
            <w:pPr>
              <w:pStyle w:val="BodyText"/>
              <w:spacing w:before="0" w:after="0"/>
              <w:ind w:left="24"/>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Musí sa predchádzať expozícii pracovníkov chemickým faktorom uvedeným v ods. 1, najmä tak, že sa zabezpečí, aby sa výroba a čo najvčasnejšie použitie takýchto chemických faktorov ako medziproduktov museli uskutočňovať v samostatnom uzatvorenom systéme, z ktorého sa vyššie uvedené chemické faktory môžu odobrať iba v miere potrebnej na monitorovanie procesu alebo na údržbu systému.</w:t>
            </w:r>
          </w:p>
          <w:p>
            <w:pPr>
              <w:pStyle w:val="BodyText"/>
              <w:spacing w:before="0" w:after="0"/>
              <w:ind w:left="24"/>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Členské štáty môžu zabezpečiť systémy individuálnych povolení.</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9</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 9</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3</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 Výnimku z  u</w:t>
            </w:r>
            <w:r>
              <w:rPr>
                <w:rStyle w:val="DefaultParagraphFont"/>
                <w:rFonts w:ascii="Times New Roman" w:hAnsi="Times New Roman" w:cs="Times New Roman"/>
                <w:szCs w:val="24"/>
                <w:lang w:val="sk-SK"/>
              </w:rPr>
              <w:t>stanovenia odseku 1 môže povoliť príslušný orgán verejného zdravotníctva podľa osobitného predpisu</w:t>
            </w:r>
            <w:r>
              <w:rPr>
                <w:rStyle w:val="DefaultParagraphFont"/>
                <w:rFonts w:ascii="Times New Roman" w:hAnsi="Times New Roman" w:cs="Times New Roman"/>
                <w:szCs w:val="24"/>
                <w:vertAlign w:val="superscript"/>
                <w:lang w:val="sk-SK"/>
              </w:rPr>
              <w:t>22</w:t>
            </w:r>
            <w:r>
              <w:rPr>
                <w:rStyle w:val="DefaultParagraphFont"/>
                <w:rFonts w:ascii="Times New Roman" w:hAnsi="Times New Roman" w:cs="Times New Roman"/>
                <w:szCs w:val="24"/>
                <w:lang w:val="sk-SK"/>
              </w:rPr>
              <w:t>) na základe žiadosti zamestnávateľa, ak ide o</w:t>
            </w:r>
          </w:p>
          <w:p>
            <w:pPr>
              <w:pStyle w:val="Uroven2"/>
              <w:numPr>
                <w:ilvl w:val="1"/>
                <w:numId w:val="27"/>
              </w:numPr>
              <w:tabs>
                <w:tab w:val="left" w:pos="316"/>
                <w:tab w:val="left" w:pos="1440"/>
              </w:tabs>
              <w:spacing w:before="0" w:after="0"/>
              <w:ind w:left="316" w:hanging="274"/>
              <w:rPr>
                <w:rStyle w:val="DefaultParagraphFont"/>
                <w:rFonts w:ascii="Times New Roman" w:hAnsi="Times New Roman" w:cs="Times New Roman"/>
                <w:szCs w:val="24"/>
              </w:rPr>
            </w:pPr>
            <w:r>
              <w:rPr>
                <w:rStyle w:val="DefaultParagraphFont"/>
                <w:rFonts w:ascii="Times New Roman" w:hAnsi="Times New Roman" w:cs="Times New Roman"/>
                <w:szCs w:val="24"/>
              </w:rPr>
              <w:t>použitie  výhradne na účely vedeckého výskumu a testovania, vrátane analýz,</w:t>
            </w:r>
          </w:p>
          <w:p>
            <w:pPr>
              <w:pStyle w:val="Uroven2"/>
              <w:numPr>
                <w:ilvl w:val="1"/>
                <w:numId w:val="27"/>
              </w:numPr>
              <w:tabs>
                <w:tab w:val="left" w:pos="316"/>
                <w:tab w:val="left" w:pos="1440"/>
              </w:tabs>
              <w:spacing w:before="0" w:after="0"/>
              <w:ind w:left="316" w:hanging="274"/>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činnosti zamerané na vylúčenie chemických faktorov prítomných vo forme vedľajších produktov alebo odpadových produktov, </w:t>
            </w:r>
          </w:p>
          <w:p>
            <w:pPr>
              <w:pStyle w:val="Uroven2"/>
              <w:numPr>
                <w:ilvl w:val="1"/>
                <w:numId w:val="27"/>
              </w:numPr>
              <w:tabs>
                <w:tab w:val="left" w:pos="316"/>
                <w:tab w:val="left" w:pos="1440"/>
              </w:tabs>
              <w:spacing w:before="0" w:after="0"/>
              <w:ind w:left="316" w:hanging="274"/>
              <w:rPr>
                <w:rStyle w:val="DefaultParagraphFont"/>
                <w:rFonts w:ascii="Times New Roman" w:hAnsi="Times New Roman" w:cs="Times New Roman"/>
                <w:szCs w:val="24"/>
              </w:rPr>
            </w:pPr>
            <w:r>
              <w:rPr>
                <w:rStyle w:val="DefaultParagraphFont"/>
                <w:rFonts w:ascii="Times New Roman" w:hAnsi="Times New Roman" w:cs="Times New Roman"/>
                <w:szCs w:val="24"/>
              </w:rPr>
              <w:t>výrobu vybraných chemických faktorov podľa odseku 1 ako medziproduktu a na takéto použitie.</w:t>
            </w:r>
          </w:p>
          <w:p>
            <w:pPr>
              <w:pStyle w:val="Uroven2"/>
              <w:spacing w:before="0" w:after="0"/>
              <w:rPr>
                <w:rStyle w:val="DefaultParagraphFont"/>
                <w:rFonts w:ascii="Times New Roman" w:hAnsi="Times New Roman" w:cs="Times New Roman"/>
                <w:szCs w:val="24"/>
              </w:rPr>
            </w:pPr>
          </w:p>
          <w:p>
            <w:pPr>
              <w:pStyle w:val="Uroven2"/>
              <w:spacing w:before="0" w:after="0"/>
              <w:rPr>
                <w:rStyle w:val="DefaultParagraphFont"/>
                <w:rFonts w:ascii="Times New Roman" w:hAnsi="Times New Roman" w:cs="Times New Roman"/>
                <w:szCs w:val="24"/>
              </w:rPr>
            </w:pPr>
            <w:r>
              <w:rPr>
                <w:rStyle w:val="DefaultParagraphFont"/>
                <w:rFonts w:ascii="Times New Roman" w:hAnsi="Times New Roman" w:cs="Times New Roman"/>
                <w:szCs w:val="24"/>
              </w:rPr>
              <w:t>–––––––––––––––</w:t>
            </w:r>
          </w:p>
          <w:p>
            <w:pPr>
              <w:pStyle w:val="Uroven2"/>
              <w:spacing w:before="0" w:after="0"/>
              <w:rPr>
                <w:rStyle w:val="DefaultParagraphFont"/>
                <w:rFonts w:ascii="Times New Roman" w:hAnsi="Times New Roman" w:cs="Times New Roman"/>
                <w:szCs w:val="24"/>
              </w:rPr>
            </w:pPr>
            <w:r>
              <w:rPr>
                <w:rStyle w:val="FootnoteReference"/>
                <w:rFonts w:ascii="Times New Roman" w:hAnsi="Times New Roman" w:cs="Times New Roman"/>
                <w:szCs w:val="24"/>
              </w:rPr>
              <w:t>22</w:t>
            </w:r>
            <w:r>
              <w:rPr>
                <w:rStyle w:val="DefaultParagraphFont"/>
                <w:rFonts w:ascii="Times New Roman" w:hAnsi="Times New Roman" w:cs="Times New Roman"/>
                <w:szCs w:val="24"/>
              </w:rPr>
              <w:t>) § 9 ods. 6 písm. s) zákona č. 126/2006 Z. z.</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 Výroba</w:t>
            </w:r>
            <w:r>
              <w:rPr>
                <w:rStyle w:val="DefaultParagraphFont"/>
                <w:rFonts w:ascii="Times New Roman" w:hAnsi="Times New Roman" w:cs="Times New Roman"/>
                <w:szCs w:val="24"/>
                <w:lang w:val="sk-SK"/>
              </w:rPr>
              <w:t xml:space="preserve"> a použitie chemických faktorov ako medziproduktov v prípadoch ustanovených v odseku 2 sa musí uskutočniť v samostatnom uzatvorenom systéme, z ktorého možno takéto chemické faktory odoberať iba v miere nevyhnutnej na monitorovanie výrobného procesu alebo </w:t>
            </w:r>
            <w:r>
              <w:rPr>
                <w:rStyle w:val="DefaultParagraphFont"/>
                <w:rFonts w:ascii="Times New Roman" w:hAnsi="Times New Roman" w:cs="Times New Roman"/>
                <w:szCs w:val="24"/>
                <w:lang w:val="sk-SK"/>
              </w:rPr>
              <w:t>n</w:t>
            </w:r>
            <w:r>
              <w:rPr>
                <w:rStyle w:val="DefaultParagraphFont"/>
                <w:rFonts w:ascii="Times New Roman" w:hAnsi="Times New Roman" w:cs="Times New Roman"/>
                <w:szCs w:val="24"/>
                <w:lang w:val="sk-SK"/>
              </w:rPr>
              <w:t>a údržbu tohto systému.</w:t>
            </w:r>
          </w:p>
          <w:p>
            <w:pPr>
              <w:pStyle w:val="BodyTextIndent"/>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Č:9</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Ak sú povolené výnimky podľa odseku 2, kompetentný úrad požiada zamestnávateľa, aby predložil nasledujúce informácie:</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dôvod, pre ktorý žiada výnimku,</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množstvo chemického faktora, ktoré sa ročne použije,</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činnosti a/alebo reakcie alebo postupy, o ktoré ide,</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predpokladaný počet pracovníkov, o ktorých ide,</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plánované preventívne opatrenia na ochranu bezpečnosti a zdravia pracovníkov, ktorých sa to týka</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prijaté tech</w:t>
            </w:r>
            <w:r>
              <w:rPr>
                <w:rStyle w:val="DefaultParagraphFont"/>
                <w:rFonts w:ascii="Times New Roman" w:hAnsi="Times New Roman" w:cs="Times New Roman"/>
                <w:szCs w:val="24"/>
                <w:lang w:val="sk-SK"/>
              </w:rPr>
              <w:t>nické a organizačné opatrenia na predchádzanie expozícii pracovníkov.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9</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4</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e)</w:t>
            </w: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p>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f</w:t>
            </w:r>
          </w:p>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Žiadosť o výnimku obsahuje</w:t>
            </w:r>
          </w:p>
          <w:p>
            <w:pPr>
              <w:pStyle w:val="Uroven2"/>
              <w:numPr>
                <w:ilvl w:val="1"/>
                <w:numId w:val="28"/>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odôvodnenie žiadosti, </w:t>
            </w:r>
          </w:p>
          <w:p>
            <w:pPr>
              <w:pStyle w:val="Uroven2"/>
              <w:numPr>
                <w:ilvl w:val="1"/>
                <w:numId w:val="28"/>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množstvo chemického faktora, ktorý ročne použije,</w:t>
            </w:r>
          </w:p>
          <w:p>
            <w:pPr>
              <w:pStyle w:val="Uroven2"/>
              <w:numPr>
                <w:ilvl w:val="1"/>
                <w:numId w:val="28"/>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popis navrhovaných pracovných činností, pracovných postupov, pracovných procesov alebo chemických reakcií,</w:t>
            </w:r>
          </w:p>
          <w:p>
            <w:pPr>
              <w:pStyle w:val="Uroven2"/>
              <w:numPr>
                <w:ilvl w:val="1"/>
                <w:numId w:val="28"/>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predpokladaný počet zamestnancov pri výkone tejto činnosti,</w:t>
            </w:r>
          </w:p>
          <w:p>
            <w:pPr>
              <w:pStyle w:val="Uroven2"/>
              <w:numPr>
                <w:ilvl w:val="1"/>
                <w:numId w:val="28"/>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návrh preventívnych opatrení na ochranu zdravia a bezpečnosti zamestnancov a</w:t>
            </w:r>
          </w:p>
          <w:p>
            <w:pPr>
              <w:pStyle w:val="Uroven2"/>
              <w:numPr>
                <w:ilvl w:val="1"/>
                <w:numId w:val="28"/>
              </w:numPr>
              <w:tabs>
                <w:tab w:val="left" w:pos="316"/>
                <w:tab w:val="left" w:pos="1440"/>
              </w:tabs>
              <w:spacing w:before="0" w:after="0"/>
              <w:ind w:left="316" w:hanging="284"/>
              <w:rPr>
                <w:rStyle w:val="DefaultParagraphFont"/>
                <w:rFonts w:ascii="Times New Roman" w:hAnsi="Times New Roman" w:cs="Times New Roman"/>
                <w:szCs w:val="24"/>
              </w:rPr>
            </w:pPr>
            <w:r>
              <w:rPr>
                <w:rStyle w:val="DefaultParagraphFont"/>
                <w:rFonts w:ascii="Times New Roman" w:hAnsi="Times New Roman" w:cs="Times New Roman"/>
                <w:szCs w:val="24"/>
              </w:rPr>
              <w:t>prij</w:t>
            </w:r>
            <w:r>
              <w:rPr>
                <w:rStyle w:val="DefaultParagraphFont"/>
                <w:rFonts w:ascii="Times New Roman" w:hAnsi="Times New Roman" w:cs="Times New Roman"/>
                <w:szCs w:val="24"/>
              </w:rPr>
              <w:t>até technické a organizačné opatrenia na predchádzanie expozície zamestnancov vybraným chemickým faktorom.</w:t>
            </w:r>
          </w:p>
          <w:p>
            <w:pPr>
              <w:pStyle w:val="BodyTextIndent"/>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Č:9</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V súlade s postupom ustanoveným v článku 118a zmluvy môže Rada zmeniť a doplniť zoznam zákazov podľa odseku 1 tohto článku, na zaradenie ďalších chemických faktorov alebo činností.</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 10</w:t>
            </w:r>
          </w:p>
        </w:tc>
        <w:tc>
          <w:tcPr>
            <w:tcW w:w="0" w:type="auto"/>
            <w:tcBorders>
              <w:top w:val="nil"/>
              <w:left w:val="nil"/>
              <w:bottom w:val="nil"/>
              <w:right w:val="nil"/>
              <w:tl2br w:val="nil"/>
              <w:tr2bl w:val="nil"/>
            </w:tcBorders>
            <w:textDirection w:val="lrTb"/>
            <w:vAlign w:val="top"/>
          </w:tcPr>
          <w:p>
            <w:pPr>
              <w:jc w:val="both"/>
              <w:rPr>
                <w:rStyle w:val="WW8Num34z0"/>
                <w:rFonts w:ascii="Times New Roman" w:hAnsi="Times New Roman" w:cs="Times New Roman"/>
                <w:b/>
                <w:szCs w:val="24"/>
              </w:rPr>
            </w:pPr>
            <w:r>
              <w:rPr>
                <w:rStyle w:val="WW8Num34z0"/>
                <w:rFonts w:ascii="Times New Roman" w:hAnsi="Times New Roman" w:cs="Times New Roman"/>
                <w:b/>
                <w:szCs w:val="24"/>
              </w:rPr>
              <w:t>Zdravotný dohľad</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8Num18z3"/>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both"/>
              <w:rPr>
                <w:rStyle w:val="DefaultParagraphFont"/>
                <w:rFonts w:ascii="Times New Roman" w:hAnsi="Times New Roman" w:cs="Times New Roman"/>
                <w:b/>
                <w:vanish/>
                <w:szCs w:val="24"/>
              </w:rPr>
            </w:pPr>
            <w:r>
              <w:rPr>
                <w:rStyle w:val="DefaultParagraphFont"/>
                <w:rFonts w:ascii="Times New Roman" w:hAnsi="Times New Roman" w:cs="Times New Roman"/>
                <w:b/>
                <w:szCs w:val="24"/>
              </w:rPr>
              <w:t>Zdravotný dohľad</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Č:10</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jc w:val="both"/>
              <w:rPr>
                <w:rStyle w:val="WW8Num34z0"/>
                <w:rFonts w:ascii="Times New Roman" w:hAnsi="Times New Roman" w:cs="Times New Roman"/>
                <w:szCs w:val="24"/>
              </w:rPr>
            </w:pPr>
            <w:r>
              <w:rPr>
                <w:rStyle w:val="WW8Num34z0"/>
                <w:rFonts w:ascii="Times New Roman" w:hAnsi="Times New Roman" w:cs="Times New Roman"/>
                <w:szCs w:val="24"/>
              </w:rPr>
              <w:t>S rešpektovaním článku 14 smernice 89/391/EHS členské štáty zavedú  opatrenia na uskutočňovanie primeraného zdravotného dohľadu pre pracovníkov, u ktorých výsledky posúdenia uvedené v článku 4 tejto smernice odhalili zdravotné riziko. Tieto opatrenia, vrátane osobitných požiadaviek na zdravotné záznamy a záznamy o expozícii a na ich prístupnosť, sa zavedú v súlade s vnútroštátnymi záko</w:t>
            </w:r>
            <w:r>
              <w:rPr>
                <w:rStyle w:val="WW8Num34z0"/>
                <w:rFonts w:ascii="Times New Roman" w:hAnsi="Times New Roman" w:cs="Times New Roman"/>
                <w:szCs w:val="24"/>
              </w:rPr>
              <w:t>nmi a/alebo praxou.</w:t>
            </w: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r>
              <w:rPr>
                <w:rStyle w:val="WW8Num34z0"/>
                <w:rFonts w:ascii="Times New Roman" w:hAnsi="Times New Roman" w:cs="Times New Roman"/>
                <w:szCs w:val="24"/>
              </w:rPr>
              <w:t>Zdravotný dohľad, ktorého výsledky sa zohľadnia pri uskutočňovaní preventívnych opatrení na určitom pracovisku, bude primeraný, ak:</w:t>
            </w: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r>
              <w:rPr>
                <w:rStyle w:val="WW8Num34z0"/>
                <w:rFonts w:ascii="Times New Roman" w:hAnsi="Times New Roman" w:cs="Times New Roman"/>
                <w:szCs w:val="24"/>
              </w:rPr>
              <w:t xml:space="preserve">- expozícia pracovníka nebezpečnému chemickému faktoru je také, že tejto expozícii možno pripísať identifikovateľné ochorenie alebo nepriaznivé účinky na zdravie, </w:t>
            </w: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r>
              <w:rPr>
                <w:rStyle w:val="WW8Num34z0"/>
                <w:rFonts w:ascii="Times New Roman" w:hAnsi="Times New Roman" w:cs="Times New Roman"/>
                <w:szCs w:val="24"/>
              </w:rPr>
              <w:t>- existuje pravdepodobnosť, že choroba alebo účinok sa môžu vyskytnúť za určitých pracovných podmienok pracovníka a</w:t>
            </w: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r>
              <w:rPr>
                <w:rStyle w:val="WW8Num34z0"/>
                <w:rFonts w:ascii="Times New Roman" w:hAnsi="Times New Roman" w:cs="Times New Roman"/>
                <w:szCs w:val="24"/>
              </w:rPr>
              <w:t>- vyšetrovacia technika predstavuje pre pracovníkov iba malé riziko.</w:t>
            </w: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r>
              <w:rPr>
                <w:rStyle w:val="WW8Num34z0"/>
                <w:rFonts w:ascii="Times New Roman" w:hAnsi="Times New Roman" w:cs="Times New Roman"/>
                <w:szCs w:val="24"/>
              </w:rPr>
              <w:t>Okr</w:t>
            </w:r>
            <w:r>
              <w:rPr>
                <w:rStyle w:val="WW8Num34z0"/>
                <w:rFonts w:ascii="Times New Roman" w:hAnsi="Times New Roman" w:cs="Times New Roman"/>
                <w:szCs w:val="24"/>
              </w:rPr>
              <w:t>em toho budú existovať platné postupy na zisťovanie príznakov ochorení alebo účinkov.</w:t>
            </w: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r>
              <w:rPr>
                <w:rStyle w:val="WW8Num34z0"/>
                <w:rFonts w:ascii="Times New Roman" w:hAnsi="Times New Roman" w:cs="Times New Roman"/>
                <w:szCs w:val="24"/>
              </w:rPr>
              <w:t>Ak bola záväzná biologická limitná hodnota stanovená, ako sa uvádza v prílohe II, zdravotný dohľad bude povinnou požiadavkou pre práce s príslušnými nebezpečnými chemickými faktormi v súlade s postupmi v uvedenej prílohe. Pracovníci budú informovaní o tejto požiadavke skôr, než sú pridelení na prácu spojenú s rizikom expozície zistenému nebezpečnému chemickému faktoru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8Num18z3"/>
                <w:rFonts w:ascii="Times New Roman" w:hAnsi="Times New Roman" w:cs="Times New Roman"/>
                <w:szCs w:val="24"/>
              </w:rPr>
            </w:pPr>
            <w:r>
              <w:rPr>
                <w:rStyle w:val="WW8Num18z3"/>
                <w:rFonts w:ascii="Times New Roman" w:hAnsi="Times New Roman" w:cs="Times New Roman"/>
                <w:szCs w:val="24"/>
              </w:rPr>
              <w:t>§ 12</w:t>
            </w:r>
          </w:p>
          <w:p>
            <w:pPr>
              <w:jc w:val="center"/>
              <w:rPr>
                <w:rStyle w:val="WW8Num18z3"/>
                <w:rFonts w:ascii="Times New Roman" w:hAnsi="Times New Roman" w:cs="Times New Roman"/>
                <w:szCs w:val="24"/>
              </w:rPr>
            </w:pPr>
            <w:r>
              <w:rPr>
                <w:rStyle w:val="WW8Num18z3"/>
                <w:rFonts w:ascii="Times New Roman" w:hAnsi="Times New Roman" w:cs="Times New Roman"/>
                <w:szCs w:val="24"/>
              </w:rPr>
              <w:t>O: 1</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 12</w:t>
            </w:r>
          </w:p>
          <w:p>
            <w:pPr>
              <w:jc w:val="center"/>
              <w:rPr>
                <w:rStyle w:val="WW8Num18z3"/>
                <w:rFonts w:ascii="Times New Roman" w:hAnsi="Times New Roman" w:cs="Times New Roman"/>
                <w:szCs w:val="24"/>
              </w:rPr>
            </w:pPr>
            <w:r>
              <w:rPr>
                <w:rStyle w:val="WW8Num18z3"/>
                <w:rFonts w:ascii="Times New Roman" w:hAnsi="Times New Roman" w:cs="Times New Roman"/>
                <w:szCs w:val="24"/>
              </w:rPr>
              <w:t>O:2</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 12</w:t>
            </w:r>
          </w:p>
          <w:p>
            <w:pPr>
              <w:jc w:val="center"/>
              <w:rPr>
                <w:rStyle w:val="WW8Num18z3"/>
                <w:rFonts w:ascii="Times New Roman" w:hAnsi="Times New Roman" w:cs="Times New Roman"/>
                <w:szCs w:val="24"/>
              </w:rPr>
            </w:pPr>
            <w:r>
              <w:rPr>
                <w:rStyle w:val="WW8Num18z3"/>
                <w:rFonts w:ascii="Times New Roman" w:hAnsi="Times New Roman" w:cs="Times New Roman"/>
                <w:szCs w:val="24"/>
              </w:rPr>
              <w:t>O: 3</w:t>
            </w:r>
          </w:p>
          <w:p>
            <w:pP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 12</w:t>
            </w:r>
          </w:p>
          <w:p>
            <w:pPr>
              <w:jc w:val="center"/>
              <w:rPr>
                <w:rStyle w:val="WW8Num18z3"/>
                <w:rFonts w:ascii="Times New Roman" w:hAnsi="Times New Roman" w:cs="Times New Roman"/>
                <w:szCs w:val="24"/>
              </w:rPr>
            </w:pPr>
            <w:r>
              <w:rPr>
                <w:rStyle w:val="WW8Num18z3"/>
                <w:rFonts w:ascii="Times New Roman" w:hAnsi="Times New Roman" w:cs="Times New Roman"/>
                <w:szCs w:val="24"/>
              </w:rPr>
              <w:t>O: 4</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(1) </w:t>
            </w:r>
            <w:r>
              <w:rPr>
                <w:rStyle w:val="DefaultParagraphFont"/>
                <w:rFonts w:ascii="Times New Roman" w:hAnsi="Times New Roman" w:cs="Times New Roman"/>
                <w:vanish/>
                <w:szCs w:val="24"/>
              </w:rPr>
              <w:t>&lt;0}</w:t>
            </w:r>
            <w:r>
              <w:rPr>
                <w:rStyle w:val="DefaultParagraphFont"/>
                <w:rFonts w:ascii="Times New Roman" w:hAnsi="Times New Roman" w:cs="Times New Roman"/>
                <w:szCs w:val="24"/>
              </w:rPr>
              <w:t>Zamestnávateľ je povinný zabezpečiť zdravotný dohľad pre zamestnancov pri práci, pri ktorej dochádza k expozícii chemickým faktorom, ak na základe posúdenia rizík podľa § 4 zistí riziko pre ich zdravie; súčasťou zdravotného dohľadu sú lekárske preventívne prehliadky.</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 Zdravotný dohľad sa musí zabezpečiť pred expozíciou a  v  pravidelných intervaloch počas expozície tak, aby bolo možné jeho výsledky zohľadniť pri uplatňovaní ochranných a preventívnych opatrení.</w:t>
            </w:r>
          </w:p>
          <w:p>
            <w:pPr>
              <w:pStyle w:val="EnvelopeReturn"/>
              <w:suppressAutoHyphens w:val="0"/>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(3) Zdravotný dohľad bude primeraný, ak</w:t>
            </w:r>
          </w:p>
          <w:p>
            <w:pPr>
              <w:numPr>
                <w:ilvl w:val="0"/>
                <w:numId w:val="36"/>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expozíciu zamestnanca nebezpečnému chemickému faktoru možno dať do príčinnej súvislosti so zisteným ochorením alebo škodlivým účinkom na zdravie,</w:t>
            </w:r>
          </w:p>
          <w:p>
            <w:pPr>
              <w:numPr>
                <w:ilvl w:val="0"/>
                <w:numId w:val="36"/>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je pravdepodobné, že ochorenie alebo škodlivý účinok na zdravie sa môže vyskytnúť za určitých pracovných podmienok,</w:t>
            </w:r>
          </w:p>
          <w:p>
            <w:pPr>
              <w:numPr>
                <w:ilvl w:val="0"/>
                <w:numId w:val="36"/>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vyšetrovacia technika predstavuje malé riziko pre zamestnancov,</w:t>
            </w:r>
          </w:p>
          <w:p>
            <w:pPr>
              <w:numPr>
                <w:ilvl w:val="0"/>
                <w:numId w:val="36"/>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existujú štandardné vyšetrovacie metódy na zisťovanie príznakov ochorení alebo škodlivých účinkov na</w:t>
            </w:r>
            <w:r>
              <w:rPr>
                <w:rStyle w:val="DefaultParagraphFont"/>
                <w:rFonts w:ascii="Times New Roman" w:hAnsi="Times New Roman" w:cs="Times New Roman"/>
                <w:szCs w:val="24"/>
              </w:rPr>
              <w:t xml:space="preserve"> zdravie.</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(4) Ak ide o prácu s  nebezpečnými chemickými faktormi, pre ktoré je ustanovená záväzná biologická medzná hodnota (§ 3 ods. 2), zdravotný dohľad sa musí vykonať v súlade s požiadavkami uvedenými v prílohe č. 2. Zamestnávateľ je povinný o tejto požiadavke informovať zamestnancov pred ich zaradením na prácu spojenú s expozíciou takýmto nebezpečným chemickým faktorom.</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Č:10</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tcBorders>
              <w:top w:val="nil"/>
              <w:left w:val="nil"/>
              <w:bottom w:val="nil"/>
              <w:right w:val="nil"/>
              <w:tl2br w:val="nil"/>
              <w:tr2bl w:val="nil"/>
            </w:tcBorders>
            <w:textDirection w:val="lrTb"/>
            <w:vAlign w:val="top"/>
          </w:tcPr>
          <w:p>
            <w:pPr>
              <w:jc w:val="both"/>
              <w:rPr>
                <w:rStyle w:val="WW8Num34z0"/>
                <w:rFonts w:ascii="Times New Roman" w:hAnsi="Times New Roman" w:cs="Times New Roman"/>
                <w:szCs w:val="24"/>
              </w:rPr>
            </w:pPr>
            <w:r>
              <w:rPr>
                <w:rStyle w:val="WW8Num34z0"/>
                <w:rFonts w:ascii="Times New Roman" w:hAnsi="Times New Roman" w:cs="Times New Roman"/>
                <w:szCs w:val="24"/>
              </w:rPr>
              <w:t>Členské štáty zavedú opatrenia, ktorými zabezpečia, aby sa o každom pracovníkovi, ktorý sa podrobuje zdravotnému dohľadu v súlade s požiadavkami odseku 1, vyhotovil a  aktualizoval individuálny zdravotný záznam a záznam o expozícii.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8Num18z3"/>
                <w:rFonts w:ascii="Times New Roman" w:hAnsi="Times New Roman" w:cs="Times New Roman"/>
                <w:szCs w:val="24"/>
              </w:rPr>
            </w:pPr>
            <w:r>
              <w:rPr>
                <w:rStyle w:val="WW8Num18z3"/>
                <w:rFonts w:ascii="Times New Roman" w:hAnsi="Times New Roman" w:cs="Times New Roman"/>
                <w:szCs w:val="24"/>
              </w:rPr>
              <w:t>§ 12</w:t>
            </w:r>
          </w:p>
          <w:p>
            <w:pPr>
              <w:jc w:val="center"/>
              <w:rPr>
                <w:rStyle w:val="WW8Num18z3"/>
                <w:rFonts w:ascii="Times New Roman" w:hAnsi="Times New Roman" w:cs="Times New Roman"/>
                <w:szCs w:val="24"/>
              </w:rPr>
            </w:pPr>
            <w:r>
              <w:rPr>
                <w:rStyle w:val="WW8Num18z3"/>
                <w:rFonts w:ascii="Times New Roman" w:hAnsi="Times New Roman" w:cs="Times New Roman"/>
                <w:szCs w:val="24"/>
              </w:rPr>
              <w:t>O: 5</w:t>
            </w:r>
          </w:p>
        </w:tc>
        <w:tc>
          <w:tcPr>
            <w:tcW w:w="0" w:type="auto"/>
            <w:gridSpan w:val="2"/>
            <w:tcBorders>
              <w:top w:val="nil"/>
              <w:left w:val="nil"/>
              <w:bottom w:val="nil"/>
              <w:right w:val="nil"/>
              <w:tl2br w:val="nil"/>
              <w:tr2bl w:val="nil"/>
            </w:tcBorders>
            <w:textDirection w:val="lrTb"/>
            <w:vAlign w:val="top"/>
          </w:tcPr>
          <w:p>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(5) Každý zamestnanec, u  ktorého sa vykonáva zdravotný dohľad, musí mať založený a aktualizovaný osobný zdravotný záznam a záznam o expozícii. Zdravotné záznamy a záznamy o expozícii obsahujú súhrn výsledkov z  vykonanej lekárskej preventívnej prehliadky, všetkých reprezentatívnych údajov o expozícii, biologického monitorovania</w:t>
            </w:r>
            <w:r>
              <w:rPr>
                <w:rStyle w:val="DefaultParagraphFont"/>
                <w:rFonts w:ascii="Times New Roman" w:hAnsi="Times New Roman" w:cs="Times New Roman"/>
                <w:szCs w:val="24"/>
              </w:rPr>
              <w:t xml:space="preserve"> </w:t>
            </w:r>
            <w:r>
              <w:rPr>
                <w:rStyle w:val="DefaultParagraphFont"/>
                <w:rFonts w:ascii="Times New Roman" w:hAnsi="Times New Roman" w:cs="Times New Roman"/>
                <w:szCs w:val="24"/>
              </w:rPr>
              <w:t>a skutočností dôležitých na posúdenie zdravotnej spôsobilosti na prácu.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Č:10</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tc>
        <w:tc>
          <w:tcPr>
            <w:tcW w:w="0" w:type="auto"/>
            <w:tcBorders>
              <w:top w:val="nil"/>
              <w:left w:val="nil"/>
              <w:bottom w:val="nil"/>
              <w:right w:val="nil"/>
              <w:tl2br w:val="nil"/>
              <w:tr2bl w:val="nil"/>
            </w:tcBorders>
            <w:textDirection w:val="lrTb"/>
            <w:vAlign w:val="top"/>
          </w:tcPr>
          <w:p>
            <w:pPr>
              <w:jc w:val="both"/>
              <w:rPr>
                <w:rStyle w:val="WW8Num26z0"/>
                <w:rFonts w:ascii="Times New Roman" w:hAnsi="Times New Roman" w:cs="Times New Roman"/>
                <w:szCs w:val="24"/>
              </w:rPr>
            </w:pPr>
            <w:r>
              <w:rPr>
                <w:rStyle w:val="WW8Num26z0"/>
                <w:rFonts w:ascii="Times New Roman" w:hAnsi="Times New Roman" w:cs="Times New Roman"/>
                <w:szCs w:val="24"/>
              </w:rPr>
              <w:t xml:space="preserve">Zdravotné záznamy a záznamy o expozícii obsahujú súhrn výsledkov z vykonaného zdravotného dohľadu a zo všetkých reprezentatívnych údajov z monitorovania expozície jednotlivca. Biologické monitorovanie a s ním súvisiace požiadavky môžu tvoriť súčasť zdravotného dohľadu. </w:t>
            </w:r>
          </w:p>
          <w:p>
            <w:pPr>
              <w:jc w:val="both"/>
              <w:rPr>
                <w:rStyle w:val="WW8Num26z0"/>
                <w:rFonts w:ascii="Times New Roman" w:hAnsi="Times New Roman" w:cs="Times New Roman"/>
                <w:szCs w:val="24"/>
              </w:rPr>
            </w:pPr>
          </w:p>
          <w:p>
            <w:pPr>
              <w:jc w:val="both"/>
              <w:rPr>
                <w:rStyle w:val="WW8Num26z0"/>
                <w:rFonts w:ascii="Times New Roman" w:hAnsi="Times New Roman" w:cs="Times New Roman"/>
                <w:szCs w:val="24"/>
              </w:rPr>
            </w:pPr>
            <w:r>
              <w:rPr>
                <w:rStyle w:val="WW8Num26z0"/>
                <w:rFonts w:ascii="Times New Roman" w:hAnsi="Times New Roman" w:cs="Times New Roman"/>
                <w:szCs w:val="24"/>
              </w:rPr>
              <w:t>Zdravotné záznamy a záznamy o expozícii sa uchovávajú vo vhodnej forme, aby umožňovali konzultácie aj s časovým odstupom, s ohľadom na dôvernosť úda</w:t>
            </w:r>
            <w:r>
              <w:rPr>
                <w:rStyle w:val="WW8Num26z0"/>
                <w:rFonts w:ascii="Times New Roman" w:hAnsi="Times New Roman" w:cs="Times New Roman"/>
                <w:szCs w:val="24"/>
              </w:rPr>
              <w:t>jov.</w:t>
            </w:r>
          </w:p>
          <w:p>
            <w:pPr>
              <w:jc w:val="both"/>
              <w:rPr>
                <w:rStyle w:val="WW8Num26z0"/>
                <w:rFonts w:ascii="Times New Roman" w:hAnsi="Times New Roman" w:cs="Times New Roman"/>
                <w:szCs w:val="24"/>
              </w:rPr>
            </w:pPr>
            <w:r>
              <w:rPr>
                <w:rStyle w:val="WW8Num26z0"/>
                <w:rFonts w:ascii="Times New Roman" w:hAnsi="Times New Roman" w:cs="Times New Roman"/>
                <w:szCs w:val="24"/>
              </w:rPr>
              <w:t xml:space="preserve">Kópie príslušných záznamov sa poskytnú na požiadanie kompetentnému úradu. </w:t>
            </w:r>
          </w:p>
          <w:p>
            <w:pPr>
              <w:jc w:val="both"/>
              <w:rPr>
                <w:rStyle w:val="WW8Num26z0"/>
                <w:rFonts w:ascii="Times New Roman" w:hAnsi="Times New Roman" w:cs="Times New Roman"/>
                <w:szCs w:val="24"/>
              </w:rPr>
            </w:pPr>
            <w:r>
              <w:rPr>
                <w:rStyle w:val="WW8Num26z0"/>
                <w:rFonts w:ascii="Times New Roman" w:hAnsi="Times New Roman" w:cs="Times New Roman"/>
                <w:szCs w:val="24"/>
              </w:rPr>
              <w:t>Jednotliví pracovníkovi na požiadanie bude mať prístup k zdravotným záznamom a záznamom o expozícii týkajúcim sa jeho osoby.</w:t>
            </w:r>
          </w:p>
          <w:p>
            <w:pPr>
              <w:jc w:val="both"/>
              <w:rPr>
                <w:rStyle w:val="WW8Num26z0"/>
                <w:rFonts w:ascii="Times New Roman" w:hAnsi="Times New Roman" w:cs="Times New Roman"/>
                <w:szCs w:val="24"/>
              </w:rPr>
            </w:pPr>
            <w:r>
              <w:rPr>
                <w:rStyle w:val="WW8Num26z0"/>
                <w:rFonts w:ascii="Times New Roman" w:hAnsi="Times New Roman" w:cs="Times New Roman"/>
                <w:szCs w:val="24"/>
              </w:rPr>
              <w:t>Ak podnik ukončí činnosť, zdravotné záznamy a zázna</w:t>
            </w:r>
            <w:r>
              <w:rPr>
                <w:rStyle w:val="WW8Num26z0"/>
                <w:rFonts w:ascii="Times New Roman" w:hAnsi="Times New Roman" w:cs="Times New Roman"/>
                <w:szCs w:val="24"/>
              </w:rPr>
              <w:t>my o expozícii sa poskytnú  kompetentnému úradu.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12</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6</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12</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7</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(6) Zdravotné záznamy a  záznamy o expozícii sa vedú a  uchovávajú 20 rokov od skončenia práce v riziku expozície nebezpečným chemickým faktorom. Údaje z týchto záznamov sa sprístupňujú na požiadanie príslušnému orgánu verejného zdravotníctva. </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pStyle w:val="abc"/>
              <w:tabs>
                <w:tab w:val="clear" w:pos="360"/>
                <w:tab w:val="clear" w:pos="680"/>
              </w:tabs>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(7) Po ukončení činnosti zdravotné záznamy a záznamy o expozícii zamestnávateľ odovzdá príslušnému orgánu verejného </w:t>
            </w:r>
            <w:r>
              <w:rPr>
                <w:rStyle w:val="DefaultParagraphFont"/>
                <w:rFonts w:ascii="Times New Roman" w:hAnsi="Times New Roman" w:cs="Times New Roman"/>
                <w:szCs w:val="24"/>
              </w:rPr>
              <w:t>zdravotníctva.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Č:10</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tcBorders>
              <w:top w:val="nil"/>
              <w:left w:val="nil"/>
              <w:bottom w:val="nil"/>
              <w:right w:val="nil"/>
              <w:tl2br w:val="nil"/>
              <w:tr2bl w:val="nil"/>
            </w:tcBorders>
            <w:textDirection w:val="lrTb"/>
            <w:vAlign w:val="top"/>
          </w:tcPr>
          <w:p>
            <w:pPr>
              <w:jc w:val="both"/>
              <w:rPr>
                <w:rStyle w:val="WW8Num34z0"/>
                <w:rFonts w:ascii="Times New Roman" w:hAnsi="Times New Roman" w:cs="Times New Roman"/>
                <w:szCs w:val="24"/>
              </w:rPr>
            </w:pPr>
            <w:r>
              <w:rPr>
                <w:rStyle w:val="WW8Num34z0"/>
                <w:rFonts w:ascii="Times New Roman" w:hAnsi="Times New Roman" w:cs="Times New Roman"/>
                <w:szCs w:val="24"/>
              </w:rPr>
              <w:t>Ak sa na základe zdravotného dohľadu:</w:t>
            </w:r>
          </w:p>
          <w:p>
            <w:pPr>
              <w:jc w:val="both"/>
              <w:rPr>
                <w:rStyle w:val="WW8Num34z0"/>
                <w:rFonts w:ascii="Times New Roman" w:hAnsi="Times New Roman" w:cs="Times New Roman"/>
                <w:szCs w:val="24"/>
              </w:rPr>
            </w:pPr>
            <w:r>
              <w:rPr>
                <w:rStyle w:val="WW8Num34z0"/>
                <w:rFonts w:ascii="Times New Roman" w:hAnsi="Times New Roman" w:cs="Times New Roman"/>
                <w:szCs w:val="24"/>
              </w:rPr>
              <w:t>- zistí, že pracovník má identifikovateľné ochorenie alebo sa u neho prejavujú nepriaznivé zdravotné účinky, ktoré lekár alebo odborník pre pracovno-lekársku starostlivosť považujú za následok expozície nebezpečnému chemickému faktoru pri práci, alebo</w:t>
            </w:r>
          </w:p>
          <w:p>
            <w:pPr>
              <w:jc w:val="both"/>
              <w:rPr>
                <w:rStyle w:val="WW8Num34z0"/>
                <w:rFonts w:ascii="Times New Roman" w:hAnsi="Times New Roman" w:cs="Times New Roman"/>
                <w:szCs w:val="24"/>
              </w:rPr>
            </w:pPr>
            <w:r>
              <w:rPr>
                <w:rStyle w:val="WW8Num34z0"/>
                <w:rFonts w:ascii="Times New Roman" w:hAnsi="Times New Roman" w:cs="Times New Roman"/>
                <w:szCs w:val="24"/>
              </w:rPr>
              <w:t>- zistí, že bola prekročená záväzná biologická limitná hodnota,</w:t>
            </w:r>
          </w:p>
          <w:p>
            <w:pPr>
              <w:jc w:val="both"/>
              <w:rPr>
                <w:rStyle w:val="WW8Num34z0"/>
                <w:rFonts w:ascii="Times New Roman" w:hAnsi="Times New Roman" w:cs="Times New Roman"/>
                <w:szCs w:val="24"/>
              </w:rPr>
            </w:pPr>
            <w:r>
              <w:rPr>
                <w:rStyle w:val="WW8Num34z0"/>
                <w:rFonts w:ascii="Times New Roman" w:hAnsi="Times New Roman" w:cs="Times New Roman"/>
                <w:szCs w:val="24"/>
              </w:rPr>
              <w:t xml:space="preserve">lekár alebo iná príslušne kvalifikovaná osoba informuje pracovníka o výsledku, ktorý sa ho osobne týka, vrátane informácií </w:t>
            </w:r>
            <w:r>
              <w:rPr>
                <w:rStyle w:val="WW8Num34z0"/>
                <w:rFonts w:ascii="Times New Roman" w:hAnsi="Times New Roman" w:cs="Times New Roman"/>
                <w:szCs w:val="24"/>
              </w:rPr>
              <w:t>a poradenstva týkajúceho sa zdravotného dohľadu, ktorému by sa mal podrobiť po skončení expozície a</w:t>
            </w:r>
          </w:p>
          <w:p>
            <w:pPr>
              <w:jc w:val="both"/>
              <w:rPr>
                <w:rStyle w:val="WW8Num34z0"/>
                <w:rFonts w:ascii="Times New Roman" w:hAnsi="Times New Roman" w:cs="Times New Roman"/>
                <w:szCs w:val="24"/>
              </w:rPr>
            </w:pPr>
            <w:r>
              <w:rPr>
                <w:rStyle w:val="WW8Num34z0"/>
                <w:rFonts w:ascii="Times New Roman" w:hAnsi="Times New Roman" w:cs="Times New Roman"/>
                <w:szCs w:val="24"/>
              </w:rPr>
              <w:t>zamestnávateľ vykoná:</w:t>
            </w:r>
          </w:p>
          <w:p>
            <w:pPr>
              <w:jc w:val="both"/>
              <w:rPr>
                <w:rStyle w:val="WW8Num34z0"/>
                <w:rFonts w:ascii="Times New Roman" w:hAnsi="Times New Roman" w:cs="Times New Roman"/>
                <w:szCs w:val="24"/>
              </w:rPr>
            </w:pPr>
            <w:r>
              <w:rPr>
                <w:rStyle w:val="WW8Num34z0"/>
                <w:rFonts w:ascii="Times New Roman" w:hAnsi="Times New Roman" w:cs="Times New Roman"/>
                <w:szCs w:val="24"/>
              </w:rPr>
              <w:t>- revíziu posúdenia rizika uskutočneného podľa článku 4  ods. 1,</w:t>
            </w:r>
          </w:p>
          <w:p>
            <w:pPr>
              <w:jc w:val="both"/>
              <w:rPr>
                <w:rStyle w:val="WW8Num34z0"/>
                <w:rFonts w:ascii="Times New Roman" w:hAnsi="Times New Roman" w:cs="Times New Roman"/>
                <w:szCs w:val="24"/>
              </w:rPr>
            </w:pPr>
            <w:r>
              <w:rPr>
                <w:rStyle w:val="WW8Num34z0"/>
                <w:rFonts w:ascii="Times New Roman" w:hAnsi="Times New Roman" w:cs="Times New Roman"/>
                <w:szCs w:val="24"/>
              </w:rPr>
              <w:t>- revíziu opatrení prijatých v zmysle článkov 5 a 6 na vylúčenie alebo zníženie rizika,</w:t>
            </w:r>
          </w:p>
          <w:p>
            <w:pPr>
              <w:jc w:val="both"/>
              <w:rPr>
                <w:rStyle w:val="WW8Num34z0"/>
                <w:rFonts w:ascii="Times New Roman" w:hAnsi="Times New Roman" w:cs="Times New Roman"/>
                <w:szCs w:val="24"/>
              </w:rPr>
            </w:pPr>
            <w:r>
              <w:rPr>
                <w:rStyle w:val="WW8Num34z0"/>
                <w:rFonts w:ascii="Times New Roman" w:hAnsi="Times New Roman" w:cs="Times New Roman"/>
                <w:szCs w:val="24"/>
              </w:rPr>
              <w:t>- zohľadní rady odborníka na pracovno-lekársku starostlivosť alebo inej príslušne kvalifikovanej osoby alebo kompetentného úradu pri uplatňovaní akýchkoľvek opatrení potrebných na vylúčenie alebo zníženie rizika v súlade s článkom 6, vrátane možnosti preložiť pracovníka na inú prácu, pri ktorej nie je riziko ďalšej expozície a</w:t>
            </w:r>
          </w:p>
          <w:p>
            <w:pPr>
              <w:jc w:val="both"/>
              <w:rPr>
                <w:rStyle w:val="WW8Num34z0"/>
                <w:rFonts w:ascii="Times New Roman" w:hAnsi="Times New Roman" w:cs="Times New Roman"/>
                <w:szCs w:val="24"/>
              </w:rPr>
            </w:pPr>
            <w:r>
              <w:rPr>
                <w:rStyle w:val="WW8Num34z0"/>
                <w:rFonts w:ascii="Times New Roman" w:hAnsi="Times New Roman" w:cs="Times New Roman"/>
                <w:szCs w:val="24"/>
              </w:rPr>
              <w:t xml:space="preserve">- zabezpečí priebežný zdravotný dohľad a kontrolu zdravotného stavu všetkých ostatných pracovníkov, ktorí boli podobne exponovaní. </w:t>
            </w:r>
          </w:p>
          <w:p>
            <w:pPr>
              <w:jc w:val="both"/>
              <w:rPr>
                <w:rStyle w:val="WW8Num34z0"/>
                <w:rFonts w:ascii="Times New Roman" w:hAnsi="Times New Roman" w:cs="Times New Roman"/>
                <w:szCs w:val="24"/>
              </w:rPr>
            </w:pPr>
          </w:p>
          <w:p>
            <w:pPr>
              <w:jc w:val="both"/>
              <w:rPr>
                <w:rStyle w:val="WW8Num34z0"/>
                <w:rFonts w:ascii="Times New Roman" w:hAnsi="Times New Roman" w:cs="Times New Roman"/>
                <w:szCs w:val="24"/>
              </w:rPr>
            </w:pPr>
            <w:r>
              <w:rPr>
                <w:rStyle w:val="WW8Num34z0"/>
                <w:rFonts w:ascii="Times New Roman" w:hAnsi="Times New Roman" w:cs="Times New Roman"/>
                <w:szCs w:val="24"/>
              </w:rPr>
              <w:t>V takýchto prípadoch kompetentn</w:t>
            </w:r>
            <w:r>
              <w:rPr>
                <w:rStyle w:val="WW8Num34z0"/>
                <w:rFonts w:ascii="Times New Roman" w:hAnsi="Times New Roman" w:cs="Times New Roman"/>
                <w:szCs w:val="24"/>
              </w:rPr>
              <w:t>ý lekár alebo odborník na pracovno-lekársku starostlivosť alebo kompetentný úrad môžu navrhnúť, aby exponované osoby podrobili lekárskej prehliadke.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8Num18z3"/>
                <w:rFonts w:ascii="Times New Roman" w:hAnsi="Times New Roman" w:cs="Times New Roman"/>
                <w:szCs w:val="24"/>
              </w:rPr>
            </w:pPr>
            <w:r>
              <w:rPr>
                <w:rStyle w:val="WW8Num18z3"/>
                <w:rFonts w:ascii="Times New Roman" w:hAnsi="Times New Roman" w:cs="Times New Roman"/>
                <w:szCs w:val="24"/>
              </w:rPr>
              <w:t>§ 12</w:t>
            </w:r>
          </w:p>
          <w:p>
            <w:pPr>
              <w:jc w:val="center"/>
              <w:rPr>
                <w:rStyle w:val="WW8Num18z3"/>
                <w:rFonts w:ascii="Times New Roman" w:hAnsi="Times New Roman" w:cs="Times New Roman"/>
                <w:szCs w:val="24"/>
              </w:rPr>
            </w:pPr>
            <w:r>
              <w:rPr>
                <w:rStyle w:val="WW8Num18z3"/>
                <w:rFonts w:ascii="Times New Roman" w:hAnsi="Times New Roman" w:cs="Times New Roman"/>
                <w:szCs w:val="24"/>
              </w:rPr>
              <w:t>O: 8</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 12</w:t>
            </w:r>
          </w:p>
          <w:p>
            <w:pPr>
              <w:jc w:val="center"/>
              <w:rPr>
                <w:rStyle w:val="WW8Num18z3"/>
                <w:rFonts w:ascii="Times New Roman" w:hAnsi="Times New Roman" w:cs="Times New Roman"/>
                <w:szCs w:val="24"/>
              </w:rPr>
            </w:pPr>
            <w:r>
              <w:rPr>
                <w:rStyle w:val="WW8Num18z3"/>
                <w:rFonts w:ascii="Times New Roman" w:hAnsi="Times New Roman" w:cs="Times New Roman"/>
                <w:szCs w:val="24"/>
              </w:rPr>
              <w:t>O:9</w:t>
            </w:r>
          </w:p>
          <w:p>
            <w:pPr>
              <w:jc w:val="center"/>
              <w:rPr>
                <w:rStyle w:val="WW8Num18z3"/>
                <w:rFonts w:ascii="Times New Roman" w:hAnsi="Times New Roman" w:cs="Times New Roman"/>
                <w:szCs w:val="24"/>
              </w:rPr>
            </w:pPr>
            <w:r>
              <w:rPr>
                <w:rStyle w:val="WW8Num18z3"/>
                <w:rFonts w:ascii="Times New Roman" w:hAnsi="Times New Roman" w:cs="Times New Roman"/>
                <w:szCs w:val="24"/>
              </w:rPr>
              <w:t>P: a)</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P: b)</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P: c)</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 xml:space="preserve">P: d) </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r>
              <w:rPr>
                <w:rStyle w:val="WW8Num18z3"/>
                <w:rFonts w:ascii="Times New Roman" w:hAnsi="Times New Roman" w:cs="Times New Roman"/>
                <w:szCs w:val="24"/>
              </w:rPr>
              <w:t xml:space="preserve">  </w:t>
            </w:r>
          </w:p>
          <w:p>
            <w:pPr>
              <w:jc w:val="center"/>
              <w:rPr>
                <w:rStyle w:val="WW8Num18z3"/>
                <w:rFonts w:ascii="Times New Roman" w:hAnsi="Times New Roman" w:cs="Times New Roman"/>
                <w:szCs w:val="24"/>
              </w:rPr>
            </w:pPr>
            <w:r>
              <w:rPr>
                <w:rStyle w:val="WW8Num18z3"/>
                <w:rFonts w:ascii="Times New Roman" w:hAnsi="Times New Roman" w:cs="Times New Roman"/>
                <w:szCs w:val="24"/>
              </w:rPr>
              <w:t>§ 12</w:t>
            </w:r>
          </w:p>
          <w:p>
            <w:pPr>
              <w:jc w:val="center"/>
              <w:rPr>
                <w:rStyle w:val="WW8Num18z3"/>
                <w:rFonts w:ascii="Times New Roman" w:hAnsi="Times New Roman" w:cs="Times New Roman"/>
                <w:szCs w:val="24"/>
              </w:rPr>
            </w:pPr>
            <w:r>
              <w:rPr>
                <w:rStyle w:val="WW8Num18z3"/>
                <w:rFonts w:ascii="Times New Roman" w:hAnsi="Times New Roman" w:cs="Times New Roman"/>
                <w:szCs w:val="24"/>
              </w:rPr>
              <w:t>O:10</w:t>
            </w: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p>
            <w:pPr>
              <w:jc w:val="center"/>
              <w:rPr>
                <w:rStyle w:val="WW8Num18z3"/>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(8) Ak sa na základe zdravotného dohľadu zistí u zamestnanca ochorenie alebo škodlivé zdravotné účinky, ktoré lekár vykonávajúci zdravotný dohľad považuje za následok expozície nebezpečnému chemickému faktoru, alebo ak sa zistí prekročenie záväznej biologickej medznej hodnoty, lekár vykonávajúci zdravotný dohľad informuje zamestnanca o výsledkoch, vrátane odporúčania týkajúceho sa zdravotného dohľadu, ktorému by sa mal zamestnanec podrobiť po skončení práce v riziku expozície nebezpeč</w:t>
            </w:r>
            <w:r>
              <w:rPr>
                <w:rStyle w:val="DefaultParagraphFont"/>
                <w:rFonts w:ascii="Times New Roman" w:hAnsi="Times New Roman" w:cs="Times New Roman"/>
                <w:szCs w:val="24"/>
              </w:rPr>
              <w:t>nému chemickému faktoru.</w:t>
            </w:r>
          </w:p>
          <w:p>
            <w:pPr>
              <w:pStyle w:val="Normlny"/>
              <w:jc w:val="both"/>
              <w:rPr>
                <w:rStyle w:val="DefaultParagraphFont"/>
                <w:rFonts w:ascii="Times New Roman" w:hAnsi="Times New Roman" w:cs="Times New Roman"/>
                <w:szCs w:val="24"/>
              </w:rPr>
            </w:pPr>
          </w:p>
          <w:p>
            <w:pPr>
              <w:pStyle w:val="Normlny"/>
              <w:jc w:val="both"/>
              <w:rPr>
                <w:rStyle w:val="DefaultParagraphFont"/>
                <w:rFonts w:ascii="Times New Roman" w:hAnsi="Times New Roman" w:cs="Times New Roman"/>
                <w:szCs w:val="24"/>
              </w:rPr>
            </w:pPr>
          </w:p>
          <w:p>
            <w:pPr>
              <w:pStyle w:val="Normlny"/>
              <w:jc w:val="both"/>
              <w:rPr>
                <w:rStyle w:val="DefaultParagraphFont"/>
                <w:rFonts w:ascii="Times New Roman" w:hAnsi="Times New Roman" w:cs="Times New Roman"/>
                <w:szCs w:val="24"/>
              </w:rPr>
            </w:pPr>
          </w:p>
          <w:p>
            <w:pPr>
              <w:pStyle w:val="Normlny"/>
              <w:jc w:val="both"/>
              <w:rPr>
                <w:rStyle w:val="DefaultParagraphFont"/>
                <w:rFonts w:ascii="Times New Roman" w:hAnsi="Times New Roman" w:cs="Times New Roman"/>
                <w:szCs w:val="24"/>
              </w:rPr>
            </w:pPr>
          </w:p>
          <w:p>
            <w:pPr>
              <w:pStyle w:val="Normlny"/>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(9) Zamestnávateľ na základe zistenia podľa odseku 8</w:t>
            </w:r>
          </w:p>
          <w:p>
            <w:pPr>
              <w:numPr>
                <w:ilvl w:val="0"/>
                <w:numId w:val="29"/>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vykoná revíziu posúdenia rizika  podľa § 4, </w:t>
            </w:r>
          </w:p>
          <w:p>
            <w:pPr>
              <w:numPr>
                <w:ilvl w:val="0"/>
                <w:numId w:val="29"/>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vykoná revíziu opatrení prijatých podľa § 5 a 6 s cieľom vylúčiť alebo znížiť riziká,</w:t>
            </w:r>
          </w:p>
          <w:p>
            <w:pPr>
              <w:numPr>
                <w:ilvl w:val="0"/>
                <w:numId w:val="29"/>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zohľadní odporúčanie lekára vykonávajúceho zdravotný dohľad alebo príslušného orgánu verejného zdravotníctva pri uplatňovaní akýchkoľvek ochranných a preventívnych opatrení, vrátane možnosti preložiť zamestnanca na inú prácu, pri ktorej nie je riziko ďalšej expozície, </w:t>
            </w:r>
          </w:p>
          <w:p>
            <w:pPr>
              <w:numPr>
                <w:ilvl w:val="0"/>
                <w:numId w:val="29"/>
              </w:numPr>
              <w:tabs>
                <w:tab w:val="left" w:pos="360"/>
              </w:tabs>
              <w:ind w:left="3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zabezpečí zdravotný dohľad u</w:t>
            </w:r>
            <w:r>
              <w:rPr>
                <w:rStyle w:val="DefaultParagraphFont"/>
                <w:rFonts w:ascii="Times New Roman" w:hAnsi="Times New Roman" w:cs="Times New Roman"/>
                <w:szCs w:val="24"/>
              </w:rPr>
              <w:t> všetkých zamestnancov, ktorí boli podobne exponovaní.</w:t>
            </w:r>
          </w:p>
          <w:p>
            <w:pPr>
              <w:jc w:val="both"/>
              <w:rPr>
                <w:rStyle w:val="DefaultParagraphFont"/>
                <w:rFonts w:ascii="Times New Roman" w:hAnsi="Times New Roman" w:cs="Times New Roman"/>
                <w:szCs w:val="24"/>
              </w:rPr>
            </w:pPr>
          </w:p>
          <w:p>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(10) V prípadoch ustanovených v odseku 8 lekár vykonávajúci zdravotný dohľad môže navrhnúť, aby sa exponovaní zamestnanci podrobili lekárskej preventívnej prehliadke, ak ju už nenariadil príslušný org</w:t>
            </w:r>
            <w:r>
              <w:rPr>
                <w:rStyle w:val="DefaultParagraphFont"/>
                <w:rFonts w:ascii="Times New Roman" w:hAnsi="Times New Roman" w:cs="Times New Roman"/>
                <w:szCs w:val="24"/>
              </w:rPr>
              <w:t>án verejného zdravotníctva.</w:t>
            </w:r>
          </w:p>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Č:11</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Konzultácie a účasť pracovníkov</w:t>
            </w:r>
            <w:r>
              <w:rPr>
                <w:rStyle w:val="DefaultParagraphFont"/>
                <w:rFonts w:ascii="Times New Roman" w:hAnsi="Times New Roman" w:cs="Times New Roman"/>
                <w:szCs w:val="24"/>
                <w:lang w:val="sk-SK"/>
              </w:rPr>
              <w:t xml:space="preserve"> Konzultácie a účasť pracovníkov a/alebo ich zástupcov sa budú uskutočňovať podľa článku 11 smernice  89/391/EHS v záležitostiach, obsiahnutých v tejto smernici, vrátane jej príloh</w:t>
            </w:r>
            <w:r>
              <w:rPr>
                <w:rStyle w:val="DefaultParagraphFont"/>
                <w:rFonts w:ascii="Times New Roman" w:hAnsi="Times New Roman" w:cs="Times New Roman"/>
                <w:szCs w:val="24"/>
                <w:lang w:val="sk-SK"/>
              </w:rPr>
              <w:t>.</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jc w:val="center"/>
              <w:rPr>
                <w:rStyle w:val="WW8Num18z3"/>
                <w:rFonts w:ascii="Times New Roman" w:hAnsi="Times New Roman" w:cs="Times New Roman"/>
                <w:szCs w:val="24"/>
              </w:rPr>
            </w:pPr>
            <w:r>
              <w:rPr>
                <w:rStyle w:val="WW8Num18z3"/>
                <w:rFonts w:ascii="Times New Roman" w:hAnsi="Times New Roman" w:cs="Times New Roman"/>
                <w:szCs w:val="24"/>
              </w:rPr>
              <w:t>§ 13</w:t>
            </w:r>
          </w:p>
        </w:tc>
        <w:tc>
          <w:tcPr>
            <w:tcW w:w="0" w:type="auto"/>
            <w:gridSpan w:val="2"/>
            <w:tcBorders>
              <w:top w:val="nil"/>
              <w:left w:val="nil"/>
              <w:bottom w:val="nil"/>
              <w:right w:val="nil"/>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b/>
                <w:szCs w:val="24"/>
              </w:rPr>
              <w:t>Konzultácie a  účasť zamestnancov</w:t>
            </w:r>
            <w:r>
              <w:rPr>
                <w:rStyle w:val="DefaultParagraphFont"/>
                <w:rFonts w:ascii="Times New Roman" w:hAnsi="Times New Roman" w:cs="Times New Roman"/>
                <w:szCs w:val="24"/>
              </w:rPr>
              <w:t xml:space="preserve"> Konzultácie a účasť zamestnancov a zástupcov zamestnancov pre bezpečnosť a ochranu zdravia pri práci pri riešení  problematiky bezpečnosti a ochrany zdravia pri práci v riziku expozície chemickým faktorom sa vykonávajú  podľa osobitného predpisu.</w:t>
            </w:r>
            <w:r>
              <w:rPr>
                <w:rStyle w:val="DefaultParagraphFont"/>
                <w:rFonts w:ascii="Times New Roman" w:hAnsi="Times New Roman" w:cs="Times New Roman"/>
                <w:szCs w:val="24"/>
                <w:vertAlign w:val="superscript"/>
              </w:rPr>
              <w:t>26</w:t>
            </w:r>
            <w:r>
              <w:rPr>
                <w:rStyle w:val="DefaultParagraphFont"/>
                <w:rFonts w:ascii="Times New Roman" w:hAnsi="Times New Roman" w:cs="Times New Roman"/>
                <w:szCs w:val="24"/>
              </w:rPr>
              <w:t>)</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w:t>
            </w:r>
          </w:p>
          <w:p>
            <w:pPr>
              <w:jc w:val="both"/>
              <w:rPr>
                <w:rStyle w:val="DefaultParagraphFont"/>
                <w:rFonts w:ascii="Times New Roman" w:hAnsi="Times New Roman" w:cs="Times New Roman"/>
                <w:b/>
                <w:szCs w:val="24"/>
              </w:rPr>
            </w:pPr>
            <w:r>
              <w:rPr>
                <w:rStyle w:val="FootnoteReference"/>
                <w:rFonts w:ascii="Times New Roman" w:hAnsi="Times New Roman" w:cs="Times New Roman"/>
                <w:szCs w:val="24"/>
              </w:rPr>
              <w:t>2</w:t>
            </w:r>
            <w:r>
              <w:rPr>
                <w:rStyle w:val="DefaultParagraphFont"/>
                <w:rFonts w:ascii="Times New Roman" w:hAnsi="Times New Roman" w:cs="Times New Roman"/>
                <w:szCs w:val="24"/>
                <w:vertAlign w:val="superscript"/>
              </w:rPr>
              <w:t>6</w:t>
            </w:r>
            <w:r>
              <w:rPr>
                <w:rStyle w:val="DefaultParagraphFont"/>
                <w:rFonts w:ascii="Times New Roman" w:hAnsi="Times New Roman" w:cs="Times New Roman"/>
                <w:szCs w:val="24"/>
              </w:rPr>
              <w:t>) § 8e</w:t>
            </w:r>
            <w:r>
              <w:rPr>
                <w:rStyle w:val="DefaultParagraphFont"/>
                <w:rFonts w:ascii="Times New Roman" w:hAnsi="Times New Roman" w:cs="Times New Roman"/>
                <w:color w:val="FF0000"/>
                <w:szCs w:val="24"/>
              </w:rPr>
              <w:t xml:space="preserve"> </w:t>
            </w:r>
            <w:r>
              <w:rPr>
                <w:rStyle w:val="DefaultParagraphFont"/>
                <w:rFonts w:ascii="Times New Roman" w:hAnsi="Times New Roman" w:cs="Times New Roman"/>
                <w:szCs w:val="24"/>
              </w:rPr>
              <w:t>zákona Národnej rady Slovenskej republiky č. 330/1996 Z. z.  v znení neskorších predpisov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Č:12</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Prispôsobenie príloh, príprava a prijímanie technických predpisov.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abc"/>
              <w:tabs>
                <w:tab w:val="clear" w:pos="360"/>
                <w:tab w:val="clear" w:pos="680"/>
              </w:tabs>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Č:12</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Prispôsobenia príloh čisto technického charakteru v súlade s:</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prijímaním smerníc v oblasti technického    zosúladenia a normalizácie týkajúcich sa   chemických  faktorov, a/alebo</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technickým pokrokom, zmenami v medzinárodných normách alebo špecifikáciách a novými objavmi  týkajúcimi sa chemických faktorov,</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sa prijmú v súlade s postupom ustanoveným v článku 17 smernice 89/391/EHS.</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p>
        </w:tc>
        <w:tc>
          <w:tcPr>
            <w:tcW w:w="0" w:type="auto"/>
            <w:gridSpan w:val="2"/>
            <w:tcBorders>
              <w:top w:val="nil"/>
              <w:left w:val="nil"/>
              <w:bottom w:val="nil"/>
              <w:right w:val="nil"/>
              <w:tl2br w:val="nil"/>
              <w:tr2bl w:val="nil"/>
            </w:tcBorders>
            <w:textDirection w:val="lrTb"/>
            <w:vAlign w:val="top"/>
          </w:tcPr>
          <w:p>
            <w:pPr>
              <w:pStyle w:val="abc"/>
              <w:tabs>
                <w:tab w:val="clear" w:pos="360"/>
                <w:tab w:val="clear" w:pos="680"/>
              </w:tabs>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Č:12</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Komisia vypracuje praktické predpisy nezáväzného charakteru. Tiet</w:t>
            </w:r>
            <w:r>
              <w:rPr>
                <w:rStyle w:val="DefaultParagraphFont"/>
                <w:rFonts w:ascii="Times New Roman" w:hAnsi="Times New Roman" w:cs="Times New Roman"/>
                <w:szCs w:val="24"/>
                <w:lang w:val="sk-SK"/>
              </w:rPr>
              <w:t xml:space="preserve">o predpisy sa budú týkať tém uvedených v článkoch 3, 4, 5 a 6, a prílohy II, oddiel 1. </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Komisia  najprv konzultuje s Poradným výborom pre bezpečnosť, hygienu a ochranu zdravia pri práci v súlade so smernicou 74/325/EHS.</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V kontexte uplatňovania tejto smernice členské štáty, pokiaľ je to možné, zohľadnia tieto predpisy pri vypracovávaní svojej vnútroštátnej politiky ochrany zdravia a bezpečnosti pracovníkov.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WW8Num18z3"/>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BodyTextIndent"/>
              <w:spacing w:after="0"/>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Č:13</w:t>
            </w:r>
          </w:p>
        </w:tc>
        <w:tc>
          <w:tcPr>
            <w:tcW w:w="0" w:type="auto"/>
            <w:tcBorders>
              <w:top w:val="nil"/>
              <w:left w:val="nil"/>
              <w:bottom w:val="nil"/>
              <w:right w:val="nil"/>
              <w:tl2br w:val="nil"/>
              <w:tr2bl w:val="nil"/>
            </w:tcBorders>
            <w:textDirection w:val="lrTb"/>
            <w:vAlign w:val="top"/>
          </w:tcPr>
          <w:p>
            <w:pPr>
              <w:jc w:val="both"/>
              <w:rPr>
                <w:rStyle w:val="DefaultParagraphFont"/>
                <w:rFonts w:ascii="Times New Roman" w:hAnsi="Times New Roman" w:cs="Times New Roman"/>
                <w:b/>
                <w:szCs w:val="24"/>
              </w:rPr>
            </w:pPr>
            <w:r>
              <w:rPr>
                <w:rStyle w:val="DefaultParagraphFont"/>
                <w:rFonts w:ascii="Times New Roman" w:hAnsi="Times New Roman" w:cs="Times New Roman"/>
                <w:b/>
                <w:szCs w:val="24"/>
              </w:rPr>
              <w:t>Zrušenie, zmeny a doplnky predchádzajúcich smerníc</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Smernice 80</w:t>
            </w:r>
            <w:r>
              <w:rPr>
                <w:rStyle w:val="DefaultParagraphFont"/>
                <w:rFonts w:ascii="Times New Roman" w:hAnsi="Times New Roman" w:cs="Times New Roman"/>
                <w:szCs w:val="24"/>
                <w:lang w:val="sk-SK"/>
              </w:rPr>
              <w:t>/1107/EHS,  82/605/EHS a 88/364/EHS sa zrušia v deň uvedený v článku 14  ods. 1.</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 až c)</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Smernica Rady  83/477/EHS z 19. septembra 1983 o ochrane pracovníkov pred rizikami súvisiacimi s expozíciou azbestu pri práci (druhá individuá</w:t>
            </w:r>
            <w:r>
              <w:rPr>
                <w:rStyle w:val="DefaultParagraphFont"/>
                <w:rFonts w:ascii="Times New Roman" w:hAnsi="Times New Roman" w:cs="Times New Roman"/>
                <w:szCs w:val="24"/>
                <w:lang w:val="sk-SK"/>
              </w:rPr>
              <w:t>lna smernica v zmysle článku 8 smernice 80/1107/EHS)  (21), sa mení a dopĺňa nasledovne:</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a) v prvej vete článku 1 (1) sa vypúšťajú nasledujúce slová: </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”ktorá je druhou individuálnou smernicou v zmysle článku 8 smernice 80/1107/EHS”;</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b) Článok 9 (2) sa nahr</w:t>
            </w:r>
            <w:r>
              <w:rPr>
                <w:rStyle w:val="DefaultParagraphFont"/>
                <w:rFonts w:ascii="Times New Roman" w:hAnsi="Times New Roman" w:cs="Times New Roman"/>
                <w:szCs w:val="24"/>
                <w:lang w:val="sk-SK"/>
              </w:rPr>
              <w:t>adí takto:</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Zmeny a doplnky potrebné na prispôsobenie príloh tejto smernice technickému pokroku sa prijmú v súlade s postupom ustanoveným v článku 17 smernice Rady 89/391/EHS z 12. júna 1989 o zavádzaní opatrení  na podporu zlepšovania v oblasti bezpečnosti</w:t>
            </w:r>
            <w:r>
              <w:rPr>
                <w:rStyle w:val="DefaultParagraphFont"/>
                <w:rFonts w:ascii="Times New Roman" w:hAnsi="Times New Roman" w:cs="Times New Roman"/>
                <w:szCs w:val="24"/>
                <w:lang w:val="sk-SK"/>
              </w:rPr>
              <w:t xml:space="preserve"> a  ochrany zdravia pracovníkov na pracovisku (</w:t>
            </w:r>
            <w:r>
              <w:rPr>
                <w:rStyle w:val="DefaultParagraphFont"/>
                <w:rFonts w:ascii="Symbol" w:hAnsi="Symbol" w:cs="Times New Roman"/>
                <w:szCs w:val="24"/>
                <w:lang w:val="sk-SK"/>
              </w:rPr>
              <w:t>*</w:t>
            </w: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r>
              <w:rPr>
                <w:rStyle w:val="DefaultParagraphFont"/>
                <w:rFonts w:ascii="Symbol" w:hAnsi="Symbol" w:cs="Times New Roman"/>
                <w:szCs w:val="24"/>
                <w:lang w:val="sk-SK"/>
              </w:rPr>
              <w:t>*</w:t>
            </w:r>
            <w:r>
              <w:rPr>
                <w:rStyle w:val="DefaultParagraphFont"/>
                <w:rFonts w:ascii="Times New Roman" w:hAnsi="Times New Roman" w:cs="Times New Roman"/>
                <w:szCs w:val="24"/>
                <w:lang w:val="sk-SK"/>
              </w:rPr>
              <w:t>) OJ L 183, 29. 6. 1989, s. 1.;</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c) v druhom pododseku článku 15 (1) slová  ”v súlade s postupom ustanoveným v článku 10 smernice 80/1107/EHS”  sa nahradia slovami   ”v súlade s postupom ustanoveným v člá</w:t>
            </w:r>
            <w:r>
              <w:rPr>
                <w:rStyle w:val="DefaultParagraphFont"/>
                <w:rFonts w:ascii="Times New Roman" w:hAnsi="Times New Roman" w:cs="Times New Roman"/>
                <w:szCs w:val="24"/>
                <w:lang w:val="sk-SK"/>
              </w:rPr>
              <w:t>nku 17 smernice 89/391/EHS”.</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P:a) a b)</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Smernica Rady 86/188/EHS z 12. mája 1986 o ochrane pracovníkov pred rizikami      spojenými s expozíciou hluku pri práci (22)  sa mení a dopĺňa nasledovne:</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 v článku 1 (1) sa vypúšťajú nasledu</w:t>
            </w:r>
            <w:r>
              <w:rPr>
                <w:rStyle w:val="DefaultParagraphFont"/>
                <w:rFonts w:ascii="Times New Roman" w:hAnsi="Times New Roman" w:cs="Times New Roman"/>
                <w:szCs w:val="24"/>
                <w:lang w:val="sk-SK"/>
              </w:rPr>
              <w:t>júce slová:</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”ktorá je treťou individuálnou smernicou v zmysle smernice 80/1107/EHS”;</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b) v článku 12 (2) sa druhý pododsek nahradí takto:</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”Prílohy I a II sa prispôsobia technickému pokroku v súlade s postupom ustanoveným v článku 17 smernice rady 89/391/EHS z 12. júna 1989 o zavádzaní opatrení na podporu zlepšovania v oblasti bezpečnosti a ochrany zdravia pracovníkov na pracovisku (</w:t>
            </w:r>
            <w:r>
              <w:rPr>
                <w:rStyle w:val="DefaultParagraphFont"/>
                <w:rFonts w:ascii="Symbol" w:hAnsi="Symbol" w:cs="Times New Roman"/>
                <w:szCs w:val="24"/>
                <w:lang w:val="sk-SK"/>
              </w:rPr>
              <w:t>*</w:t>
            </w:r>
            <w:r>
              <w:rPr>
                <w:rStyle w:val="DefaultParagraphFont"/>
                <w:rFonts w:ascii="Times New Roman" w:hAnsi="Times New Roman" w:cs="Times New Roman"/>
                <w:szCs w:val="24"/>
                <w:lang w:val="sk-SK"/>
              </w:rPr>
              <w:t>).</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r>
              <w:rPr>
                <w:rStyle w:val="DefaultParagraphFont"/>
                <w:rFonts w:ascii="Symbol" w:hAnsi="Symbol" w:cs="Times New Roman"/>
                <w:szCs w:val="24"/>
                <w:lang w:val="sk-SK"/>
              </w:rPr>
              <w:t>*</w:t>
            </w:r>
            <w:r>
              <w:rPr>
                <w:rStyle w:val="DefaultParagraphFont"/>
                <w:rFonts w:ascii="Times New Roman" w:hAnsi="Times New Roman" w:cs="Times New Roman"/>
                <w:szCs w:val="24"/>
                <w:lang w:val="sk-SK"/>
              </w:rPr>
              <w:t>)  OJ L 183, 29. 6. 1989, s. 1.</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O:4</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Každý iný odkaz v smernici 83/477/EHS a smernici 86/188/EHS na smernicu  80/1107/EHS je neplatný odo dňa zrušenia uvedenej smernice.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Č:13</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O:5</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Smernice č. 91/322/EHS a č. 96/94/ES zostávajú v platnosti.</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Č:14</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ZÁVEREČNÉ USTANOVENIA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Č:14</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O:1</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Členské štáty uvedú najneskôr do 5. mája 2001 do platnosti zákony, predpisy a administratívne opatrenia potrebné na dosiahnutie súladu s touto smernicou. Bezodkladne budú o tom informovať Komisiu. </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Keď členské štáty prijmú tieto opatrenia, tieto budú obsahovať odkazy na túto smernicu alebo budú doplnené o takýto odkaz pri príležitosti ich úradného zverejnenia. Spôsob, akým sa tento odkaz vykoná, určia členské štáty.</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Č:14</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O:2</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Členské štáty oznámia Komisii znenie ustanovení vnútroštátneho práva, ktoré už prijali alebo prijmú v oblasti uprave</w:t>
            </w:r>
            <w:r>
              <w:rPr>
                <w:rStyle w:val="DefaultParagraphFont"/>
                <w:rFonts w:ascii="Times New Roman" w:hAnsi="Times New Roman" w:cs="Times New Roman"/>
                <w:szCs w:val="24"/>
                <w:lang w:val="sk-SK"/>
              </w:rPr>
              <w:t>nej touto smernicou.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Č:15</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Členské štáty podávajú Komisii každých päť rokov správu o praktickom uplatňovaní tejto smernice a uvedú stanoviská zamestnávateľov a pracovníkov. Komisia bude o tom informovať Európsky parlament, Radu a Hospodársky a </w:t>
            </w:r>
            <w:r>
              <w:rPr>
                <w:rStyle w:val="DefaultParagraphFont"/>
                <w:rFonts w:ascii="Times New Roman" w:hAnsi="Times New Roman" w:cs="Times New Roman"/>
                <w:szCs w:val="24"/>
                <w:lang w:val="sk-SK"/>
              </w:rPr>
              <w:t>sociálny výbor.</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Zákon č.575/2001 Z. z. o organizácii činnosti vlády a organizácii ústrednej štátnej správy</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Návrh zákona</w:t>
            </w:r>
          </w:p>
        </w:tc>
        <w:tc>
          <w:tcPr>
            <w:tcW w:w="0" w:type="auto"/>
            <w:gridSpan w:val="2"/>
            <w:tcBorders>
              <w:top w:val="nil"/>
              <w:left w:val="nil"/>
              <w:bottom w:val="nil"/>
              <w:right w:val="nil"/>
              <w:tl2br w:val="nil"/>
              <w:tr2bl w:val="nil"/>
            </w:tcBorders>
            <w:textDirection w:val="lrTb"/>
            <w:vAlign w:val="top"/>
          </w:tcPr>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35</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O:7</w:t>
            </w: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 5</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O: 4</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P: x)</w:t>
            </w:r>
          </w:p>
          <w:p>
            <w:pPr>
              <w:jc w:val="center"/>
              <w:rPr>
                <w:rStyle w:val="WW-Znakapoznmky"/>
                <w:rFonts w:ascii="Times New Roman" w:hAnsi="Times New Roman" w:cs="Times New Roman"/>
                <w:sz w:val="20"/>
                <w:szCs w:val="24"/>
              </w:rPr>
            </w:pPr>
            <w:r>
              <w:rPr>
                <w:rStyle w:val="WW-Znakapoznmky"/>
                <w:rFonts w:ascii="Times New Roman" w:hAnsi="Times New Roman" w:cs="Times New Roman"/>
                <w:sz w:val="20"/>
                <w:szCs w:val="24"/>
              </w:rPr>
              <w:t>B: 6</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 Ministerstvá a ostatné ústredné orgány štátnej správy v rozsahu vymedzenej pôsobnosti plnia vo</w:t>
            </w:r>
            <w:r>
              <w:rPr>
                <w:rStyle w:val="DefaultParagraphFont"/>
                <w:rFonts w:ascii="Times New Roman" w:hAnsi="Times New Roman" w:cs="Times New Roman"/>
                <w:szCs w:val="24"/>
                <w:lang w:val="sk-SK"/>
              </w:rPr>
              <w:t>či orgánom Európskych spoločenstiev a Európskej únie informačnú a oznamovaciu povinnosť, ktorá im vyplýva z právne záväzných aktov týchto orgánov.</w:t>
            </w:r>
          </w:p>
          <w:p>
            <w:pPr>
              <w:pStyle w:val="BodyText"/>
              <w:spacing w:before="0" w:after="0"/>
              <w:rPr>
                <w:rStyle w:val="DefaultParagraphFont"/>
                <w:rFonts w:ascii="Times New Roman" w:hAnsi="Times New Roman" w:cs="Times New Roman"/>
                <w:szCs w:val="24"/>
                <w:lang w:val="sk-SK"/>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Úrad verejného zdravotníctva</w:t>
            </w:r>
          </w:p>
          <w:p>
            <w:pPr>
              <w:pStyle w:val="BodyText"/>
              <w:spacing w:before="0" w:after="0"/>
              <w:rPr>
                <w:rStyle w:val="DefaultParagraphFont"/>
                <w:rFonts w:ascii="Times New Roman" w:hAnsi="Times New Roman" w:cs="Times New Roman"/>
                <w:szCs w:val="24"/>
              </w:rPr>
            </w:pPr>
            <w:r>
              <w:rPr>
                <w:rStyle w:val="DefaultParagraphFont"/>
                <w:rFonts w:ascii="Times New Roman" w:hAnsi="Times New Roman" w:cs="Times New Roman"/>
                <w:szCs w:val="24"/>
                <w:lang w:val="sk-SK"/>
              </w:rPr>
              <w:t xml:space="preserve">x) </w:t>
            </w:r>
            <w:r>
              <w:rPr>
                <w:rStyle w:val="DefaultParagraphFont"/>
                <w:rFonts w:ascii="Times New Roman" w:hAnsi="Times New Roman" w:cs="Times New Roman"/>
                <w:szCs w:val="24"/>
              </w:rPr>
              <w:t>v rámci spolupráce s Európskou komisiou (ďalej len “Komisia”) a s  členskými štátmi Európskej únie (ďalej len “členský štát”)</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6. zasiela Komisii v intervaloch požadovaných osobitnými predpismi</w:t>
            </w:r>
            <w:r>
              <w:rPr>
                <w:rStyle w:val="FootnoteReference"/>
                <w:rFonts w:ascii="Times New Roman" w:hAnsi="Times New Roman" w:cs="Times New Roman"/>
                <w:szCs w:val="24"/>
                <w:rtl w:val="0"/>
              </w:rPr>
              <w:footnoteReference w:customMarkFollows="1" w:id="4"/>
              <w:t xml:space="preserve">1</w:t>
            </w:r>
            <w:r>
              <w:rPr>
                <w:rStyle w:val="FootnoteReference"/>
                <w:rFonts w:ascii="Times New Roman" w:hAnsi="Times New Roman" w:cs="Times New Roman"/>
                <w:szCs w:val="24"/>
              </w:rPr>
              <w:t>2</w:t>
            </w:r>
            <w:r>
              <w:rPr>
                <w:rStyle w:val="DefaultParagraphFont"/>
                <w:rFonts w:ascii="Times New Roman" w:hAnsi="Times New Roman" w:cs="Times New Roman"/>
                <w:szCs w:val="24"/>
              </w:rPr>
              <w:t>) správu o praktickom uplatňovaní minimálnych zdravotných a bezpečnostných požiadaviek na ochranu zamestnancov pred rizikami súvisiacimi s expozíciou faktorom práce a pracovného prostredia spolu so stanoviskami sociálnych partnerov; správa obsahuje opis najlepšej praxe na zabezpečenie prevencie pred škodlivými účinkami týchto faktorov práce a pracovného prostredia na verejné zdravie a o</w:t>
            </w:r>
            <w:r>
              <w:rPr>
                <w:rStyle w:val="DefaultParagraphFont"/>
                <w:rFonts w:ascii="Times New Roman" w:hAnsi="Times New Roman" w:cs="Times New Roman"/>
                <w:szCs w:val="24"/>
              </w:rPr>
              <w:t>s</w:t>
            </w:r>
            <w:r>
              <w:rPr>
                <w:rStyle w:val="DefaultParagraphFont"/>
                <w:rFonts w:ascii="Times New Roman" w:hAnsi="Times New Roman" w:cs="Times New Roman"/>
                <w:szCs w:val="24"/>
              </w:rPr>
              <w:t>tatných foriem organizácie práce spolu s opatreniami, ktoré štát prijal, aby oboznámil ostatné členské štáty s poznatkami o tejto najlepšej praxi.</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Č:16</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Táto smernica nadobúda účinnosť v dvadsiaty deň po dni jej uverejnenia v Úradnom vestníku Európskych spoločenstiev.</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Č:17</w:t>
            </w: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Táto smernica je adresovaná členským štátom.</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PRÍLOHA 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Príloha č.1</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nil"/>
              <w:left w:val="nil"/>
              <w:bottom w:val="nil"/>
              <w:right w:val="nil"/>
              <w:tl2br w:val="nil"/>
              <w:tr2bl w:val="nil"/>
            </w:tcBorders>
            <w:textDirection w:val="lrTb"/>
            <w:vAlign w:val="top"/>
          </w:tcPr>
          <w:p>
            <w:pPr>
              <w:pStyle w:val="BodyText2"/>
              <w:spacing w:after="0"/>
              <w:rPr>
                <w:rStyle w:val="DefaultParagraphFont"/>
                <w:rFonts w:ascii="Times New Roman" w:hAnsi="Times New Roman" w:cs="Times New Roman"/>
                <w:b/>
                <w:szCs w:val="24"/>
              </w:rPr>
            </w:pPr>
            <w:r>
              <w:rPr>
                <w:rStyle w:val="DefaultParagraphFont"/>
                <w:rFonts w:ascii="Times New Roman" w:hAnsi="Times New Roman" w:cs="Times New Roman"/>
                <w:b/>
                <w:szCs w:val="24"/>
              </w:rPr>
              <w:t>ZOZNAM ZÁVÄZNÝCH LIMITNÝCH HODNÔT</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Anorganické olovo a jeho zlúčeniny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0,15 mg/m</w:t>
            </w:r>
            <w:r>
              <w:rPr>
                <w:rStyle w:val="DefaultParagraphFont"/>
                <w:rFonts w:ascii="Times New Roman" w:hAnsi="Times New Roman" w:cs="Times New Roman"/>
                <w:szCs w:val="24"/>
                <w:vertAlign w:val="superscript"/>
              </w:rPr>
              <w:t xml:space="preserve">3 </w:t>
            </w:r>
            <w:r>
              <w:rPr>
                <w:rStyle w:val="DefaultParagraphFont"/>
                <w:rFonts w:ascii="Times New Roman" w:hAnsi="Times New Roman" w:cs="Times New Roman"/>
                <w:szCs w:val="24"/>
              </w:rPr>
              <w:t>(3) (5)</w:t>
            </w:r>
          </w:p>
          <w:p>
            <w:pPr>
              <w:pStyle w:val="abc"/>
              <w:tabs>
                <w:tab w:val="clear" w:pos="360"/>
                <w:tab w:val="clear" w:pos="680"/>
              </w:tabs>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(3) Merané alebo vypočítané vo vzťahu  k osemhodinovému referenčnému času, časovo-vážený priemer.</w:t>
            </w: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 mg/m3 – miligramy na meter kubický vzduchu pri 20</w:t>
            </w:r>
            <w:r>
              <w:rPr>
                <w:rStyle w:val="DefaultParagraphFont"/>
                <w:rFonts w:ascii="Times New Roman" w:hAnsi="Times New Roman" w:cs="Times New Roman"/>
                <w:szCs w:val="24"/>
                <w:vertAlign w:val="superscript"/>
                <w:lang w:val="sk-SK"/>
              </w:rPr>
              <w:t>o</w:t>
            </w:r>
            <w:r>
              <w:rPr>
                <w:rStyle w:val="DefaultParagraphFont"/>
                <w:rFonts w:ascii="Times New Roman" w:hAnsi="Times New Roman" w:cs="Times New Roman"/>
                <w:szCs w:val="24"/>
                <w:lang w:val="sk-SK"/>
              </w:rPr>
              <w:t>C a 101,3 kPa</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ind w:right="-318"/>
              <w:rPr>
                <w:rStyle w:val="DefaultParagraphFont"/>
                <w:rFonts w:ascii="Times New Roman" w:hAnsi="Times New Roman" w:cs="Times New Roman"/>
                <w:szCs w:val="24"/>
              </w:rPr>
            </w:pPr>
            <w:r>
              <w:rPr>
                <w:rStyle w:val="DefaultParagraphFont"/>
                <w:rFonts w:ascii="Times New Roman" w:hAnsi="Times New Roman" w:cs="Times New Roman"/>
                <w:szCs w:val="24"/>
              </w:rPr>
              <w:t>Príloha č.1</w:t>
            </w:r>
          </w:p>
        </w:tc>
        <w:tc>
          <w:tcPr>
            <w:tcW w:w="0" w:type="auto"/>
            <w:gridSpan w:val="2"/>
            <w:tcBorders>
              <w:top w:val="nil"/>
              <w:left w:val="nil"/>
              <w:bottom w:val="nil"/>
              <w:right w:val="nil"/>
              <w:tl2br w:val="nil"/>
              <w:tr2bl w:val="nil"/>
            </w:tcBorders>
            <w:textDirection w:val="lrTb"/>
            <w:vAlign w:val="top"/>
          </w:tcPr>
          <w:p>
            <w:pPr>
              <w:jc w:val="both"/>
              <w:rPr>
                <w:rStyle w:val="DefaultParagraphFont"/>
                <w:rFonts w:ascii="Times New Roman" w:hAnsi="Times New Roman" w:cs="Times New Roman"/>
                <w:b/>
                <w:caps/>
                <w:szCs w:val="24"/>
              </w:rPr>
            </w:pPr>
            <w:r>
              <w:rPr>
                <w:rStyle w:val="DefaultParagraphFont"/>
                <w:rFonts w:ascii="Times New Roman" w:hAnsi="Times New Roman" w:cs="Times New Roman"/>
                <w:b/>
                <w:szCs w:val="24"/>
              </w:rPr>
              <w:t>Najvyššie prípustné expozičné limity   chemických faktorov v pracovnom</w:t>
            </w:r>
            <w:r>
              <w:rPr>
                <w:rStyle w:val="DefaultParagraphFont"/>
                <w:rFonts w:ascii="Times New Roman" w:hAnsi="Times New Roman" w:cs="Times New Roman"/>
                <w:b/>
                <w:szCs w:val="24"/>
              </w:rPr>
              <w:t xml:space="preserve"> ovzduší</w:t>
            </w:r>
          </w:p>
          <w:p>
            <w:pPr>
              <w:rPr>
                <w:rStyle w:val="DefaultParagraphFont"/>
                <w:rFonts w:ascii="Times New Roman" w:hAnsi="Times New Roman" w:cs="Times New Roman"/>
                <w:caps/>
                <w:szCs w:val="24"/>
              </w:rPr>
            </w:pPr>
          </w:p>
          <w:p>
            <w:pPr>
              <w:rPr>
                <w:rStyle w:val="DefaultParagraphFont"/>
                <w:rFonts w:ascii="Times New Roman" w:hAnsi="Times New Roman" w:cs="Times New Roman"/>
                <w:caps/>
                <w:szCs w:val="24"/>
              </w:rPr>
            </w:pPr>
            <w:r>
              <w:rPr>
                <w:rStyle w:val="DefaultParagraphFont"/>
                <w:rFonts w:ascii="Times New Roman" w:hAnsi="Times New Roman" w:cs="Times New Roman"/>
                <w:caps/>
                <w:szCs w:val="24"/>
              </w:rPr>
              <w:t>(1)</w:t>
            </w:r>
            <w:r>
              <w:rPr>
                <w:rStyle w:val="DefaultParagraphFont"/>
                <w:rFonts w:ascii="Times New Roman" w:hAnsi="Times New Roman" w:cs="Times New Roman"/>
                <w:szCs w:val="24"/>
              </w:rPr>
              <w:t xml:space="preserve"> 197.</w:t>
            </w:r>
          </w:p>
          <w:p>
            <w:pPr>
              <w:rPr>
                <w:rStyle w:val="DefaultParagraphFont"/>
                <w:rFonts w:ascii="Times New Roman" w:hAnsi="Times New Roman" w:cs="Times New Roman"/>
                <w:caps/>
                <w:szCs w:val="24"/>
              </w:rPr>
            </w:pPr>
            <w:r>
              <w:rPr>
                <w:rStyle w:val="DefaultParagraphFont"/>
                <w:rFonts w:ascii="Times New Roman" w:hAnsi="Times New Roman" w:cs="Times New Roman"/>
                <w:caps/>
                <w:szCs w:val="24"/>
              </w:rPr>
              <w:t xml:space="preserve">(2) </w:t>
            </w:r>
            <w:r>
              <w:rPr>
                <w:rStyle w:val="DefaultParagraphFont"/>
                <w:rFonts w:ascii="Times New Roman" w:hAnsi="Times New Roman" w:cs="Times New Roman"/>
                <w:b/>
                <w:szCs w:val="24"/>
              </w:rPr>
              <w:t>olovo</w:t>
            </w:r>
          </w:p>
          <w:p>
            <w:pPr>
              <w:rPr>
                <w:rStyle w:val="DefaultParagraphFont"/>
                <w:rFonts w:ascii="Times New Roman" w:hAnsi="Times New Roman" w:cs="Times New Roman"/>
                <w:caps/>
                <w:szCs w:val="24"/>
              </w:rPr>
            </w:pPr>
            <w:r>
              <w:rPr>
                <w:rStyle w:val="DefaultParagraphFont"/>
                <w:rFonts w:ascii="Times New Roman" w:hAnsi="Times New Roman" w:cs="Times New Roman"/>
                <w:caps/>
                <w:szCs w:val="24"/>
              </w:rPr>
              <w:t xml:space="preserve">(3) </w:t>
            </w:r>
            <w:r>
              <w:rPr>
                <w:rStyle w:val="DefaultParagraphFont"/>
                <w:rFonts w:ascii="Times New Roman" w:hAnsi="Times New Roman" w:cs="Times New Roman"/>
                <w:szCs w:val="24"/>
              </w:rPr>
              <w:t>231-100-4</w:t>
            </w:r>
          </w:p>
          <w:p>
            <w:pPr>
              <w:rPr>
                <w:rStyle w:val="DefaultParagraphFont"/>
                <w:rFonts w:ascii="Times New Roman" w:hAnsi="Times New Roman" w:cs="Times New Roman"/>
                <w:caps/>
                <w:szCs w:val="24"/>
              </w:rPr>
            </w:pPr>
            <w:r>
              <w:rPr>
                <w:rStyle w:val="DefaultParagraphFont"/>
                <w:rFonts w:ascii="Times New Roman" w:hAnsi="Times New Roman" w:cs="Times New Roman"/>
                <w:caps/>
                <w:szCs w:val="24"/>
              </w:rPr>
              <w:t xml:space="preserve">(4) </w:t>
            </w:r>
            <w:r>
              <w:rPr>
                <w:rStyle w:val="DefaultParagraphFont"/>
                <w:rFonts w:ascii="Times New Roman" w:hAnsi="Times New Roman" w:cs="Times New Roman"/>
                <w:szCs w:val="24"/>
              </w:rPr>
              <w:t>7439-92-1</w:t>
            </w:r>
          </w:p>
          <w:p>
            <w:pPr>
              <w:rPr>
                <w:rStyle w:val="DefaultParagraphFont"/>
                <w:rFonts w:ascii="Times New Roman" w:hAnsi="Times New Roman" w:cs="Times New Roman"/>
                <w:caps/>
                <w:szCs w:val="24"/>
              </w:rPr>
            </w:pPr>
            <w:r>
              <w:rPr>
                <w:rStyle w:val="DefaultParagraphFont"/>
                <w:rFonts w:ascii="Times New Roman" w:hAnsi="Times New Roman" w:cs="Times New Roman"/>
                <w:caps/>
                <w:szCs w:val="24"/>
              </w:rPr>
              <w:t xml:space="preserve">(5) </w:t>
            </w:r>
            <w:r>
              <w:rPr>
                <w:rStyle w:val="DefaultParagraphFont"/>
                <w:rFonts w:ascii="Times New Roman" w:hAnsi="Times New Roman" w:cs="Times New Roman"/>
                <w:szCs w:val="24"/>
              </w:rPr>
              <w:t>-</w:t>
            </w:r>
            <w:r>
              <w:rPr>
                <w:rStyle w:val="DefaultParagraphFont"/>
                <w:rFonts w:ascii="Times New Roman" w:hAnsi="Times New Roman" w:cs="Times New Roman"/>
                <w:caps/>
                <w:szCs w:val="24"/>
              </w:rPr>
              <w:t xml:space="preserve">   </w:t>
            </w:r>
          </w:p>
          <w:p>
            <w:pPr>
              <w:rPr>
                <w:rStyle w:val="DefaultParagraphFont"/>
                <w:rFonts w:ascii="Times New Roman" w:hAnsi="Times New Roman" w:cs="Times New Roman"/>
                <w:caps/>
                <w:szCs w:val="24"/>
              </w:rPr>
            </w:pPr>
            <w:r>
              <w:rPr>
                <w:rStyle w:val="DefaultParagraphFont"/>
                <w:rFonts w:ascii="Times New Roman" w:hAnsi="Times New Roman" w:cs="Times New Roman"/>
                <w:caps/>
                <w:szCs w:val="24"/>
              </w:rPr>
              <w:t>(6)</w:t>
            </w:r>
            <w:r>
              <w:rPr>
                <w:rStyle w:val="DefaultParagraphFont"/>
                <w:rFonts w:ascii="Times New Roman" w:hAnsi="Times New Roman" w:cs="Times New Roman"/>
                <w:szCs w:val="24"/>
              </w:rPr>
              <w:t xml:space="preserve"> 0,15</w:t>
            </w:r>
          </w:p>
          <w:p>
            <w:pPr>
              <w:tabs>
                <w:tab w:val="left" w:pos="232"/>
                <w:tab w:val="left" w:pos="2196"/>
                <w:tab w:val="left" w:pos="3330"/>
                <w:tab w:val="left" w:pos="4464"/>
                <w:tab w:val="left" w:pos="5315"/>
                <w:tab w:val="left" w:pos="6449"/>
                <w:tab w:val="left" w:pos="7441"/>
                <w:tab w:val="left" w:pos="8575"/>
                <w:tab w:val="left" w:pos="9993"/>
              </w:tabs>
              <w:rPr>
                <w:rStyle w:val="DefaultParagraphFont"/>
                <w:rFonts w:ascii="Times New Roman" w:hAnsi="Times New Roman" w:cs="Times New Roman"/>
                <w:szCs w:val="24"/>
              </w:rPr>
            </w:pPr>
            <w:r>
              <w:rPr>
                <w:rStyle w:val="DefaultParagraphFont"/>
                <w:rFonts w:ascii="Times New Roman" w:hAnsi="Times New Roman" w:cs="Times New Roman"/>
                <w:szCs w:val="24"/>
              </w:rPr>
              <w:t>(7) II.</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(8)  -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(9) -</w:t>
            </w: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 Poradové číslo</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(2)Názov  chemickej látky</w:t>
            </w:r>
          </w:p>
          <w:p>
            <w:pPr>
              <w:pStyle w:val="BodyText"/>
              <w:spacing w:before="0" w:after="0"/>
              <w:ind w:firstLine="25"/>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(3)EINECS číslo:   číslo  priradené    chemickej  látke, ktorá sa  nachádza v Európskom zozname existujúcich komerčných chemických látok.</w:t>
            </w:r>
          </w:p>
          <w:p>
            <w:pPr>
              <w:pStyle w:val="BodyText"/>
              <w:spacing w:before="0" w:after="0"/>
              <w:ind w:firstLine="25"/>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 CAS číslo:  medzinárodne  stanovené  číslo priradené danému chemickému faktoru za účelom  presnej identifikácie chemickej látky, za predpokladu, že údaje boli publikované v odbornej literatúre.</w:t>
            </w:r>
          </w:p>
          <w:p>
            <w:pPr>
              <w:numPr>
                <w:ilvl w:val="0"/>
                <w:numId w:val="19"/>
              </w:numPr>
              <w:ind w:firstLine="25"/>
              <w:jc w:val="both"/>
              <w:rPr>
                <w:rStyle w:val="DefaultParagraphFont"/>
                <w:rFonts w:ascii="Times New Roman" w:hAnsi="Times New Roman" w:cs="Times New Roman"/>
                <w:szCs w:val="24"/>
              </w:rPr>
            </w:pPr>
            <w:r>
              <w:rPr>
                <w:rStyle w:val="DefaultParagraphFont"/>
                <w:rFonts w:ascii="Times New Roman" w:hAnsi="Times New Roman" w:cs="Times New Roman"/>
                <w:szCs w:val="24"/>
              </w:rPr>
              <w:t>NPEL priemerná (ml.m</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w:t>
            </w:r>
          </w:p>
          <w:p>
            <w:pPr>
              <w:numPr>
                <w:ilvl w:val="0"/>
                <w:numId w:val="19"/>
              </w:numPr>
              <w:ind w:firstLine="25"/>
              <w:jc w:val="both"/>
              <w:rPr>
                <w:rStyle w:val="DefaultParagraphFont"/>
                <w:rFonts w:ascii="Times New Roman" w:hAnsi="Times New Roman" w:cs="Times New Roman"/>
                <w:szCs w:val="24"/>
              </w:rPr>
            </w:pPr>
            <w:r>
              <w:rPr>
                <w:rStyle w:val="DefaultParagraphFont"/>
                <w:rFonts w:ascii="Times New Roman" w:hAnsi="Times New Roman" w:cs="Times New Roman"/>
                <w:szCs w:val="24"/>
              </w:rPr>
              <w:t>NPEL priemerná (mg.m</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w:t>
            </w:r>
          </w:p>
          <w:p>
            <w:pPr>
              <w:numPr>
                <w:ilvl w:val="0"/>
                <w:numId w:val="19"/>
              </w:numPr>
              <w:ind w:firstLine="25"/>
              <w:jc w:val="both"/>
              <w:rPr>
                <w:rStyle w:val="DefaultParagraphFont"/>
                <w:rFonts w:ascii="Times New Roman" w:hAnsi="Times New Roman" w:cs="Times New Roman"/>
                <w:szCs w:val="24"/>
              </w:rPr>
            </w:pPr>
            <w:r>
              <w:rPr>
                <w:rStyle w:val="DefaultParagraphFont"/>
                <w:rFonts w:ascii="Times New Roman" w:hAnsi="Times New Roman" w:cs="Times New Roman"/>
                <w:szCs w:val="24"/>
              </w:rPr>
              <w:t>Hraničná NPEL kategória (viď príloha č.1 Nariadenia vlády)</w:t>
            </w:r>
          </w:p>
          <w:p>
            <w:pPr>
              <w:numPr>
                <w:ilvl w:val="0"/>
                <w:numId w:val="19"/>
              </w:numPr>
              <w:ind w:firstLine="25"/>
              <w:jc w:val="both"/>
              <w:rPr>
                <w:rStyle w:val="DefaultParagraphFont"/>
                <w:rFonts w:ascii="Times New Roman" w:hAnsi="Times New Roman" w:cs="Times New Roman"/>
                <w:szCs w:val="24"/>
              </w:rPr>
            </w:pPr>
            <w:r>
              <w:rPr>
                <w:rStyle w:val="DefaultParagraphFont"/>
                <w:rFonts w:ascii="Times New Roman" w:hAnsi="Times New Roman" w:cs="Times New Roman"/>
                <w:szCs w:val="24"/>
              </w:rPr>
              <w:t>Hraničná NPEL (mg.m</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w:t>
            </w:r>
          </w:p>
          <w:p>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(9) Upozornenie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PRÍLOHA II.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Príloha č.2</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nil"/>
              <w:left w:val="nil"/>
              <w:bottom w:val="nil"/>
              <w:right w:val="nil"/>
              <w:tl2br w:val="nil"/>
              <w:tr2bl w:val="nil"/>
            </w:tcBorders>
            <w:textDirection w:val="lrTb"/>
            <w:vAlign w:val="top"/>
          </w:tcPr>
          <w:p>
            <w:pPr>
              <w:rPr>
                <w:rStyle w:val="DefaultParagraphFont"/>
                <w:rFonts w:ascii="Times New Roman" w:hAnsi="Times New Roman" w:cs="Times New Roman"/>
                <w:b/>
                <w:szCs w:val="24"/>
              </w:rPr>
            </w:pPr>
            <w:r>
              <w:rPr>
                <w:rStyle w:val="DefaultParagraphFont"/>
                <w:rFonts w:ascii="Times New Roman" w:hAnsi="Times New Roman" w:cs="Times New Roman"/>
                <w:b/>
                <w:szCs w:val="24"/>
              </w:rPr>
              <w:t>ZÁVÄZNÉ BIOLOGICKÉ LIMITNÉ HODNOTY A OPATRENIA ZDRAVOTNÉHO DOHĽADU</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1.Olovo a jeho iónové zlúčenin</w:t>
            </w:r>
            <w:r>
              <w:rPr>
                <w:rStyle w:val="DefaultParagraphFont"/>
                <w:rFonts w:ascii="Times New Roman" w:hAnsi="Times New Roman" w:cs="Times New Roman"/>
                <w:szCs w:val="24"/>
              </w:rPr>
              <w:t>y</w:t>
            </w:r>
          </w:p>
          <w:p>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1.1.Biologické monitorovanie musí zahŕňať merania hladiny olova v krvi (PbB)  používajúc  absorbčnú spektrometriu alebo metódu, ktorá má ekvivalentné výsledky. Záväzná biologická limitná hodnota je:</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70 </w:t>
            </w:r>
            <w:r>
              <w:rPr>
                <w:rStyle w:val="DefaultParagraphFont"/>
                <w:rFonts w:ascii="Symbol" w:hAnsi="Symbol" w:cs="Times New Roman"/>
                <w:szCs w:val="24"/>
              </w:rPr>
              <w:t>m</w:t>
            </w:r>
            <w:r>
              <w:rPr>
                <w:rStyle w:val="DefaultParagraphFont"/>
                <w:rFonts w:ascii="Times New Roman" w:hAnsi="Times New Roman" w:cs="Times New Roman"/>
                <w:szCs w:val="24"/>
              </w:rPr>
              <w:t>g Pb/100 ml  krvi</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1.2. Lekársky dohľad sa uskutoční, ak:</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expozícia koncentrácii olova vo vzduchu je väčšia ako 0,075 mg/m3, vypočítaná ako časovo vážený priemer v priebehu 40 hodín týždenne alebo</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hladina olova v krvi je väčšia ako 40 </w:t>
            </w:r>
            <w:r>
              <w:rPr>
                <w:rStyle w:val="DefaultParagraphFont"/>
                <w:rFonts w:ascii="Symbol" w:hAnsi="Symbol" w:cs="Times New Roman"/>
                <w:szCs w:val="24"/>
              </w:rPr>
              <w:t>m</w:t>
            </w:r>
            <w:r>
              <w:rPr>
                <w:rStyle w:val="DefaultParagraphFont"/>
                <w:rFonts w:ascii="Times New Roman" w:hAnsi="Times New Roman" w:cs="Times New Roman"/>
                <w:szCs w:val="24"/>
              </w:rPr>
              <w:t>g Pb/100 ml krvi nameraná u jednotlivých pracovníkov.</w:t>
            </w:r>
          </w:p>
          <w:p>
            <w:pPr>
              <w:jc w:val="both"/>
              <w:rPr>
                <w:rStyle w:val="DefaultParagraphFont"/>
                <w:rFonts w:ascii="Times New Roman" w:hAnsi="Times New Roman" w:cs="Times New Roman"/>
                <w:szCs w:val="24"/>
              </w:rPr>
            </w:pPr>
          </w:p>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w:t>
            </w:r>
            <w:r>
              <w:rPr>
                <w:rStyle w:val="DefaultParagraphFont"/>
                <w:rFonts w:ascii="Times New Roman" w:hAnsi="Times New Roman" w:cs="Times New Roman"/>
                <w:szCs w:val="24"/>
                <w:lang w:val="sk-SK"/>
              </w:rPr>
              <w:t>.3. Praktické predpisy na biologické monitorovanie a lekársky dohľad musia byť vypracované v súlade s článkom 12(2). Tieto musia obsahovať odporúčania biologických indikátorov (napr. ALAU, ZPP, ALAD) a stratégie biologického monitorovania.</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w:t>
            </w:r>
            <w:r>
              <w:rPr>
                <w:rStyle w:val="DefaultParagraphFont"/>
                <w:rFonts w:ascii="Times New Roman" w:hAnsi="Times New Roman" w:cs="Times New Roman"/>
                <w:szCs w:val="24"/>
              </w:rPr>
              <w:t>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Príloha č.2</w:t>
            </w:r>
          </w:p>
        </w:tc>
        <w:tc>
          <w:tcPr>
            <w:tcW w:w="0" w:type="auto"/>
            <w:gridSpan w:val="2"/>
            <w:tcBorders>
              <w:top w:val="nil"/>
              <w:left w:val="nil"/>
              <w:bottom w:val="nil"/>
              <w:right w:val="nil"/>
              <w:tl2br w:val="nil"/>
              <w:tr2bl w:val="nil"/>
            </w:tcBorders>
            <w:textDirection w:val="lrTb"/>
            <w:vAlign w:val="top"/>
          </w:tcPr>
          <w:p>
            <w:pPr>
              <w:pStyle w:val="Heading2"/>
              <w:spacing w:before="0"/>
              <w:jc w:val="both"/>
              <w:outlineLvl w:val="1"/>
              <w:rPr>
                <w:rStyle w:val="DefaultParagraphFont"/>
                <w:rFonts w:ascii="Times New Roman" w:hAnsi="Times New Roman" w:cs="Times New Roman"/>
                <w:szCs w:val="24"/>
              </w:rPr>
            </w:pPr>
            <w:r>
              <w:rPr>
                <w:rStyle w:val="DefaultParagraphFont"/>
                <w:rFonts w:ascii="Times New Roman" w:hAnsi="Times New Roman" w:cs="Times New Roman"/>
                <w:szCs w:val="24"/>
              </w:rPr>
              <w:t>Biologické medzné hodnoty</w:t>
            </w:r>
          </w:p>
          <w:p>
            <w:pPr>
              <w:pStyle w:val="Heading2"/>
              <w:spacing w:before="0"/>
              <w:jc w:val="both"/>
              <w:outlineLvl w:val="1"/>
              <w:rPr>
                <w:rStyle w:val="DefaultParagraphFont"/>
                <w:rFonts w:ascii="Times New Roman" w:hAnsi="Times New Roman" w:cs="Times New Roman"/>
                <w:b w:val="0"/>
                <w:szCs w:val="24"/>
              </w:rPr>
            </w:pPr>
          </w:p>
          <w:p>
            <w:pPr>
              <w:pStyle w:val="BodyText"/>
              <w:numPr>
                <w:numId w:val="21"/>
              </w:numPr>
              <w:tabs>
                <w:tab w:val="left" w:pos="385"/>
                <w:tab w:val="left" w:pos="720"/>
              </w:tabs>
              <w:spacing w:before="0" w:after="0"/>
              <w:rPr>
                <w:rStyle w:val="DefaultParagraphFont"/>
                <w:rFonts w:ascii="Times New Roman" w:hAnsi="Times New Roman" w:cs="Times New Roman"/>
                <w:caps/>
                <w:szCs w:val="24"/>
                <w:lang w:val="sk-SK"/>
              </w:rPr>
            </w:pPr>
            <w:r>
              <w:rPr>
                <w:rStyle w:val="DefaultParagraphFont"/>
                <w:rFonts w:ascii="Times New Roman" w:hAnsi="Times New Roman" w:cs="Times New Roman"/>
                <w:szCs w:val="24"/>
                <w:lang w:val="sk-SK"/>
              </w:rPr>
              <w:t>Biologická medzná hodnota sa stanovuje ako</w:t>
            </w:r>
            <w:r>
              <w:rPr>
                <w:rStyle w:val="DefaultParagraphFont"/>
                <w:rFonts w:ascii="Times New Roman" w:hAnsi="Times New Roman" w:cs="Times New Roman"/>
                <w:caps/>
                <w:szCs w:val="24"/>
                <w:lang w:val="sk-SK"/>
              </w:rPr>
              <w:t xml:space="preserve"> </w:t>
            </w:r>
          </w:p>
          <w:p>
            <w:pPr>
              <w:pStyle w:val="BodyText"/>
              <w:tabs>
                <w:tab w:val="left" w:pos="25"/>
              </w:tabs>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a)záväzná biologická medzná hodnota, ktorá sa nesmie byť prekročená vôbec,</w:t>
            </w:r>
          </w:p>
          <w:p>
            <w:pPr>
              <w:pStyle w:val="BodyText"/>
              <w:tabs>
                <w:tab w:val="left" w:pos="25"/>
              </w:tabs>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b)indikatívna biologická medzná hodnota, ktorej prekročenie upozorňuje na pravdepodobnosť zvýšenej expozície zamestnancov chemickému faktoru a na potrebu prijať preventívne a ochranné opatrenia.</w:t>
            </w:r>
          </w:p>
          <w:p>
            <w:pPr>
              <w:pStyle w:val="BodyText"/>
              <w:tabs>
                <w:tab w:val="left" w:pos="25"/>
              </w:tabs>
              <w:spacing w:before="0" w:after="0"/>
              <w:rPr>
                <w:rStyle w:val="DefaultParagraphFont"/>
                <w:rFonts w:ascii="Times New Roman" w:hAnsi="Times New Roman" w:cs="Times New Roman"/>
                <w:szCs w:val="24"/>
                <w:lang w:val="sk-SK"/>
              </w:rPr>
            </w:pPr>
          </w:p>
          <w:p>
            <w:pPr>
              <w:numPr>
                <w:numId w:val="20"/>
              </w:numPr>
              <w:jc w:val="both"/>
              <w:rPr>
                <w:rStyle w:val="DefaultParagraphFont"/>
                <w:rFonts w:ascii="Times New Roman" w:hAnsi="Times New Roman" w:cs="Times New Roman"/>
                <w:szCs w:val="24"/>
              </w:rPr>
            </w:pPr>
            <w:r>
              <w:rPr>
                <w:rStyle w:val="DefaultParagraphFont"/>
                <w:rFonts w:ascii="Times New Roman" w:hAnsi="Times New Roman" w:cs="Times New Roman"/>
                <w:caps/>
                <w:szCs w:val="24"/>
              </w:rPr>
              <w:t>2.</w:t>
            </w:r>
            <w:r>
              <w:rPr>
                <w:rStyle w:val="DefaultParagraphFont"/>
                <w:rFonts w:ascii="Times New Roman" w:hAnsi="Times New Roman" w:cs="Times New Roman"/>
                <w:szCs w:val="24"/>
              </w:rPr>
              <w:t>Záväzná biologická medzná hodnota</w:t>
            </w:r>
          </w:p>
          <w:p>
            <w:pPr>
              <w:numPr>
                <w:ilvl w:val="1"/>
                <w:numId w:val="20"/>
              </w:numPr>
              <w:jc w:val="both"/>
              <w:rPr>
                <w:rStyle w:val="DefaultParagraphFont"/>
                <w:rFonts w:ascii="Times New Roman" w:hAnsi="Times New Roman" w:cs="Times New Roman"/>
                <w:szCs w:val="24"/>
              </w:rPr>
            </w:pPr>
            <w:r>
              <w:rPr>
                <w:rStyle w:val="DefaultParagraphFont"/>
                <w:rFonts w:ascii="Times New Roman" w:hAnsi="Times New Roman" w:cs="Times New Roman"/>
                <w:caps/>
                <w:szCs w:val="24"/>
              </w:rPr>
              <w:t>2.1 Z</w:t>
            </w:r>
            <w:r>
              <w:rPr>
                <w:rStyle w:val="DefaultParagraphFont"/>
                <w:rFonts w:ascii="Times New Roman" w:hAnsi="Times New Roman" w:cs="Times New Roman"/>
                <w:szCs w:val="24"/>
              </w:rPr>
              <w:t>áväzná biologická medzná hodnota sa stanovuje pre olovo a jeho iónové zlúčeniny. Biologické monitorovanie zahŕňa stanovenie biologického expozičného testu na olovo, ktorým je  stanovené olovo v krvi (PbB) za použitia atómovej absorpčnej spektrometrie alebo metódy, ktorá má ekvivalentné výsledky.</w:t>
            </w:r>
            <w:r>
              <w:rPr>
                <w:rStyle w:val="DefaultParagraphFont"/>
                <w:rFonts w:ascii="Times New Roman" w:hAnsi="Times New Roman" w:cs="Times New Roman"/>
                <w:i/>
                <w:szCs w:val="24"/>
              </w:rPr>
              <w:t xml:space="preserve"> </w:t>
            </w:r>
          </w:p>
          <w:p>
            <w:pPr>
              <w:numPr>
                <w:ilvl w:val="1"/>
                <w:numId w:val="20"/>
              </w:num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Záväzná biologická limitná hodnota je:  700 </w:t>
            </w:r>
            <w:r>
              <w:rPr>
                <w:rStyle w:val="DefaultParagraphFont"/>
                <w:rFonts w:ascii="Symbol" w:hAnsi="Symbol" w:cs="Times New Roman"/>
                <w:szCs w:val="24"/>
              </w:rPr>
              <w:t>m</w:t>
            </w:r>
            <w:r>
              <w:rPr>
                <w:rStyle w:val="DefaultParagraphFont"/>
                <w:rFonts w:ascii="Times New Roman" w:hAnsi="Times New Roman" w:cs="Times New Roman"/>
                <w:szCs w:val="24"/>
              </w:rPr>
              <w:t>g Pb . l</w:t>
            </w:r>
            <w:r>
              <w:rPr>
                <w:rStyle w:val="DefaultParagraphFont"/>
                <w:rFonts w:ascii="Times New Roman" w:hAnsi="Times New Roman" w:cs="Times New Roman"/>
                <w:szCs w:val="24"/>
                <w:vertAlign w:val="superscript"/>
              </w:rPr>
              <w:t>-1</w:t>
            </w:r>
            <w:r>
              <w:rPr>
                <w:rStyle w:val="DefaultParagraphFont"/>
                <w:rFonts w:ascii="Times New Roman" w:hAnsi="Times New Roman" w:cs="Times New Roman"/>
                <w:szCs w:val="24"/>
              </w:rPr>
              <w:t xml:space="preserve">  krvi</w:t>
            </w:r>
          </w:p>
          <w:p>
            <w:pPr>
              <w:numPr>
                <w:ilvl w:val="1"/>
                <w:numId w:val="20"/>
              </w:num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3,4 </w:t>
            </w:r>
            <w:r>
              <w:rPr>
                <w:rStyle w:val="DefaultParagraphFont"/>
                <w:rFonts w:ascii="Symbol" w:hAnsi="Symbol" w:cs="Times New Roman"/>
                <w:szCs w:val="24"/>
              </w:rPr>
              <w:t>m</w:t>
            </w:r>
            <w:r>
              <w:rPr>
                <w:rStyle w:val="DefaultParagraphFont"/>
                <w:rFonts w:ascii="Times New Roman" w:hAnsi="Times New Roman" w:cs="Times New Roman"/>
                <w:szCs w:val="24"/>
              </w:rPr>
              <w:t>mol. l</w:t>
            </w:r>
            <w:r>
              <w:rPr>
                <w:rStyle w:val="DefaultParagraphFont"/>
                <w:rFonts w:ascii="Times New Roman" w:hAnsi="Times New Roman" w:cs="Times New Roman"/>
                <w:szCs w:val="24"/>
                <w:vertAlign w:val="superscript"/>
              </w:rPr>
              <w:t>-1</w:t>
            </w:r>
            <w:r>
              <w:rPr>
                <w:rStyle w:val="DefaultParagraphFont"/>
                <w:rFonts w:ascii="Times New Roman" w:hAnsi="Times New Roman" w:cs="Times New Roman"/>
                <w:szCs w:val="24"/>
              </w:rPr>
              <w:t xml:space="preserve">  krvi</w:t>
            </w:r>
          </w:p>
          <w:p>
            <w:pPr>
              <w:numPr>
                <w:ilvl w:val="1"/>
                <w:numId w:val="20"/>
              </w:numPr>
              <w:jc w:val="both"/>
              <w:rPr>
                <w:rStyle w:val="DefaultParagraphFont"/>
                <w:rFonts w:ascii="Times New Roman" w:hAnsi="Times New Roman" w:cs="Times New Roman"/>
                <w:szCs w:val="24"/>
              </w:rPr>
            </w:pPr>
          </w:p>
          <w:p>
            <w:pPr>
              <w:numPr>
                <w:ilvl w:val="1"/>
                <w:numId w:val="20"/>
              </w:num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2.2 Zamestnávateľ zabezpečí v rámci zdravotného dohľadu  vykonanie biologického expozičného testu na olovo v prípade, že expozícia zamestnancov koncentráciám olova vo vzduchu je väčšia ako 0,075 mg/m</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 xml:space="preserve">, vypočítaná ako časovo-vážený  priemer v priebehu 40 hodín v týždni. V prípade zistenia, že  hladina olova v krvi je väčšia ako 400 </w:t>
            </w:r>
            <w:r>
              <w:rPr>
                <w:rStyle w:val="DefaultParagraphFont"/>
                <w:rFonts w:ascii="Symbol" w:hAnsi="Symbol" w:cs="Times New Roman"/>
                <w:szCs w:val="24"/>
              </w:rPr>
              <w:t>m</w:t>
            </w:r>
            <w:r>
              <w:rPr>
                <w:rStyle w:val="DefaultParagraphFont"/>
                <w:rFonts w:ascii="Times New Roman" w:hAnsi="Times New Roman" w:cs="Times New Roman"/>
                <w:szCs w:val="24"/>
              </w:rPr>
              <w:t>g Pb . l</w:t>
            </w:r>
            <w:r>
              <w:rPr>
                <w:rStyle w:val="DefaultParagraphFont"/>
                <w:rFonts w:ascii="Times New Roman" w:hAnsi="Times New Roman" w:cs="Times New Roman"/>
                <w:szCs w:val="24"/>
                <w:vertAlign w:val="superscript"/>
              </w:rPr>
              <w:t>-1</w:t>
            </w:r>
            <w:r>
              <w:rPr>
                <w:rStyle w:val="DefaultParagraphFont"/>
                <w:rFonts w:ascii="Times New Roman" w:hAnsi="Times New Roman" w:cs="Times New Roman"/>
                <w:szCs w:val="24"/>
              </w:rPr>
              <w:t xml:space="preserve">  krvi  nameraná u  jednotlivých   pracovníkov, zabezpečí vykonanie cielenej preventívnej lekárskej prehliadky podľa osobitného  predpis</w:t>
            </w:r>
            <w:r>
              <w:rPr>
                <w:rStyle w:val="DefaultParagraphFont"/>
                <w:rFonts w:ascii="Times New Roman" w:hAnsi="Times New Roman" w:cs="Times New Roman"/>
                <w:szCs w:val="24"/>
              </w:rPr>
              <w:t>u.</w:t>
            </w:r>
          </w:p>
          <w:p>
            <w:pPr>
              <w:jc w:val="both"/>
              <w:rPr>
                <w:rStyle w:val="DefaultParagraphFont"/>
                <w:rFonts w:ascii="Times New Roman" w:hAnsi="Times New Roman" w:cs="Times New Roman"/>
                <w:szCs w:val="24"/>
              </w:rPr>
            </w:pPr>
          </w:p>
          <w:p>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2.3 Zamestnávateľ zabezpečí stratégiu biologického monitorovania v podniku tak, aby bola v súlade s týmto nariadením vlády. Táto stratégia musí obsahovať aj postupy na vykonanie  ďalších biologických expozičných testov na olovo napr. kyselina delta-aminolevulová  v moči, dehydratáza kyseliny aminolevulovej a zinkprotoporfyrín v moči.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 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nil"/>
              <w:left w:val="nil"/>
              <w:bottom w:val="nil"/>
              <w:right w:val="nil"/>
              <w:tl2br w:val="nil"/>
              <w:tr2bl w:val="nil"/>
            </w:tcBorders>
            <w:textDirection w:val="lrTb"/>
            <w:vAlign w:val="top"/>
          </w:tcPr>
          <w:p>
            <w:pPr>
              <w:pStyle w:val="Heading4"/>
              <w:jc w:val="both"/>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PRÍLOHA III.</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Príloha č.3</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nil"/>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nil"/>
              <w:left w:val="nil"/>
              <w:bottom w:val="nil"/>
              <w:right w:val="nil"/>
              <w:tl2br w:val="nil"/>
              <w:tr2bl w:val="nil"/>
            </w:tcBorders>
            <w:textDirection w:val="lrTb"/>
            <w:vAlign w:val="top"/>
          </w:tcPr>
          <w:p>
            <w:pPr>
              <w:pStyle w:val="Heading4"/>
              <w:jc w:val="both"/>
              <w:outlineLvl w:val="3"/>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ZÁKAZY</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Produkcia, výroba alebo používanie chemických látok pri práci a činnosti, ktoré zahŕňajú nižšie uvedené chemické látky sú zakázané. Zákaz sa neuplatňuje, ak sa chemická látka vyskytuje v inej chemickej látke alebo ako súčasť odpadu za predpokladu, že jej individuálna koncentrácia tam je menšia ako stanovený limit.</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(a) Chemické látky</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2 –naftylamín a jeho soli (CAS č. 91-59-8, EINECS č.202-080-4),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4-aminobifenyl a jeho soli (CAS č. 92-67-1 a EINECS č.202-177-1),    </w:t>
            </w:r>
          </w:p>
          <w:p>
            <w:pPr>
              <w:ind w:left="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benzidín a jeho soli (CAS č. 92-87-5 a EINECS č.202-199-1),  </w:t>
            </w:r>
          </w:p>
          <w:p>
            <w:pPr>
              <w:ind w:left="60"/>
              <w:jc w:val="both"/>
              <w:rPr>
                <w:rStyle w:val="DefaultParagraphFont"/>
                <w:rFonts w:ascii="Times New Roman" w:hAnsi="Times New Roman" w:cs="Times New Roman"/>
                <w:szCs w:val="24"/>
              </w:rPr>
            </w:pPr>
            <w:r>
              <w:rPr>
                <w:rStyle w:val="DefaultParagraphFont"/>
                <w:rFonts w:ascii="Times New Roman" w:hAnsi="Times New Roman" w:cs="Times New Roman"/>
                <w:szCs w:val="24"/>
              </w:rPr>
              <w:t>4-nitrodifenyl (CAS č. 92-93-3 a EINECS č. 202-204-7).</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len pre chem. látky s limitom koncentrácie   &gt; 0,1 % hmotnosti.</w:t>
            </w:r>
          </w:p>
          <w:p>
            <w:pPr>
              <w:jc w:val="both"/>
              <w:rPr>
                <w:rStyle w:val="DefaultParagraphFont"/>
                <w:rFonts w:ascii="Times New Roman" w:hAnsi="Times New Roman" w:cs="Times New Roman"/>
                <w:szCs w:val="24"/>
              </w:rPr>
            </w:pPr>
          </w:p>
          <w:p>
            <w:pPr>
              <w:pStyle w:val="EndnoteText"/>
              <w:rPr>
                <w:rStyle w:val="DefaultParagraphFont"/>
                <w:rFonts w:ascii="Times New Roman" w:hAnsi="Times New Roman" w:cs="Times New Roman"/>
                <w:szCs w:val="24"/>
              </w:rPr>
            </w:pPr>
            <w:r>
              <w:rPr>
                <w:rStyle w:val="DefaultParagraphFont"/>
                <w:rFonts w:ascii="Times New Roman" w:hAnsi="Times New Roman" w:cs="Times New Roman"/>
                <w:szCs w:val="24"/>
              </w:rPr>
              <w:t>Einecs: Európsky inventár existujúcich chemických látok</w:t>
            </w:r>
          </w:p>
          <w:p>
            <w:pPr>
              <w:pStyle w:val="EndnoteText"/>
              <w:rPr>
                <w:rStyle w:val="DefaultParagraphFont"/>
                <w:rFonts w:ascii="Times New Roman" w:hAnsi="Times New Roman" w:cs="Times New Roman"/>
                <w:szCs w:val="24"/>
              </w:rPr>
            </w:pPr>
            <w:r>
              <w:rPr>
                <w:rStyle w:val="DefaultParagraphFont"/>
                <w:rFonts w:ascii="Times New Roman" w:hAnsi="Times New Roman" w:cs="Times New Roman"/>
                <w:szCs w:val="24"/>
              </w:rPr>
              <w:t>CAS: Registračné číslo služby pre chemické prehľady</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(b) Pracovné činnosti</w:t>
            </w:r>
          </w:p>
          <w:p>
            <w:pPr>
              <w:rPr>
                <w:rStyle w:val="WW8Num9z2"/>
                <w:rFonts w:ascii="Times New Roman" w:hAnsi="Times New Roman" w:cs="Times New Roman"/>
                <w:szCs w:val="24"/>
              </w:rPr>
            </w:pPr>
            <w:r>
              <w:rPr>
                <w:rStyle w:val="WW8Num9z2"/>
                <w:rFonts w:ascii="Times New Roman" w:hAnsi="Times New Roman" w:cs="Times New Roman"/>
                <w:szCs w:val="24"/>
              </w:rPr>
              <w:t>Žiadne.</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tc>
        <w:tc>
          <w:tcPr>
            <w:tcW w:w="0" w:type="auto"/>
            <w:gridSpan w:val="2"/>
            <w:tcBorders>
              <w:top w:val="nil"/>
              <w:left w:val="nil"/>
              <w:bottom w:val="nil"/>
              <w:right w:val="nil"/>
              <w:tl2br w:val="nil"/>
              <w:tr2bl w:val="nil"/>
            </w:tcBorders>
            <w:textDirection w:val="lrTb"/>
            <w:vAlign w:val="top"/>
          </w:tcPr>
          <w:p>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Príloha 3</w:t>
            </w:r>
          </w:p>
        </w:tc>
        <w:tc>
          <w:tcPr>
            <w:tcW w:w="0" w:type="auto"/>
            <w:gridSpan w:val="2"/>
            <w:tcBorders>
              <w:top w:val="nil"/>
              <w:left w:val="nil"/>
              <w:bottom w:val="nil"/>
              <w:right w:val="nil"/>
              <w:tl2br w:val="nil"/>
              <w:tr2bl w:val="nil"/>
            </w:tcBorders>
            <w:textDirection w:val="lrTb"/>
            <w:vAlign w:val="top"/>
          </w:tcPr>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Vybrané chemické faktory a účely ich použitia, ktoré sú zakázané</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Účel, na ktorý nie sú uvedené faktory povolené.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Výroba a používanie na akékoľvek účely vrátane výrobných procesov, v ktorých tieto faktory vznikajú .</w:t>
            </w:r>
          </w:p>
          <w:p>
            <w:pPr>
              <w:pStyle w:val="abc"/>
              <w:tabs>
                <w:tab w:val="clear" w:pos="360"/>
                <w:tab w:val="clear" w:pos="680"/>
              </w:tabs>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Popis faktorov      (CAS)</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 – naftylamín      (91-59-8);</w:t>
            </w:r>
          </w:p>
          <w:p>
            <w:pPr>
              <w:pStyle w:val="WW-Zkladntext3"/>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benzidín               (92-87-5);</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4-aminobifenyl    (92-67-1);</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4-nitrobifenyl       (92-93-3)</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ich soli a všetky prípravky obsahujúce tieto látky v celkovej  koncentrácii rovnajúcej sa alebo väčšej ako 0,1 % hmotnosti</w:t>
            </w:r>
          </w:p>
          <w:p>
            <w:pPr>
              <w:pStyle w:val="Normlny"/>
              <w:jc w:val="both"/>
              <w:rPr>
                <w:rStyle w:val="DefaultParagraphFont"/>
                <w:rFonts w:ascii="Times New Roman" w:hAnsi="Times New Roman" w:cs="Times New Roman"/>
                <w:szCs w:val="24"/>
              </w:rPr>
            </w:pP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nil"/>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MZSR</w:t>
            </w:r>
          </w:p>
        </w:tc>
        <w:tc>
          <w:tcPr>
            <w:tcW w:w="0" w:type="auto"/>
            <w:gridSpan w:val="2"/>
            <w:tcBorders>
              <w:top w:val="nil"/>
              <w:left w:val="nil"/>
              <w:bottom w:val="nil"/>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nil"/>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r>
        <w:tblPrEx>
          <w:tblInd w:w="-497" w:type="dxa"/>
          <w:tblLayout w:type="fixed"/>
          <w:tblCellMar>
            <w:top w:w="0" w:type="dxa"/>
            <w:left w:w="43" w:type="dxa"/>
            <w:bottom w:w="0" w:type="dxa"/>
            <w:right w:w="43" w:type="dxa"/>
          </w:tblCellMar>
        </w:tblPrEx>
        <w:trPr>
          <w:gridAfter w:val="1"/>
          <w:trHeight w:hRule="auto" w:val="0"/>
        </w:trPr>
        <w:tc>
          <w:tcPr>
            <w:tcW w:w="0" w:type="auto"/>
            <w:gridSpan w:val="3"/>
            <w:tcBorders>
              <w:top w:val="nil"/>
              <w:left w:val="single" w:sz="12" w:space="0" w:color="auto"/>
              <w:bottom w:val="single" w:sz="4" w:space="0" w:color="auto"/>
              <w:right w:val="nil"/>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nil"/>
              <w:left w:val="nil"/>
              <w:bottom w:val="single" w:sz="4" w:space="0" w:color="auto"/>
              <w:right w:val="nil"/>
              <w:tl2br w:val="nil"/>
              <w:tr2bl w:val="nil"/>
            </w:tcBorders>
            <w:textDirection w:val="lrTb"/>
            <w:vAlign w:val="top"/>
          </w:tcPr>
          <w:p>
            <w:pPr>
              <w:pStyle w:val="Title"/>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PRÍLOHA I Smernice Komisie 2000/39/ES</w:t>
            </w:r>
          </w:p>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 xml:space="preserve">INDIKAČNÉ EXPOZIČNÉ LIMITNÉ HODNOTY PRI PRÁCI </w:t>
            </w:r>
          </w:p>
          <w:p>
            <w:pPr>
              <w:pStyle w:val="BodyText"/>
              <w:spacing w:before="0" w:after="0"/>
              <w:rPr>
                <w:rStyle w:val="DefaultParagraphFont"/>
                <w:rFonts w:ascii="Times New Roman" w:hAnsi="Times New Roman" w:cs="Times New Roman"/>
                <w:szCs w:val="24"/>
                <w:lang w:val="sk-SK"/>
              </w:rPr>
            </w:pPr>
          </w:p>
          <w:p>
            <w:pPr>
              <w:rPr>
                <w:rStyle w:val="DefaultParagraphFont"/>
                <w:rFonts w:ascii="Times New Roman" w:hAnsi="Times New Roman" w:cs="Times New Roman"/>
                <w:szCs w:val="24"/>
              </w:rPr>
            </w:pPr>
            <w:r>
              <w:rPr>
                <w:rStyle w:val="DefaultParagraphFont"/>
                <w:rFonts w:ascii="Times New Roman" w:hAnsi="Times New Roman" w:cs="Times New Roman"/>
                <w:szCs w:val="24"/>
              </w:rPr>
              <w:t>PRÍLOHA I Smernice Komisie 91/322/EHS</w:t>
            </w:r>
          </w:p>
          <w:p>
            <w:pPr>
              <w:pStyle w:val="BodyText"/>
              <w:spacing w:before="0" w:after="0"/>
              <w:rPr>
                <w:rStyle w:val="DefaultParagraphFont"/>
                <w:rFonts w:ascii="Times New Roman" w:hAnsi="Times New Roman" w:cs="Times New Roman"/>
                <w:b/>
                <w:szCs w:val="24"/>
                <w:lang w:val="sk-SK"/>
              </w:rPr>
            </w:pPr>
            <w:r>
              <w:rPr>
                <w:rStyle w:val="DefaultParagraphFont"/>
                <w:rFonts w:ascii="Times New Roman" w:hAnsi="Times New Roman" w:cs="Times New Roman"/>
                <w:b/>
                <w:szCs w:val="24"/>
                <w:lang w:val="sk-SK"/>
              </w:rPr>
              <w:t>INDIKAČNÉ LIMITNÉ HODNOTY</w:t>
            </w:r>
          </w:p>
          <w:p>
            <w:pPr>
              <w:pStyle w:val="BodyText"/>
              <w:spacing w:before="0" w:after="0"/>
              <w:rPr>
                <w:rStyle w:val="DefaultParagraphFont"/>
                <w:rFonts w:ascii="Times New Roman" w:hAnsi="Times New Roman" w:cs="Times New Roman"/>
                <w:szCs w:val="24"/>
                <w:lang w:val="sk-SK"/>
              </w:rPr>
            </w:pPr>
          </w:p>
        </w:tc>
        <w:tc>
          <w:tcPr>
            <w:tcW w:w="0" w:type="auto"/>
            <w:gridSpan w:val="2"/>
            <w:tcBorders>
              <w:top w:val="nil"/>
              <w:left w:val="nil"/>
              <w:bottom w:val="single" w:sz="4" w:space="0" w:color="auto"/>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w:t>
            </w:r>
          </w:p>
        </w:tc>
        <w:tc>
          <w:tcPr>
            <w:tcW w:w="0" w:type="auto"/>
            <w:gridSpan w:val="2"/>
            <w:tcBorders>
              <w:top w:val="nil"/>
              <w:left w:val="nil"/>
              <w:bottom w:val="single" w:sz="4" w:space="0" w:color="auto"/>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355/2006 Z.z.</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tc>
        <w:tc>
          <w:tcPr>
            <w:tcW w:w="0" w:type="auto"/>
            <w:gridSpan w:val="2"/>
            <w:tcBorders>
              <w:top w:val="nil"/>
              <w:left w:val="nil"/>
              <w:bottom w:val="single" w:sz="4" w:space="0" w:color="auto"/>
              <w:right w:val="nil"/>
              <w:tl2br w:val="nil"/>
              <w:tr2bl w:val="nil"/>
            </w:tcBorders>
            <w:textDirection w:val="lrTb"/>
            <w:vAlign w:val="top"/>
          </w:tcPr>
          <w:p>
            <w:pPr>
              <w:pStyle w:val="Normlny"/>
              <w:jc w:val="center"/>
              <w:rPr>
                <w:rStyle w:val="DefaultParagraphFont"/>
                <w:rFonts w:ascii="Times New Roman" w:hAnsi="Times New Roman" w:cs="Times New Roman"/>
                <w:szCs w:val="24"/>
              </w:rPr>
            </w:pPr>
          </w:p>
        </w:tc>
        <w:tc>
          <w:tcPr>
            <w:tcW w:w="0" w:type="auto"/>
            <w:gridSpan w:val="2"/>
            <w:tcBorders>
              <w:top w:val="nil"/>
              <w:left w:val="nil"/>
              <w:bottom w:val="single" w:sz="4" w:space="0" w:color="auto"/>
              <w:right w:val="nil"/>
              <w:tl2br w:val="nil"/>
              <w:tr2bl w:val="nil"/>
            </w:tcBorders>
            <w:textDirection w:val="lrTb"/>
            <w:vAlign w:val="top"/>
          </w:tcPr>
          <w:p>
            <w:pPr>
              <w:pStyle w:val="Title"/>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 xml:space="preserve">Príloha č.1 </w:t>
            </w:r>
          </w:p>
          <w:p>
            <w:pPr>
              <w:pStyle w:val="Normlny"/>
              <w:jc w:val="both"/>
              <w:rPr>
                <w:rStyle w:val="DefaultParagraphFont"/>
                <w:rFonts w:ascii="Times New Roman" w:hAnsi="Times New Roman" w:cs="Times New Roman"/>
                <w:b/>
                <w:szCs w:val="24"/>
              </w:rPr>
            </w:pPr>
            <w:r>
              <w:rPr>
                <w:rStyle w:val="DefaultParagraphFont"/>
                <w:rFonts w:ascii="Times New Roman" w:hAnsi="Times New Roman" w:cs="Times New Roman"/>
                <w:b/>
                <w:szCs w:val="24"/>
              </w:rPr>
              <w:t>Najvyššie prípustné expozičné limity  chemických</w:t>
            </w:r>
            <w:r>
              <w:rPr>
                <w:rStyle w:val="DefaultParagraphFont"/>
                <w:rFonts w:ascii="Times New Roman" w:hAnsi="Times New Roman" w:cs="Times New Roman"/>
                <w:b/>
                <w:szCs w:val="24"/>
              </w:rPr>
              <w:t xml:space="preserve">  faktorov v pracovnom ovzduší </w:t>
            </w:r>
          </w:p>
          <w:p>
            <w:pPr>
              <w:pStyle w:val="Normlny"/>
              <w:jc w:val="both"/>
              <w:rPr>
                <w:rStyle w:val="DefaultParagraphFont"/>
                <w:rFonts w:ascii="Times New Roman" w:hAnsi="Times New Roman" w:cs="Times New Roman"/>
                <w:b/>
                <w:szCs w:val="24"/>
              </w:rPr>
            </w:pPr>
          </w:p>
          <w:p>
            <w:pPr>
              <w:pStyle w:val="Normlny"/>
              <w:jc w:val="both"/>
              <w:rPr>
                <w:rStyle w:val="DefaultParagraphFont"/>
                <w:rFonts w:ascii="Times New Roman" w:hAnsi="Times New Roman" w:cs="Times New Roman"/>
                <w:b/>
                <w:szCs w:val="24"/>
              </w:rPr>
            </w:pPr>
          </w:p>
          <w:p>
            <w:pPr>
              <w:pStyle w:val="Title"/>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 xml:space="preserve">Príloha č.1 </w:t>
            </w:r>
          </w:p>
          <w:p>
            <w:pPr>
              <w:pStyle w:val="Normlny"/>
              <w:jc w:val="both"/>
              <w:rPr>
                <w:rStyle w:val="DefaultParagraphFont"/>
                <w:rFonts w:ascii="Times New Roman" w:hAnsi="Times New Roman" w:cs="Times New Roman"/>
                <w:b/>
                <w:szCs w:val="24"/>
              </w:rPr>
            </w:pPr>
            <w:r>
              <w:rPr>
                <w:rStyle w:val="DefaultParagraphFont"/>
                <w:rFonts w:ascii="Times New Roman" w:hAnsi="Times New Roman" w:cs="Times New Roman"/>
                <w:b/>
                <w:szCs w:val="24"/>
              </w:rPr>
              <w:t xml:space="preserve">Najvyššie prípustné expozičné limity  chemických  faktorov v pracovnom ovzduší </w:t>
            </w:r>
          </w:p>
          <w:p>
            <w:pPr>
              <w:pStyle w:val="Normlny"/>
              <w:jc w:val="both"/>
              <w:rPr>
                <w:rStyle w:val="DefaultParagraphFont"/>
                <w:rFonts w:ascii="Times New Roman" w:hAnsi="Times New Roman" w:cs="Times New Roman"/>
                <w:b/>
                <w:szCs w:val="24"/>
              </w:rPr>
            </w:pPr>
          </w:p>
        </w:tc>
        <w:tc>
          <w:tcPr>
            <w:tcW w:w="0" w:type="auto"/>
            <w:gridSpan w:val="2"/>
            <w:tcBorders>
              <w:top w:val="nil"/>
              <w:left w:val="nil"/>
              <w:bottom w:val="single" w:sz="4" w:space="0" w:color="auto"/>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w:t>
            </w:r>
          </w:p>
        </w:tc>
        <w:tc>
          <w:tcPr>
            <w:tcW w:w="0" w:type="auto"/>
            <w:gridSpan w:val="2"/>
            <w:tcBorders>
              <w:top w:val="nil"/>
              <w:left w:val="nil"/>
              <w:bottom w:val="single" w:sz="4" w:space="0" w:color="auto"/>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MZSR</w:t>
            </w: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MZSR</w:t>
            </w:r>
          </w:p>
        </w:tc>
        <w:tc>
          <w:tcPr>
            <w:tcW w:w="0" w:type="auto"/>
            <w:gridSpan w:val="2"/>
            <w:tcBorders>
              <w:top w:val="nil"/>
              <w:left w:val="nil"/>
              <w:bottom w:val="single" w:sz="4" w:space="0" w:color="auto"/>
              <w:right w:val="nil"/>
              <w:tl2br w:val="nil"/>
              <w:tr2bl w:val="nil"/>
            </w:tcBorders>
            <w:textDirection w:val="lrTb"/>
            <w:vAlign w:val="top"/>
          </w:tcPr>
          <w:p>
            <w:pPr>
              <w:pStyle w:val="Heading1"/>
              <w:suppressAutoHyphens/>
              <w:outlineLvl w:val="0"/>
              <w:rPr>
                <w:rStyle w:val="DefaultParagraphFont"/>
                <w:rFonts w:ascii="Times New Roman" w:hAnsi="Times New Roman" w:cs="Times New Roman"/>
                <w:b w:val="0"/>
                <w:szCs w:val="24"/>
              </w:rPr>
            </w:pPr>
          </w:p>
        </w:tc>
        <w:tc>
          <w:tcPr>
            <w:tcW w:w="0" w:type="auto"/>
            <w:gridSpan w:val="2"/>
            <w:tcBorders>
              <w:top w:val="nil"/>
              <w:left w:val="nil"/>
              <w:bottom w:val="single" w:sz="4" w:space="0" w:color="auto"/>
              <w:right w:val="single" w:sz="12" w:space="0" w:color="auto"/>
              <w:tl2br w:val="nil"/>
              <w:tr2bl w:val="nil"/>
            </w:tcBorders>
            <w:textDirection w:val="lrTb"/>
            <w:vAlign w:val="top"/>
          </w:tcPr>
          <w:p>
            <w:pPr>
              <w:pStyle w:val="Heading1"/>
              <w:suppressAutoHyphens/>
              <w:jc w:val="both"/>
              <w:outlineLvl w:val="0"/>
              <w:rPr>
                <w:rStyle w:val="DefaultParagraphFont"/>
                <w:rFonts w:ascii="Times New Roman" w:hAnsi="Times New Roman" w:cs="Times New Roman"/>
                <w:b w:val="0"/>
                <w:szCs w:val="24"/>
              </w:rPr>
            </w:pPr>
          </w:p>
        </w:tc>
      </w:tr>
    </w:tbl>
    <w:p>
      <w:pPr>
        <w:ind w:left="360"/>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tbl>
      <w:tblPr>
        <w:tblInd w:w="-497" w:type="dxa"/>
        <w:tblBorders>
          <w:top w:val="single" w:sz="4" w:space="0" w:color="auto"/>
          <w:left w:val="single" w:sz="4" w:space="0" w:color="auto"/>
          <w:bottom w:val="single" w:sz="4" w:space="0" w:color="auto"/>
          <w:right w:val="single" w:sz="4" w:space="0" w:color="auto"/>
        </w:tblBorders>
        <w:tblLayout w:type="fixed"/>
        <w:tblCellMar>
          <w:top w:w="0" w:type="dxa"/>
          <w:left w:w="43" w:type="dxa"/>
          <w:bottom w:w="0" w:type="dxa"/>
          <w:right w:w="43" w:type="dxa"/>
        </w:tblCellMar>
      </w:tblPr>
      <w:tblGrid>
        <w:gridCol w:w="1186"/>
        <w:gridCol w:w="14974"/>
      </w:tblGrid>
      <w:tr>
        <w:tblPrEx>
          <w:tblInd w:w="-497" w:type="dxa"/>
          <w:tblBorders>
            <w:top w:val="single" w:sz="4" w:space="0" w:color="auto"/>
            <w:left w:val="single" w:sz="4" w:space="0" w:color="auto"/>
            <w:bottom w:val="single" w:sz="4" w:space="0" w:color="auto"/>
            <w:right w:val="single" w:sz="4" w:space="0" w:color="auto"/>
          </w:tblBorders>
          <w:tblLayout w:type="fixed"/>
          <w:tblCellMar>
            <w:top w:w="0" w:type="dxa"/>
            <w:left w:w="43" w:type="dxa"/>
            <w:bottom w:w="0" w:type="dxa"/>
            <w:right w:w="43" w:type="dxa"/>
          </w:tblCellMar>
        </w:tblPrEx>
        <w:trPr>
          <w:cantSplit/>
          <w:trHeight w:hRule="auto" w:val="0"/>
        </w:trPr>
        <w:tc>
          <w:tcPr>
            <w:tcW w:w="0" w:type="auto"/>
            <w:gridSpan w:val="2"/>
            <w:tcBorders>
              <w:top w:val="single" w:sz="12" w:space="0" w:color="auto"/>
              <w:left w:val="single" w:sz="12" w:space="0" w:color="auto"/>
              <w:bottom w:val="nil"/>
              <w:right w:val="single" w:sz="12" w:space="0" w:color="auto"/>
              <w:tl2br w:val="nil"/>
              <w:tr2bl w:val="nil"/>
            </w:tcBorders>
            <w:textDirection w:val="lrTb"/>
            <w:vAlign w:val="top"/>
          </w:tcPr>
          <w:p>
            <w:pPr>
              <w:pStyle w:val="Heading2"/>
              <w:outlineLvl w:val="1"/>
              <w:rPr>
                <w:rStyle w:val="DefaultParagraphFont"/>
                <w:rFonts w:ascii="Times New Roman" w:hAnsi="Times New Roman" w:cs="Times New Roman"/>
                <w:szCs w:val="24"/>
              </w:rPr>
            </w:pPr>
            <w:r>
              <w:rPr>
                <w:rStyle w:val="DefaultParagraphFont"/>
                <w:rFonts w:ascii="Times New Roman" w:hAnsi="Times New Roman" w:cs="Times New Roman"/>
                <w:szCs w:val="24"/>
              </w:rPr>
              <w:t>Zoznam všeobecne záväzných právnych predpisov preberajúcich smernicu:</w:t>
            </w:r>
          </w:p>
          <w:p>
            <w:pPr>
              <w:jc w:val="center"/>
              <w:rPr>
                <w:rStyle w:val="DefaultParagraphFont"/>
                <w:rFonts w:ascii="Times New Roman" w:hAnsi="Times New Roman" w:cs="Times New Roman"/>
                <w:szCs w:val="24"/>
              </w:rPr>
            </w:pPr>
          </w:p>
        </w:tc>
      </w:tr>
      <w:tr>
        <w:tblPrEx>
          <w:tblInd w:w="-497" w:type="dxa"/>
          <w:tblLayout w:type="fixed"/>
          <w:tblCellMar>
            <w:top w:w="0" w:type="dxa"/>
            <w:left w:w="43" w:type="dxa"/>
            <w:bottom w:w="0" w:type="dxa"/>
            <w:right w:w="43" w:type="dxa"/>
          </w:tblCellMar>
        </w:tblPrEx>
        <w:trPr>
          <w:cantSplit/>
          <w:trHeight w:hRule="auto" w:val="0"/>
        </w:trPr>
        <w:tc>
          <w:tcPr>
            <w:tcW w:w="0" w:type="auto"/>
            <w:tcBorders>
              <w:top w:val="nil"/>
              <w:left w:val="single" w:sz="12" w:space="0" w:color="auto"/>
              <w:bottom w:val="nil"/>
              <w:right w:val="nil"/>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Por. č.</w:t>
            </w:r>
          </w:p>
        </w:tc>
        <w:tc>
          <w:tcPr>
            <w:tcW w:w="0" w:type="auto"/>
            <w:tcBorders>
              <w:top w:val="nil"/>
              <w:left w:val="nil"/>
              <w:bottom w:val="nil"/>
              <w:right w:val="single" w:sz="12"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Názov predpisu</w:t>
            </w:r>
          </w:p>
        </w:tc>
      </w:tr>
      <w:tr>
        <w:tblPrEx>
          <w:tblInd w:w="-497" w:type="dxa"/>
          <w:tblLayout w:type="fixed"/>
          <w:tblCellMar>
            <w:top w:w="0" w:type="dxa"/>
            <w:left w:w="43" w:type="dxa"/>
            <w:bottom w:w="0" w:type="dxa"/>
            <w:right w:w="43" w:type="dxa"/>
          </w:tblCellMar>
        </w:tblPrEx>
        <w:trPr>
          <w:cantSplit/>
          <w:trHeight w:hRule="auto" w:val="0"/>
        </w:trPr>
        <w:tc>
          <w:tcPr>
            <w:tcW w:w="0" w:type="auto"/>
            <w:tcBorders>
              <w:top w:val="nil"/>
              <w:left w:val="single" w:sz="12" w:space="0" w:color="auto"/>
              <w:bottom w:val="single" w:sz="12" w:space="0" w:color="auto"/>
              <w:right w:val="nil"/>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w:t>
            </w:r>
          </w:p>
        </w:tc>
        <w:tc>
          <w:tcPr>
            <w:tcW w:w="0" w:type="auto"/>
            <w:tcBorders>
              <w:top w:val="nil"/>
              <w:left w:val="nil"/>
              <w:bottom w:val="single" w:sz="12" w:space="0" w:color="auto"/>
              <w:right w:val="single" w:sz="12" w:space="0" w:color="auto"/>
              <w:tl2br w:val="nil"/>
              <w:tr2bl w:val="nil"/>
            </w:tcBorders>
            <w:textDirection w:val="lrTb"/>
            <w:vAlign w:val="top"/>
          </w:tcPr>
          <w:p>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Nariadenie vlády SR č. .../2006 Z. z. o ochrane zamestnancov pred rizikami súvisiacimi s expozíciou chemickým faktorom pri práci</w:t>
            </w:r>
          </w:p>
          <w:p>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Návrh zákona o ochrane, podpore a rozvoji verejného zdravia</w:t>
            </w:r>
          </w:p>
          <w:p>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Zákon č.575/2001 Z. z. o organizácii činnosti vlády a organizácii ústrednej štátnej správy</w:t>
            </w:r>
          </w:p>
        </w:tc>
      </w:tr>
    </w:tbl>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tbl>
      <w:tblPr>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34"/>
        <w:gridCol w:w="993"/>
        <w:gridCol w:w="1701"/>
        <w:gridCol w:w="708"/>
        <w:gridCol w:w="567"/>
        <w:gridCol w:w="709"/>
        <w:gridCol w:w="589"/>
        <w:gridCol w:w="484"/>
        <w:gridCol w:w="62"/>
        <w:gridCol w:w="105"/>
        <w:gridCol w:w="567"/>
        <w:gridCol w:w="2162"/>
        <w:gridCol w:w="992"/>
        <w:gridCol w:w="993"/>
        <w:gridCol w:w="708"/>
        <w:gridCol w:w="851"/>
        <w:gridCol w:w="850"/>
        <w:gridCol w:w="993"/>
        <w:gridCol w:w="850"/>
        <w:gridCol w:w="1"/>
      </w:tblGrid>
      <w:tr>
        <w:tblPrEx>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gridAfter w:val="1"/>
          <w:trHeight w:hRule="auto" w:val="0"/>
        </w:trPr>
        <w:tc>
          <w:tcPr>
            <w:tcW w:w="0" w:type="auto"/>
            <w:gridSpan w:val="9"/>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Title"/>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PRÍLOHA I Smernice Komisie 2000/39/ES</w:t>
            </w:r>
          </w:p>
          <w:p>
            <w:pPr>
              <w:pStyle w:val="Title"/>
              <w:jc w:val="both"/>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INDIKAČNÉ EXPOZIČNÉ LIMITNÉ HODNOTY PRI PRÁCI </w:t>
            </w: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tc>
        <w:tc>
          <w:tcPr>
            <w:tcW w:w="0" w:type="auto"/>
            <w:gridSpan w:val="10"/>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Title"/>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 xml:space="preserve">Príloha č.1 </w:t>
            </w:r>
          </w:p>
          <w:p>
            <w:pPr>
              <w:rPr>
                <w:rStyle w:val="DefaultParagraphFont"/>
                <w:rFonts w:ascii="Times New Roman" w:hAnsi="Times New Roman" w:cs="Times New Roman"/>
                <w:b/>
                <w:szCs w:val="24"/>
              </w:rPr>
            </w:pPr>
            <w:r>
              <w:rPr>
                <w:rStyle w:val="DefaultParagraphFont"/>
                <w:rFonts w:ascii="Times New Roman" w:hAnsi="Times New Roman" w:cs="Times New Roman"/>
                <w:b/>
                <w:szCs w:val="24"/>
              </w:rPr>
              <w:t>Najvyššie prípustné expozičné limity chemických faktorov v pracovnom ovzduší</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EINECS</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CAS</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Názov látky</w:t>
            </w:r>
          </w:p>
        </w:tc>
        <w:tc>
          <w:tcPr>
            <w:tcW w:w="0" w:type="auto"/>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Limitné hodnoty</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Pozorovanie</w:t>
            </w:r>
          </w:p>
        </w:tc>
        <w:tc>
          <w:tcPr>
            <w:tcW w:w="0" w:type="auto"/>
            <w:gridSpan w:val="2"/>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Po. Čís.</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FootnoteText"/>
              <w:rPr>
                <w:rStyle w:val="DefaultParagraphFont"/>
                <w:rFonts w:ascii="Times New Roman" w:hAnsi="Times New Roman" w:cs="Times New Roman"/>
                <w:szCs w:val="24"/>
              </w:rPr>
            </w:pPr>
            <w:r>
              <w:rPr>
                <w:rStyle w:val="DefaultParagraphFont"/>
                <w:rFonts w:ascii="Times New Roman" w:hAnsi="Times New Roman" w:cs="Times New Roman"/>
                <w:szCs w:val="24"/>
              </w:rPr>
              <w:t>Chemická látka</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EINECS</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CAS</w:t>
            </w:r>
          </w:p>
        </w:tc>
        <w:tc>
          <w:tcPr>
            <w:tcW w:w="0" w:type="auto"/>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NPEL</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Upozor-nenie</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Osemhodino-vé</w:t>
            </w:r>
          </w:p>
        </w:tc>
        <w:tc>
          <w:tcPr>
            <w:tcW w:w="0" w:type="auto"/>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Krátkodobé</w:t>
            </w: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priemerná</w:t>
            </w:r>
          </w:p>
        </w:tc>
        <w:tc>
          <w:tcPr>
            <w:tcW w:w="0" w:type="auto"/>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Hraničná</w:t>
            </w: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vertAlign w:val="superscript"/>
                <w:lang w:val="sk-SK"/>
              </w:rPr>
            </w:pPr>
            <w:r>
              <w:rPr>
                <w:rStyle w:val="DefaultParagraphFont"/>
                <w:rFonts w:ascii="Times New Roman" w:hAnsi="Times New Roman" w:cs="Times New Roman"/>
                <w:szCs w:val="24"/>
                <w:lang w:val="sk-SK"/>
              </w:rPr>
              <w:t>mg/m</w:t>
            </w:r>
            <w:r>
              <w:rPr>
                <w:rStyle w:val="DefaultParagraphFont"/>
                <w:rFonts w:ascii="Times New Roman" w:hAnsi="Times New Roman" w:cs="Times New Roman"/>
                <w:szCs w:val="24"/>
                <w:vertAlign w:val="superscript"/>
                <w:lang w:val="sk-SK"/>
              </w:rPr>
              <w:t>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ppm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vertAlign w:val="superscript"/>
                <w:lang w:val="sk-SK"/>
              </w:rPr>
            </w:pPr>
            <w:r>
              <w:rPr>
                <w:rStyle w:val="DefaultParagraphFont"/>
                <w:rFonts w:ascii="Times New Roman" w:hAnsi="Times New Roman" w:cs="Times New Roman"/>
                <w:szCs w:val="24"/>
                <w:lang w:val="sk-SK"/>
              </w:rPr>
              <w:t>mg/m</w:t>
            </w:r>
            <w:r>
              <w:rPr>
                <w:rStyle w:val="DefaultParagraphFont"/>
                <w:rFonts w:ascii="Times New Roman" w:hAnsi="Times New Roman" w:cs="Times New Roman"/>
                <w:szCs w:val="24"/>
                <w:vertAlign w:val="superscript"/>
                <w:lang w:val="sk-SK"/>
              </w:rPr>
              <w:t>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Ppm</w:t>
            </w: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ml.m-</w:t>
            </w:r>
            <w:r>
              <w:rPr>
                <w:rStyle w:val="DefaultParagraphFont"/>
                <w:rFonts w:ascii="Times New Roman" w:hAnsi="Times New Roman" w:cs="Times New Roman"/>
                <w:szCs w:val="24"/>
                <w:vertAlign w:val="superscript"/>
              </w:rPr>
              <w:t xml:space="preserve">3 </w:t>
            </w:r>
            <w:r>
              <w:rPr>
                <w:rStyle w:val="DefaultParagraphFont"/>
                <w:rFonts w:ascii="Times New Roman" w:hAnsi="Times New Roman" w:cs="Times New Roman"/>
                <w:szCs w:val="24"/>
              </w:rPr>
              <w:t>(ppm)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mg.m</w:t>
            </w:r>
            <w:r>
              <w:rPr>
                <w:rStyle w:val="DefaultParagraphFont"/>
                <w:rFonts w:ascii="Times New Roman" w:hAnsi="Times New Roman" w:cs="Times New Roman"/>
                <w:szCs w:val="24"/>
                <w:vertAlign w:val="superscript"/>
              </w:rPr>
              <w:t>-3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kategória</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mg.m</w:t>
            </w:r>
            <w:r>
              <w:rPr>
                <w:rStyle w:val="DefaultParagraphFont"/>
                <w:rFonts w:ascii="Times New Roman" w:hAnsi="Times New Roman" w:cs="Times New Roman"/>
                <w:szCs w:val="24"/>
                <w:vertAlign w:val="superscript"/>
              </w:rPr>
              <w:t>-3</w:t>
            </w: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200-467-2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60-29-7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dietyléter</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616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dietyléter</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200-467-2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60-29-7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616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caps/>
                <w:szCs w:val="24"/>
              </w:rPr>
            </w:pPr>
            <w:r>
              <w:rPr>
                <w:rStyle w:val="DefaultParagraphFont"/>
                <w:rFonts w:ascii="Times New Roman" w:hAnsi="Times New Roman" w:cs="Times New Roman"/>
                <w:caps/>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200-662-2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67-64-1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acetone</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acetón (propanón)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200-662-2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67-64-1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caps/>
                <w:szCs w:val="24"/>
              </w:rPr>
            </w:pPr>
            <w:r>
              <w:rPr>
                <w:rStyle w:val="DefaultParagraphFont"/>
                <w:rFonts w:ascii="Times New Roman" w:hAnsi="Times New Roman" w:cs="Times New Roman"/>
                <w:caps/>
                <w:szCs w:val="24"/>
              </w:rPr>
              <w:t>2420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caps/>
                <w:szCs w:val="24"/>
                <w:lang w:val="sk-SK"/>
              </w:rPr>
            </w:pPr>
            <w:r>
              <w:rPr>
                <w:rStyle w:val="DefaultParagraphFont"/>
                <w:rFonts w:ascii="Times New Roman" w:hAnsi="Times New Roman" w:cs="Times New Roman"/>
                <w:caps/>
                <w:szCs w:val="24"/>
                <w:lang w:val="sk-SK"/>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200-663-8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71-55-6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chloroform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chloroform</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(trichlórmetán)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200-663-8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67-66-3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200-756-3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71-55-6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1,1,1-trichlóretán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555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265.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1,1,1- trichlór-etán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(metyl-chloroform)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200-756-3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71-55-6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200-834-7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75-04-7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etylamín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etylamín (etánamín)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200-834-7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75-04-7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18,8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200-863-5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75-34-3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1,1-dichlóretán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412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1,1-dichlóretán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200-863-5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75-34-3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412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200-870-3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75-44-5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fosgén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0,02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fosgén (chlorid karbonylu, dichloridoxid uhličitý)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200-870-3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75-44-5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0,02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200-871-9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75-45-6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chlórdiflour-metán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3600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 -</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188.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monochlórdifluórmetán (chlórdifluórmetán)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200-871-9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75-45-6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3600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201-159-0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78-93-3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butanón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butanón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(etylmetylketón)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201-159-0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78-93-3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900</w:t>
            </w:r>
          </w:p>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201-176-3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79-09-4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kyselina propionová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kyselina propánová (kyselina propiónová)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201-176-3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79-09-4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202-422-2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95-47-6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o-xylén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spacing w:before="12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o-xylén</w:t>
            </w:r>
          </w:p>
          <w:p>
            <w:pPr>
              <w:jc w:val="both"/>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202-422-2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95-47-6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202-425-9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95-50-1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1,2-dichlórobenzén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306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1,2-dichlórbenzén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(o-dichlórbenzén)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202-425-9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95-50-1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202-436-9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95-63-6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1,2,4-trimetylbenzén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1,2,4-trimetylbenzén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202-436-9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95-63-6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202-704-5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98-82-9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kumen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izopropylbenzén (kumén)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202-704-5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98-82-9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202-705-0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98-83-9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2-fenylpropén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246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492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 fenylpropén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202-705-0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98-83-9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492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202-849-4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100-41-4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etylbenzén</w:t>
            </w:r>
          </w:p>
          <w:p>
            <w:pPr>
              <w:pStyle w:val="BodyText"/>
              <w:spacing w:before="0" w:after="0"/>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884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etylbenzén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202-849-4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100-41-4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884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203-313-2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105-60-2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ind w:left="-108" w:firstLine="141"/>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e-caprolaktam (prach a výpary)</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135.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kaprolaktám (prach, pary)</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203-313-2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105-60-2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203-388-1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106-35-4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3-heptanon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heptán-3-ón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203-388-1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106-35-4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203-396-5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106-42-3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p-xylén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280.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p-xylén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203-396-5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106-42-3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203-400-5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106-46-7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1,4-dichlórobenzén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306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1,4-dichlórbenzén</w:t>
            </w:r>
          </w:p>
          <w:p>
            <w:pPr>
              <w:jc w:val="both"/>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203-400-5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106-46-7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203-470-7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107-18-6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alyl alcohol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9"/>
              <w:numPr>
                <w:ilvl w:val="0"/>
                <w:numId w:val="0"/>
              </w:numPr>
              <w:tabs>
                <w:tab w:val="clear" w:pos="317"/>
              </w:tabs>
              <w:outlineLvl w:val="8"/>
              <w:rPr>
                <w:rStyle w:val="DefaultParagraphFont"/>
                <w:rFonts w:ascii="Times New Roman" w:hAnsi="Times New Roman" w:cs="Times New Roman"/>
                <w:szCs w:val="24"/>
              </w:rPr>
            </w:pPr>
            <w:r>
              <w:rPr>
                <w:rStyle w:val="DefaultParagraphFont"/>
                <w:rFonts w:ascii="Times New Roman" w:hAnsi="Times New Roman" w:cs="Times New Roman"/>
                <w:szCs w:val="24"/>
              </w:rPr>
              <w:t>alylalkohol</w:t>
            </w:r>
          </w:p>
          <w:p>
            <w:pPr>
              <w:jc w:val="both"/>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203-470-7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107-18-6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203-473-3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107-21-1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etylén glycol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etylénglykol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203-473-3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107-21-1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203-539-1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107-98-2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1-metoxypropanol-2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375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568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1-metoxypropán-2-ol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203-539-1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107-98-2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375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568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203-550-1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108-10-1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4-metyl-2-pentanon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83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183.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4-metylpentán-2-ón (izobutylmetylketón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203-550-1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108-10-1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203-576-3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108-38-3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m-xylén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m-xylén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203-576-3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108-38-3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203-603-9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108-65-6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2-metoxy-1metyletylacetát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275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2-metoxypropán-2-yl 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203-603-9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108-65-6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203-604-4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108-67-8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mesitylén (trimetylbenzény)</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1,3,5-trimetylbenzén (mezitylén)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203-604-4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108-67-8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203-628-5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108-90-7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chlorobenzén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chlórbenzén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203-628-5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108-90-7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203-631-1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108-94-1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cyklohexanón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81,6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cyklohexanón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203-631-1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108-94-1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81,6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203-632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108-95-2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fenol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 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fenol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203-632-7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108-95-2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203-726-8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109-99-9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tetrahydrofurán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tetrahydrofurán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203-726-8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109-99-9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val="9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203-737-8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110-12-3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5-metyl-2-henanon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177.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5-metylhexán-2-ón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(metylizoamylke-tón)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203-737-8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110-12-3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203-767-1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110-43-0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 2-heptanon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475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heptán-2-ón (metylpentylketón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203-767-1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110-43-0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475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203-808-3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110-85-0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both"/>
              <w:rPr>
                <w:rStyle w:val="DefaultParagraphFont"/>
                <w:rFonts w:ascii="Times New Roman" w:hAnsi="Times New Roman" w:cs="Times New Roman"/>
                <w:szCs w:val="24"/>
              </w:rPr>
            </w:pPr>
            <w:r>
              <w:rPr>
                <w:rStyle w:val="DefaultParagraphFont"/>
                <w:rFonts w:ascii="Times New Roman" w:hAnsi="Times New Roman" w:cs="Times New Roman"/>
                <w:szCs w:val="24"/>
              </w:rPr>
              <w:t>piperazín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piperazín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203-808-3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110-85-0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203-905-0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111-76-2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2-butoxyetanol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246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2-butoxy-etanol (butylglykol)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203-905-0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111-76-2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203-933-3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112-07-2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2-butoxyetyl 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2-butoxyetyl acetát (butylglykol 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203-933-3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112-07-2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333</w:t>
            </w:r>
          </w:p>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204-065-8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115-10-6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dimetyléter</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1920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dimetyléter</w:t>
            </w:r>
          </w:p>
          <w:p>
            <w:pPr>
              <w:jc w:val="both"/>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204-065-8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115-10-6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1920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204-428-0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2"/>
              <w:spacing w:after="0"/>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120-82-1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1.2.4-trichlórbenzén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15,1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1,2,4-trichlórbenzén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204-428-0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120-82-1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204-469-4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121-44-8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trietylamín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8,4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262.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trietylamín</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204-469-4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121-44-8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204-662-3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123-92-2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izopentylacetát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173.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3-metylbutylacetát</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(izopentyl-acetát)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204-662-3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123-92-2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204-697-4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124-40-3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dimetylamín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dimetylamín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204-697-4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124-40-3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9,4</w:t>
            </w:r>
          </w:p>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204-826-4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127-19-5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N,N-dimetylacetamid</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N,N-dimetylacetmid</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204-826-4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127-19-5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205-480-7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141-32-3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n-butylakrylát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butylakrylát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205-480-7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141-32-3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S</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205-563-8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142-82-5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n-heptán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2085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heptán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205-563-8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142-82-5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2 085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208-394-8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526-73-8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1,2,3-trimetylbenzén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1,2,3-trimetylbenzén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208-394-8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526-73-8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208-793-7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541-85-5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 xml:space="preserve">5-metyl- 3-heptanon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180.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5-metyl-3-heptanón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208-793-7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541-85-5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210-946-8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626-38-0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1-metylbutylacetát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172.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1-metylbutylacetát </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(pentán-2-yl 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210-946-8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626-38-0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211-047-3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628-63-7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pentylacetát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pentyl 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211-047-3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628-63-7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620-11-1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3-pentylacetát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3-pentylacetát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620-11-1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625-16-1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amylacetát, tert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pentylacetát, terciálny</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625-16-1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215-535-7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1330-20-7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xylén,  zmiešané izoméry, čistý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277.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xylén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215-535-7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1330-20-7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222-995-2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3689-24-5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sulfotep</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noProof/>
                <w:szCs w:val="24"/>
              </w:rPr>
            </w:pPr>
            <w:r>
              <w:rPr>
                <w:rStyle w:val="DefaultParagraphFont"/>
                <w:rFonts w:ascii="Times New Roman" w:hAnsi="Times New Roman" w:cs="Times New Roman"/>
                <w:szCs w:val="24"/>
              </w:rPr>
              <w:t>sulfotep (</w:t>
            </w:r>
            <w:r>
              <w:rPr>
                <w:rStyle w:val="DefaultParagraphFont"/>
                <w:rFonts w:ascii="Times New Roman" w:hAnsi="Times New Roman" w:cs="Times New Roman"/>
                <w:noProof/>
                <w:szCs w:val="24"/>
              </w:rPr>
              <w:t xml:space="preserve">O,O,O,O-tetraetyl difosforotioát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222-995-2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3689-24-5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231-634-8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7664-39-3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hydrogén fluorid</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fluorovodík</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231-634-8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7664-39-3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231-131-3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7440-22-4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striebro, metalické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striebro</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 kovové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231-131-3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7440-22-4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231-595-7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7647-01-0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hydrogén chloride</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chlorovodík</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231-595-7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7647-01-0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8,0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231-633-2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7664-38-2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kyselina ortofosforická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kyselina trihydrogénfosfo-rečná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231-633-2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7664-38-2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231-635-3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7664-41-7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amoniak, bezvodý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amoniak</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231-635-3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7664-41-7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231-954-8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7782-41-4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fluorín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1,58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3,16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fluór</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231-954-8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7782-41-4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3,16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231-978-9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7783-07-5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dihydrogén selenid</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0,02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0,17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0,05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dihydrogén selenid</w:t>
            </w:r>
          </w:p>
          <w:p>
            <w:pPr>
              <w:jc w:val="both"/>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231-978-9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7783-07-5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0,02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233-113-0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ind w:hanging="108"/>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10035-10-6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hydrogén bromide</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6,7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bromovodík</w:t>
            </w:r>
          </w:p>
          <w:p>
            <w:pPr>
              <w:jc w:val="both"/>
              <w:rPr>
                <w:rStyle w:val="DefaultParagraphFont"/>
                <w:rFonts w:ascii="Times New Roman" w:hAnsi="Times New Roman" w:cs="Times New Roman"/>
                <w:szCs w:val="24"/>
              </w:rPr>
            </w:pPr>
          </w:p>
          <w:p>
            <w:pPr>
              <w:jc w:val="both"/>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233-113-0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10035-10-6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6,7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247-852-1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ind w:hanging="108"/>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26628-22-8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sódium azid</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sódium azid (azid sodný)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247-852-1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26628-22-8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252-104-2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ind w:hanging="108"/>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34590-94-8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(2-metoxymetyletoxy)-propanol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308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 koži</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160.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2-metoxymetyl-etoxy propanol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252-104-2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34590-94-8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Ind w:w="-356" w:type="dxa"/>
          <w:tblLayout w:type="fixed"/>
          <w:tblCellMar>
            <w:top w:w="0" w:type="dxa"/>
            <w:left w:w="70" w:type="dxa"/>
            <w:bottom w:w="0" w:type="dxa"/>
            <w:right w:w="70" w:type="dxa"/>
          </w:tblCellMar>
        </w:tblPrEx>
        <w:trPr>
          <w:gridAfter w:val="1"/>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fluoridy, anorganické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w:t>
            </w:r>
          </w:p>
        </w:tc>
        <w:tc>
          <w:tcPr>
            <w:tcW w:w="0" w:type="auto"/>
            <w:gridSpan w:val="2"/>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fluoridy</w:t>
            </w:r>
          </w:p>
          <w:p>
            <w:pPr>
              <w:jc w:val="both"/>
              <w:rPr>
                <w:rStyle w:val="DefaultParagraphFont"/>
                <w:rFonts w:ascii="Times New Roman" w:hAnsi="Times New Roman" w:cs="Times New Roman"/>
                <w:szCs w:val="24"/>
              </w:rPr>
            </w:pPr>
            <w:r>
              <w:rPr>
                <w:rStyle w:val="DefaultParagraphFont"/>
                <w:rFonts w:ascii="Times New Roman" w:hAnsi="Times New Roman" w:cs="Times New Roman"/>
                <w:szCs w:val="24"/>
              </w:rPr>
              <w:t>-anorganické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bl>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tb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009"/>
        <w:gridCol w:w="8975"/>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framePr w:hSpace="141" w:vSpace="0" w:vAnchor="text" w:hAnchor="margin" w:xAlign="center" w:y="109"/>
              <w:rPr>
                <w:rStyle w:val="DefaultParagraphFont"/>
                <w:rFonts w:ascii="Times New Roman" w:hAnsi="Times New Roman" w:cs="Times New Roman"/>
                <w:szCs w:val="24"/>
              </w:rPr>
            </w:pPr>
            <w:r>
              <w:rPr>
                <w:rStyle w:val="DefaultParagraphFont"/>
                <w:rFonts w:ascii="Times New Roman" w:hAnsi="Times New Roman" w:cs="Times New Roman"/>
                <w:szCs w:val="24"/>
              </w:rPr>
              <w:t>PRÍLOHA Smernice Komisie 91/322/EHS</w:t>
            </w:r>
          </w:p>
          <w:p>
            <w:pPr>
              <w:framePr w:hSpace="141" w:vSpace="0" w:vAnchor="text" w:hAnchor="margin" w:xAlign="center" w:y="109"/>
              <w:rPr>
                <w:rStyle w:val="DefaultParagraphFont"/>
                <w:rFonts w:ascii="Times New Roman" w:hAnsi="Times New Roman" w:cs="Times New Roman"/>
                <w:b/>
                <w:szCs w:val="24"/>
              </w:rPr>
            </w:pPr>
            <w:r>
              <w:rPr>
                <w:rStyle w:val="DefaultParagraphFont"/>
                <w:rFonts w:ascii="Times New Roman" w:hAnsi="Times New Roman" w:cs="Times New Roman"/>
                <w:b/>
                <w:szCs w:val="24"/>
              </w:rPr>
              <w:t>INDIKAČNÉ LIMITNÉ HODNOTY</w:t>
            </w:r>
          </w:p>
          <w:p>
            <w:pPr>
              <w:framePr w:hSpace="141" w:vSpace="0" w:vAnchor="text" w:hAnchor="margin" w:xAlign="center" w:y="109"/>
              <w:rPr>
                <w:rStyle w:val="DefaultParagraphFont"/>
                <w:rFonts w:ascii="Times New Roman" w:hAnsi="Times New Roman" w:cs="Times New Roman"/>
                <w:szCs w:val="24"/>
              </w:rPr>
            </w:pPr>
          </w:p>
          <w:p>
            <w:pPr>
              <w:framePr w:hSpace="141" w:vSpace="0" w:vAnchor="text" w:hAnchor="margin" w:xAlign="center" w:y="109"/>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Title"/>
              <w:framePr w:hSpace="141" w:vSpace="0" w:vAnchor="text" w:hAnchor="margin" w:xAlign="center" w:y="109"/>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 xml:space="preserve">Príloha č.1 </w:t>
            </w:r>
          </w:p>
          <w:p>
            <w:pPr>
              <w:framePr w:hSpace="141" w:vSpace="0" w:vAnchor="text" w:hAnchor="margin" w:xAlign="center" w:y="109"/>
              <w:rPr>
                <w:rStyle w:val="DefaultParagraphFont"/>
                <w:rFonts w:ascii="Times New Roman" w:hAnsi="Times New Roman" w:cs="Times New Roman"/>
                <w:b/>
                <w:szCs w:val="24"/>
              </w:rPr>
            </w:pPr>
            <w:r>
              <w:rPr>
                <w:rStyle w:val="DefaultParagraphFont"/>
                <w:rFonts w:ascii="Times New Roman" w:hAnsi="Times New Roman" w:cs="Times New Roman"/>
                <w:b/>
                <w:szCs w:val="24"/>
              </w:rPr>
              <w:t>Najvyššie prípustné expozičné limity chemických faktorov v pracovnom ovzduší</w:t>
            </w:r>
          </w:p>
        </w:tc>
      </w:tr>
    </w:tbl>
    <w:p>
      <w:pPr>
        <w:rPr>
          <w:rStyle w:val="DefaultParagraphFont"/>
          <w:rFonts w:ascii="Times New Roman" w:hAnsi="Times New Roman" w:cs="Times New Roman"/>
          <w:szCs w:val="24"/>
        </w:rPr>
      </w:pP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34"/>
        <w:gridCol w:w="993"/>
        <w:gridCol w:w="1701"/>
        <w:gridCol w:w="708"/>
        <w:gridCol w:w="567"/>
        <w:gridCol w:w="725"/>
        <w:gridCol w:w="573"/>
        <w:gridCol w:w="484"/>
        <w:gridCol w:w="167"/>
        <w:gridCol w:w="567"/>
        <w:gridCol w:w="2162"/>
        <w:gridCol w:w="992"/>
        <w:gridCol w:w="993"/>
        <w:gridCol w:w="708"/>
        <w:gridCol w:w="851"/>
        <w:gridCol w:w="850"/>
        <w:gridCol w:w="993"/>
        <w:gridCol w:w="850"/>
      </w:tblGrid>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Height w:hRule="auto" w:val="0"/>
          <w:jc w:val="center"/>
        </w:trPr>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EINECS</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CAS</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Názov látky</w:t>
            </w:r>
          </w:p>
        </w:tc>
        <w:tc>
          <w:tcPr>
            <w:tcW w:w="0" w:type="auto"/>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Limitné hodnoty</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Pozorovanie</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Po. čís.</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FootnoteText"/>
              <w:rPr>
                <w:rStyle w:val="DefaultParagraphFont"/>
                <w:rFonts w:ascii="Times New Roman" w:hAnsi="Times New Roman" w:cs="Times New Roman"/>
                <w:szCs w:val="24"/>
              </w:rPr>
            </w:pPr>
            <w:r>
              <w:rPr>
                <w:rStyle w:val="DefaultParagraphFont"/>
                <w:rFonts w:ascii="Times New Roman" w:hAnsi="Times New Roman" w:cs="Times New Roman"/>
                <w:szCs w:val="24"/>
              </w:rPr>
              <w:t>Chemická látka</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EINECS</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CAS</w:t>
            </w:r>
          </w:p>
        </w:tc>
        <w:tc>
          <w:tcPr>
            <w:tcW w:w="0" w:type="auto"/>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NPEL</w:t>
            </w:r>
          </w:p>
        </w:tc>
        <w:tc>
          <w:tcPr>
            <w:tcW w:w="0" w:type="auto"/>
            <w:vMerge w:val="restart"/>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Upozor-nenie</w:t>
            </w:r>
          </w:p>
        </w:tc>
      </w:tr>
      <w:tr>
        <w:tblPrEx>
          <w:jc w:val="center"/>
          <w:tblLayout w:type="fixed"/>
          <w:tblCellMar>
            <w:top w:w="0" w:type="dxa"/>
            <w:left w:w="70" w:type="dxa"/>
            <w:bottom w:w="0" w:type="dxa"/>
            <w:right w:w="70" w:type="dxa"/>
          </w:tblCellMar>
        </w:tblPrEx>
        <w:trPr>
          <w:cantSplit/>
          <w:trHeight w:hRule="auto" w:val="0"/>
          <w:jc w:val="center"/>
        </w:trPr>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Osemhodino-vé</w:t>
            </w:r>
          </w:p>
        </w:tc>
        <w:tc>
          <w:tcPr>
            <w:tcW w:w="0" w:type="auto"/>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Krátkodobé</w:t>
            </w: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priemerná</w:t>
            </w:r>
          </w:p>
        </w:tc>
        <w:tc>
          <w:tcPr>
            <w:tcW w:w="0" w:type="auto"/>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hraničná</w:t>
            </w: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r>
      <w:tr>
        <w:tblPrEx>
          <w:jc w:val="center"/>
          <w:tblLayout w:type="fixed"/>
          <w:tblCellMar>
            <w:top w:w="0" w:type="dxa"/>
            <w:left w:w="70" w:type="dxa"/>
            <w:bottom w:w="0" w:type="dxa"/>
            <w:right w:w="70" w:type="dxa"/>
          </w:tblCellMar>
        </w:tblPrEx>
        <w:trPr>
          <w:cantSplit/>
          <w:trHeight w:hRule="auto" w:val="0"/>
          <w:jc w:val="center"/>
        </w:trPr>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ppm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mg/m</w:t>
            </w:r>
            <w:r>
              <w:rPr>
                <w:rStyle w:val="DefaultParagraphFont"/>
                <w:rFonts w:ascii="Times New Roman" w:hAnsi="Times New Roman" w:cs="Times New Roman"/>
                <w:szCs w:val="24"/>
                <w:vertAlign w:val="superscript"/>
              </w:rPr>
              <w:t>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ppm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mg/m</w:t>
            </w:r>
            <w:r>
              <w:rPr>
                <w:rStyle w:val="DefaultParagraphFont"/>
                <w:rFonts w:ascii="Times New Roman" w:hAnsi="Times New Roman" w:cs="Times New Roman"/>
                <w:szCs w:val="24"/>
                <w:vertAlign w:val="superscript"/>
              </w:rPr>
              <w:t>3</w:t>
            </w: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ml.m-</w:t>
            </w:r>
            <w:r>
              <w:rPr>
                <w:rStyle w:val="DefaultParagraphFont"/>
                <w:rFonts w:ascii="Times New Roman" w:hAnsi="Times New Roman" w:cs="Times New Roman"/>
                <w:szCs w:val="24"/>
                <w:vertAlign w:val="superscript"/>
              </w:rPr>
              <w:t xml:space="preserve">3 </w:t>
            </w:r>
            <w:r>
              <w:rPr>
                <w:rStyle w:val="DefaultParagraphFont"/>
                <w:rFonts w:ascii="Times New Roman" w:hAnsi="Times New Roman" w:cs="Times New Roman"/>
                <w:szCs w:val="24"/>
              </w:rPr>
              <w:t>(ppm)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mg.m</w:t>
            </w:r>
            <w:r>
              <w:rPr>
                <w:rStyle w:val="DefaultParagraphFont"/>
                <w:rFonts w:ascii="Times New Roman" w:hAnsi="Times New Roman" w:cs="Times New Roman"/>
                <w:szCs w:val="24"/>
                <w:vertAlign w:val="superscript"/>
              </w:rPr>
              <w:t>-3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kategória</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mg.m</w:t>
            </w:r>
            <w:r>
              <w:rPr>
                <w:rStyle w:val="DefaultParagraphFont"/>
                <w:rFonts w:ascii="Times New Roman" w:hAnsi="Times New Roman" w:cs="Times New Roman"/>
                <w:szCs w:val="24"/>
                <w:vertAlign w:val="superscript"/>
              </w:rPr>
              <w:t>-3</w:t>
            </w:r>
          </w:p>
        </w:tc>
        <w:tc>
          <w:tcPr>
            <w:tcW w:w="0" w:type="auto"/>
            <w:vMerge/>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200-193-3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54-11-5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FootnoteText"/>
              <w:rPr>
                <w:rStyle w:val="DefaultParagraphFont"/>
                <w:rFonts w:ascii="Times New Roman" w:hAnsi="Times New Roman" w:cs="Times New Roman"/>
                <w:szCs w:val="24"/>
              </w:rPr>
            </w:pPr>
            <w:r>
              <w:rPr>
                <w:rStyle w:val="DefaultParagraphFont"/>
                <w:rFonts w:ascii="Times New Roman" w:hAnsi="Times New Roman" w:cs="Times New Roman"/>
                <w:szCs w:val="24"/>
              </w:rPr>
              <w:t>nikotín (N)-3-(1-metylpyrolidín-2-yl) pyridín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192.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Indent3"/>
              <w:ind w:hanging="86"/>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nikotín (N)-3-(1-metylpyrolidín-2-yl) pyridín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200-193-3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54-11-5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200-579-1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64-18-6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kyselina mravčia (kyselina metánová)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kyselina mravčia (kyselina metánová)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200-579-1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64-18-6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200-580-7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64-19-7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kyselina octová     (kyselina etánová)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kyselina octová     (kyselina etánová)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200-580-7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64-19-7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200-659-6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67-56-1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metylalkohol       (metanol)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260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166.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metylalkohol       (metanol)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200-659-6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67-56-1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260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200-835-2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75-05-8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color w:val="000000"/>
                <w:szCs w:val="24"/>
              </w:rPr>
            </w:pPr>
            <w:r>
              <w:rPr>
                <w:rStyle w:val="DefaultParagraphFont"/>
                <w:rFonts w:ascii="Times New Roman" w:hAnsi="Times New Roman" w:cs="Times New Roman"/>
                <w:color w:val="000000"/>
                <w:szCs w:val="24"/>
              </w:rPr>
              <w:t xml:space="preserve">nitril kyseliny </w:t>
            </w:r>
            <w:r>
              <w:rPr>
                <w:rStyle w:val="DefaultParagraphFont"/>
                <w:rFonts w:ascii="Times New Roman" w:hAnsi="Times New Roman" w:cs="Times New Roman"/>
                <w:szCs w:val="24"/>
              </w:rPr>
              <w:t>etánovej                              (etánnitril, acetonitril,)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color w:val="000000"/>
                <w:szCs w:val="24"/>
              </w:rPr>
            </w:pPr>
            <w:r>
              <w:rPr>
                <w:rStyle w:val="DefaultParagraphFont"/>
                <w:rFonts w:ascii="Times New Roman" w:hAnsi="Times New Roman" w:cs="Times New Roman"/>
                <w:color w:val="000000"/>
                <w:szCs w:val="24"/>
              </w:rPr>
              <w:t>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color w:val="000000"/>
                <w:szCs w:val="24"/>
              </w:rPr>
            </w:pPr>
            <w:r>
              <w:rPr>
                <w:rStyle w:val="DefaultParagraphFont"/>
                <w:rFonts w:ascii="Times New Roman" w:hAnsi="Times New Roman" w:cs="Times New Roman"/>
                <w:color w:val="000000"/>
                <w:szCs w:val="24"/>
              </w:rPr>
              <w:t xml:space="preserve">nitril kyseliny </w:t>
            </w:r>
            <w:r>
              <w:rPr>
                <w:rStyle w:val="DefaultParagraphFont"/>
                <w:rFonts w:ascii="Times New Roman" w:hAnsi="Times New Roman" w:cs="Times New Roman"/>
                <w:szCs w:val="24"/>
              </w:rPr>
              <w:t>etánovej                              (etánnitril, acetonitril,)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200-835-2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75-05-8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70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201-865-9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88-89-1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kyselina pikrová (2,4,6- trinitrofenol)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kyselina pikrová (2,4,6- trinitrofenol)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201-865-9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88-89-1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K,S</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202-049-5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91-20-3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naftalén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190.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naftalén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202-049-5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91-20-3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202-716-0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98-95-3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nitrobenzén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193.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nitrobenzén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202-716-0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98-95-3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203-585-2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108-46-3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color w:val="000000"/>
                <w:sz w:val="20"/>
                <w:szCs w:val="24"/>
              </w:rPr>
            </w:pPr>
            <w:r>
              <w:rPr>
                <w:rStyle w:val="DefaultParagraphFont"/>
                <w:rFonts w:ascii="Times New Roman" w:hAnsi="Times New Roman" w:cs="Times New Roman"/>
                <w:b w:val="0"/>
                <w:color w:val="000000"/>
                <w:sz w:val="20"/>
                <w:szCs w:val="24"/>
              </w:rPr>
              <w:t>rezorcinol          (benzén-1,3-diol)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color w:val="000000"/>
                <w:szCs w:val="24"/>
              </w:rPr>
            </w:pPr>
            <w:r>
              <w:rPr>
                <w:rStyle w:val="DefaultParagraphFont"/>
                <w:rFonts w:ascii="Times New Roman" w:hAnsi="Times New Roman" w:cs="Times New Roman"/>
                <w:color w:val="000000"/>
                <w:szCs w:val="24"/>
              </w:rPr>
              <w:t>234.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color w:val="000000"/>
                <w:sz w:val="20"/>
                <w:szCs w:val="24"/>
              </w:rPr>
            </w:pPr>
            <w:r>
              <w:rPr>
                <w:rStyle w:val="DefaultParagraphFont"/>
                <w:rFonts w:ascii="Times New Roman" w:hAnsi="Times New Roman" w:cs="Times New Roman"/>
                <w:b w:val="0"/>
                <w:color w:val="000000"/>
                <w:sz w:val="20"/>
                <w:szCs w:val="24"/>
              </w:rPr>
              <w:t>rezorcinol          (benzén-1,3-diol)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203-585-2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108-46-3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S</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203-716-3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109-89-7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dietylamín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dietylamín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203-716-3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109-89-7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203-809-9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110-86-1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pyridín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pyridín</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203-809-9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110-86-1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204-696-9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124-38-9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oxid uhličitý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9000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oxid uhličitý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204-696-9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124-38-9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5000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9000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205-634-3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144-62-7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kyselina šťaveľová (kyselina etándiová)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kyselina šťaveľová</w:t>
            </w:r>
            <w:r>
              <w:rPr>
                <w:rStyle w:val="DefaultParagraphFont"/>
                <w:rFonts w:ascii="Times New Roman" w:hAnsi="Times New Roman" w:cs="Times New Roman"/>
                <w:b w:val="0"/>
                <w:sz w:val="20"/>
                <w:szCs w:val="24"/>
              </w:rPr>
              <w:t xml:space="preserve"> (kyselina etándiová)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205-634-3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144-62-7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206-992-3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420-04-2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kyánamid           (karbamonitril)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kyánamid           (karbamonitril)</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206-992-3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420-04-2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215-137-3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1305-62-0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hydroxid vápenatý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hydroxid vápenatý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215-137-3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1305-62-0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215-242-4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1314-80-3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sulfid fosforečný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sulfid fosforečný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215-242-4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1314-80-3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215-293-2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1319-77-3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krezoly (metylfenol)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140.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krezoly (metylfenol)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215-293-2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1319-77-3 </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K</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231-116-1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7440-06-4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platina-kovová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platina-kovová</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231-116-1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7440-06-4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231-484-3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7580-67-8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hydrid lítny</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0,025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117.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ing4"/>
              <w:outlineLvl w:val="3"/>
              <w:rPr>
                <w:rStyle w:val="DefaultParagraphFont"/>
                <w:rFonts w:ascii="Times New Roman" w:hAnsi="Times New Roman" w:cs="Times New Roman"/>
                <w:b w:val="0"/>
                <w:sz w:val="20"/>
                <w:szCs w:val="24"/>
              </w:rPr>
            </w:pPr>
            <w:r>
              <w:rPr>
                <w:rStyle w:val="DefaultParagraphFont"/>
                <w:rFonts w:ascii="Times New Roman" w:hAnsi="Times New Roman" w:cs="Times New Roman"/>
                <w:b w:val="0"/>
                <w:sz w:val="20"/>
                <w:szCs w:val="24"/>
              </w:rPr>
              <w:t>hydrid lítny</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231-484-3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7580-67-8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0,025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231-778-1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7726-95-6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bróm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bróm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231-778-1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7726-95-6</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233-060-3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10026-13-8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er"/>
              <w:tabs>
                <w:tab w:val="clear" w:pos="4536"/>
                <w:tab w:val="clear" w:pos="9072"/>
              </w:tabs>
              <w:rPr>
                <w:rStyle w:val="DefaultParagraphFont"/>
                <w:rFonts w:ascii="Times New Roman" w:hAnsi="Times New Roman" w:cs="Times New Roman"/>
                <w:szCs w:val="24"/>
              </w:rPr>
            </w:pPr>
            <w:r>
              <w:rPr>
                <w:rStyle w:val="DefaultParagraphFont"/>
                <w:rFonts w:ascii="Times New Roman" w:hAnsi="Times New Roman" w:cs="Times New Roman"/>
                <w:szCs w:val="24"/>
              </w:rPr>
              <w:t>chlorid fosforečný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Header"/>
              <w:tabs>
                <w:tab w:val="clear" w:pos="4536"/>
                <w:tab w:val="clear" w:pos="9072"/>
              </w:tabs>
              <w:rPr>
                <w:rStyle w:val="DefaultParagraphFont"/>
                <w:rFonts w:ascii="Times New Roman" w:hAnsi="Times New Roman" w:cs="Times New Roman"/>
                <w:szCs w:val="24"/>
              </w:rPr>
            </w:pPr>
            <w:r>
              <w:rPr>
                <w:rStyle w:val="DefaultParagraphFont"/>
                <w:rFonts w:ascii="Times New Roman" w:hAnsi="Times New Roman" w:cs="Times New Roman"/>
                <w:szCs w:val="24"/>
              </w:rPr>
              <w:t>chlorid fosforečný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233-060-3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10026-13-8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r>
      <w:tr>
        <w:tblPrEx>
          <w:jc w:val="center"/>
          <w:tblLayout w:type="fixed"/>
          <w:tblCellMar>
            <w:top w:w="0" w:type="dxa"/>
            <w:left w:w="70" w:type="dxa"/>
            <w:bottom w:w="0" w:type="dxa"/>
            <w:right w:w="70" w:type="dxa"/>
          </w:tblCellMar>
        </w:tblPrEx>
        <w:trPr>
          <w:cantSplit/>
          <w:trHeight w:val="225"/>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233-271-0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10102-43-9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oxid dusnatý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oxid dusnatý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233-271-0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10102-43-9</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232-319-8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8003-34-7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pyretrum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232.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pyretrum</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232-319-8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8003-34-7</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S</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231-149-1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7440-39-3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báryum - zlúčeniny rozpustné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báryum - zlúčeniny rozpustné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231-149-1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7440-39-3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1,0</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231-131-3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7440-22-4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striebro</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242.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striebro – kovové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231-131-3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7440-22-4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0,8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231-141-8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7440-31-5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cín </w:t>
            </w:r>
            <w:r>
              <w:rPr>
                <w:rStyle w:val="DefaultParagraphFont"/>
                <w:rFonts w:ascii="Times New Roman" w:hAnsi="Times New Roman" w:cs="Times New Roman"/>
                <w:szCs w:val="24"/>
              </w:rPr>
              <w:t>zlúčeniny anorganické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33.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cín zlúčeniny anorganické</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231-141-8</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7440-31-5</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r>
      <w:tr>
        <w:tblPrEx>
          <w:jc w:val="center"/>
          <w:tblLayout w:type="fixed"/>
          <w:tblCellMar>
            <w:top w:w="0" w:type="dxa"/>
            <w:left w:w="70" w:type="dxa"/>
            <w:bottom w:w="0" w:type="dxa"/>
            <w:right w:w="70" w:type="dxa"/>
          </w:tblCellMar>
        </w:tblPrEx>
        <w:trPr>
          <w:cantSplit/>
          <w:trHeight w:hRule="auto" w:val="0"/>
          <w:jc w:val="center"/>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215-236-1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1314-56-3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Oxid fosforečný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pStyle w:val="BodyText"/>
              <w:spacing w:before="0" w:after="0"/>
              <w:jc w:val="center"/>
              <w:rPr>
                <w:rStyle w:val="DefaultParagraphFont"/>
                <w:rFonts w:ascii="Times New Roman" w:hAnsi="Times New Roman" w:cs="Times New Roman"/>
                <w:szCs w:val="24"/>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204.</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rPr>
                <w:rStyle w:val="DefaultParagraphFont"/>
                <w:rFonts w:ascii="Times New Roman" w:hAnsi="Times New Roman" w:cs="Times New Roman"/>
                <w:szCs w:val="24"/>
              </w:rPr>
            </w:pPr>
            <w:r>
              <w:rPr>
                <w:rStyle w:val="DefaultParagraphFont"/>
                <w:rFonts w:ascii="Times New Roman" w:hAnsi="Times New Roman" w:cs="Times New Roman"/>
                <w:szCs w:val="24"/>
              </w:rPr>
              <w:t>oxid fosforečný</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215-236-1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right"/>
              <w:rPr>
                <w:rStyle w:val="DefaultParagraphFont"/>
                <w:rFonts w:ascii="Times New Roman" w:hAnsi="Times New Roman" w:cs="Times New Roman"/>
                <w:szCs w:val="24"/>
              </w:rPr>
            </w:pPr>
            <w:r>
              <w:rPr>
                <w:rStyle w:val="DefaultParagraphFont"/>
                <w:rFonts w:ascii="Times New Roman" w:hAnsi="Times New Roman" w:cs="Times New Roman"/>
                <w:szCs w:val="24"/>
              </w:rPr>
              <w:t>1314-56-3</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I.</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1</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pPr>
              <w:jc w:val="center"/>
              <w:rPr>
                <w:rStyle w:val="DefaultParagraphFont"/>
                <w:rFonts w:ascii="Times New Roman" w:hAnsi="Times New Roman" w:cs="Times New Roman"/>
                <w:szCs w:val="24"/>
              </w:rPr>
            </w:pPr>
          </w:p>
        </w:tc>
      </w:tr>
    </w:tbl>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tbl>
      <w:tblPr>
        <w:jc w:val="center"/>
        <w:tblInd w:w="-1" w:type="dxa"/>
        <w:tblLayout w:type="fixed"/>
        <w:tblCellMar>
          <w:top w:w="0" w:type="dxa"/>
          <w:left w:w="0" w:type="dxa"/>
          <w:bottom w:w="0" w:type="dxa"/>
          <w:right w:w="0" w:type="dxa"/>
        </w:tblCellMar>
      </w:tblPr>
      <w:tblGrid>
        <w:gridCol w:w="7791"/>
        <w:gridCol w:w="8184"/>
      </w:tblGrid>
      <w:tr>
        <w:tblPrEx>
          <w:jc w:val="center"/>
          <w:tblInd w:w="-1" w:type="dxa"/>
          <w:tblLayout w:type="fixed"/>
          <w:tblCellMar>
            <w:top w:w="0" w:type="dxa"/>
            <w:left w:w="0" w:type="dxa"/>
            <w:bottom w:w="0" w:type="dxa"/>
            <w:right w:w="0" w:type="dxa"/>
          </w:tblCellMar>
        </w:tblPrEx>
        <w:trPr>
          <w:trHeight w:hRule="auto" w:val="0"/>
          <w:jc w:val="center"/>
        </w:trPr>
        <w:tc>
          <w:tcPr>
            <w:tcW w:w="0" w:type="auto"/>
            <w:tcBorders>
              <w:top w:val="single" w:sz="2" w:space="0" w:color="000000"/>
              <w:left w:val="single" w:sz="2" w:space="0" w:color="000000"/>
              <w:bottom w:val="single" w:sz="2" w:space="0" w:color="000000"/>
              <w:right w:val="nil"/>
              <w:tl2br w:val="nil"/>
              <w:tr2bl w:val="nil"/>
            </w:tcBorders>
            <w:textDirection w:val="lrTb"/>
            <w:vAlign w:val="top"/>
          </w:tcPr>
          <w:p>
            <w:pPr>
              <w:pStyle w:val="EndnoteText"/>
              <w:rPr>
                <w:rStyle w:val="DefaultParagraphFont"/>
                <w:rFonts w:ascii="Times New Roman" w:hAnsi="Times New Roman" w:cs="Times New Roman"/>
                <w:szCs w:val="24"/>
              </w:rPr>
            </w:pPr>
            <w:r>
              <w:rPr>
                <w:rStyle w:val="WW-Znakyprevysvetlivky"/>
                <w:rFonts w:ascii="Times New Roman" w:hAnsi="Times New Roman" w:cs="Times New Roman"/>
                <w:szCs w:val="24"/>
              </w:rPr>
              <w:t>(4)</w:t>
            </w:r>
            <w:r>
              <w:rPr>
                <w:rStyle w:val="DefaultParagraphFont"/>
                <w:rFonts w:ascii="Times New Roman" w:hAnsi="Times New Roman" w:cs="Times New Roman"/>
                <w:szCs w:val="24"/>
              </w:rPr>
              <w:t xml:space="preserve"> Merané alebo vypočítané v pomere k osemhodinovej referenčnej dobe časovo meraného priemeru. </w:t>
            </w:r>
          </w:p>
          <w:p>
            <w:pPr>
              <w:pStyle w:val="EndnoteText"/>
              <w:jc w:val="both"/>
              <w:rPr>
                <w:rStyle w:val="DefaultParagraphFont"/>
                <w:rFonts w:ascii="Times New Roman" w:hAnsi="Times New Roman" w:cs="Times New Roman"/>
                <w:szCs w:val="24"/>
              </w:rPr>
            </w:pPr>
            <w:r>
              <w:rPr>
                <w:rStyle w:val="WW-Znakyprevysvetlivky"/>
                <w:rFonts w:ascii="Times New Roman" w:hAnsi="Times New Roman" w:cs="Times New Roman"/>
                <w:szCs w:val="24"/>
              </w:rPr>
              <w:t>(5)</w:t>
            </w:r>
            <w:r>
              <w:rPr>
                <w:rStyle w:val="DefaultParagraphFont"/>
                <w:rFonts w:ascii="Times New Roman" w:hAnsi="Times New Roman" w:cs="Times New Roman"/>
                <w:szCs w:val="24"/>
              </w:rPr>
              <w:t xml:space="preserve"> Limitná hodnota, nad ktorú by vystavenie látke nemalo nastať a ktorá sa vzťahuje na 15-minútovú dobu, pokiaľ sa nestanoví inak. </w:t>
            </w:r>
          </w:p>
          <w:p>
            <w:pPr>
              <w:pStyle w:val="EndnoteText"/>
              <w:rPr>
                <w:rStyle w:val="DefaultParagraphFont"/>
                <w:rFonts w:ascii="Times New Roman" w:hAnsi="Times New Roman" w:cs="Times New Roman"/>
                <w:szCs w:val="24"/>
              </w:rPr>
            </w:pPr>
            <w:r>
              <w:rPr>
                <w:rStyle w:val="WW-Znakyprevysvetlivky"/>
                <w:rFonts w:ascii="Times New Roman" w:hAnsi="Times New Roman" w:cs="Times New Roman"/>
                <w:szCs w:val="24"/>
              </w:rPr>
              <w:t>(1)</w:t>
            </w:r>
            <w:r>
              <w:rPr>
                <w:rStyle w:val="DefaultParagraphFont"/>
                <w:rFonts w:ascii="Times New Roman" w:hAnsi="Times New Roman" w:cs="Times New Roman"/>
                <w:szCs w:val="24"/>
              </w:rPr>
              <w:t xml:space="preserve"> Einecs: Európsky inventár existujúcich chemických látok</w:t>
            </w:r>
          </w:p>
          <w:p>
            <w:pPr>
              <w:pStyle w:val="EndnoteText"/>
              <w:rPr>
                <w:rStyle w:val="DefaultParagraphFont"/>
                <w:rFonts w:ascii="Times New Roman" w:hAnsi="Times New Roman" w:cs="Times New Roman"/>
                <w:szCs w:val="24"/>
              </w:rPr>
            </w:pPr>
            <w:r>
              <w:rPr>
                <w:rStyle w:val="WW-Znakyprevysvetlivky"/>
                <w:rFonts w:ascii="Times New Roman" w:hAnsi="Times New Roman" w:cs="Times New Roman"/>
                <w:szCs w:val="24"/>
              </w:rPr>
              <w:t>(2)</w:t>
            </w:r>
            <w:r>
              <w:rPr>
                <w:rStyle w:val="DefaultParagraphFont"/>
                <w:rFonts w:ascii="Times New Roman" w:hAnsi="Times New Roman" w:cs="Times New Roman"/>
                <w:szCs w:val="24"/>
              </w:rPr>
              <w:t xml:space="preserve"> CAS: Registračné číslo služby pre chemické prehľady</w:t>
            </w:r>
          </w:p>
          <w:p>
            <w:pPr>
              <w:pStyle w:val="EndnoteText"/>
              <w:rPr>
                <w:rStyle w:val="DefaultParagraphFont"/>
                <w:rFonts w:ascii="Times New Roman" w:hAnsi="Times New Roman" w:cs="Times New Roman"/>
                <w:szCs w:val="24"/>
              </w:rPr>
            </w:pPr>
            <w:r>
              <w:rPr>
                <w:rStyle w:val="WW-Znakyprevysvetlivky"/>
                <w:rFonts w:ascii="Times New Roman" w:hAnsi="Times New Roman" w:cs="Times New Roman"/>
                <w:szCs w:val="24"/>
              </w:rPr>
              <w:t>(6)</w:t>
            </w:r>
            <w:r>
              <w:rPr>
                <w:rStyle w:val="DefaultParagraphFont"/>
                <w:rFonts w:ascii="Times New Roman" w:hAnsi="Times New Roman" w:cs="Times New Roman"/>
                <w:szCs w:val="24"/>
              </w:rPr>
              <w:t xml:space="preserve"> mg/m</w:t>
            </w:r>
            <w:r>
              <w:rPr>
                <w:rStyle w:val="DefaultParagraphFont"/>
                <w:rFonts w:ascii="Times New Roman" w:hAnsi="Times New Roman" w:cs="Times New Roman"/>
                <w:szCs w:val="24"/>
                <w:vertAlign w:val="superscript"/>
              </w:rPr>
              <w:t xml:space="preserve">3: </w:t>
            </w:r>
            <w:r>
              <w:rPr>
                <w:rStyle w:val="DefaultParagraphFont"/>
                <w:rFonts w:ascii="Times New Roman" w:hAnsi="Times New Roman" w:cs="Times New Roman"/>
                <w:szCs w:val="24"/>
              </w:rPr>
              <w:t>miligramy na meter kubický vzduchu pri 20° C a 101,3 Kpa.</w:t>
            </w:r>
          </w:p>
          <w:p>
            <w:pPr>
              <w:pStyle w:val="EndnoteText"/>
              <w:rPr>
                <w:rStyle w:val="DefaultParagraphFont"/>
                <w:rFonts w:ascii="Times New Roman" w:hAnsi="Times New Roman" w:cs="Times New Roman"/>
                <w:szCs w:val="24"/>
              </w:rPr>
            </w:pPr>
            <w:r>
              <w:rPr>
                <w:rStyle w:val="WW-Znakyprevysvetlivky"/>
                <w:rFonts w:ascii="Times New Roman" w:hAnsi="Times New Roman" w:cs="Times New Roman"/>
                <w:szCs w:val="24"/>
              </w:rPr>
              <w:t>(7)</w:t>
            </w:r>
            <w:r>
              <w:rPr>
                <w:rStyle w:val="DefaultParagraphFont"/>
                <w:rFonts w:ascii="Times New Roman" w:hAnsi="Times New Roman" w:cs="Times New Roman"/>
                <w:szCs w:val="24"/>
              </w:rPr>
              <w:t xml:space="preserve"> ppm: častí na milión podľa objemu vo vzduchu (ml/ m</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w:t>
            </w:r>
          </w:p>
          <w:p>
            <w:pPr>
              <w:pStyle w:val="EndnoteText"/>
              <w:rPr>
                <w:rStyle w:val="DefaultParagraphFont"/>
                <w:rFonts w:ascii="Times New Roman" w:hAnsi="Times New Roman" w:cs="Times New Roman"/>
                <w:szCs w:val="24"/>
              </w:rPr>
            </w:pPr>
            <w:r>
              <w:rPr>
                <w:rStyle w:val="WW-Znakyprevysvetlivky"/>
                <w:rFonts w:ascii="Times New Roman" w:hAnsi="Times New Roman" w:cs="Times New Roman"/>
                <w:szCs w:val="24"/>
              </w:rPr>
              <w:t>(6)</w:t>
            </w:r>
            <w:r>
              <w:rPr>
                <w:rStyle w:val="DefaultParagraphFont"/>
                <w:rFonts w:ascii="Times New Roman" w:hAnsi="Times New Roman" w:cs="Times New Roman"/>
                <w:szCs w:val="24"/>
              </w:rPr>
              <w:t xml:space="preserve"> mg/m</w:t>
            </w:r>
            <w:r>
              <w:rPr>
                <w:rStyle w:val="DefaultParagraphFont"/>
                <w:rFonts w:ascii="Times New Roman" w:hAnsi="Times New Roman" w:cs="Times New Roman"/>
                <w:szCs w:val="24"/>
                <w:vertAlign w:val="superscript"/>
              </w:rPr>
              <w:t xml:space="preserve">3: </w:t>
            </w:r>
            <w:r>
              <w:rPr>
                <w:rStyle w:val="DefaultParagraphFont"/>
                <w:rFonts w:ascii="Times New Roman" w:hAnsi="Times New Roman" w:cs="Times New Roman"/>
                <w:szCs w:val="24"/>
              </w:rPr>
              <w:t>miligramy na meter kubický vzduchu pri 20° C a 101,3 Kpa.</w:t>
            </w:r>
          </w:p>
          <w:p>
            <w:pPr>
              <w:pStyle w:val="EndnoteText"/>
              <w:rPr>
                <w:rStyle w:val="DefaultParagraphFont"/>
                <w:rFonts w:ascii="Times New Roman" w:hAnsi="Times New Roman" w:cs="Times New Roman"/>
                <w:szCs w:val="24"/>
              </w:rPr>
            </w:pPr>
            <w:r>
              <w:rPr>
                <w:rStyle w:val="WW-Znakyprevysvetlivky"/>
                <w:rFonts w:ascii="Times New Roman" w:hAnsi="Times New Roman" w:cs="Times New Roman"/>
                <w:szCs w:val="24"/>
              </w:rPr>
              <w:t>(7)</w:t>
            </w:r>
            <w:r>
              <w:rPr>
                <w:rStyle w:val="DefaultParagraphFont"/>
                <w:rFonts w:ascii="Times New Roman" w:hAnsi="Times New Roman" w:cs="Times New Roman"/>
                <w:szCs w:val="24"/>
              </w:rPr>
              <w:t xml:space="preserve"> ppm: častí na milión podľa objem</w:t>
            </w:r>
            <w:r>
              <w:rPr>
                <w:rStyle w:val="DefaultParagraphFont"/>
                <w:rFonts w:ascii="Times New Roman" w:hAnsi="Times New Roman" w:cs="Times New Roman"/>
                <w:szCs w:val="24"/>
              </w:rPr>
              <w:t>u vo vzduchu (ml/ m</w:t>
            </w:r>
            <w:r>
              <w:rPr>
                <w:rStyle w:val="DefaultParagraphFont"/>
                <w:rFonts w:ascii="Times New Roman" w:hAnsi="Times New Roman" w:cs="Times New Roman"/>
                <w:szCs w:val="24"/>
                <w:vertAlign w:val="superscript"/>
              </w:rPr>
              <w:t>3</w:t>
            </w:r>
            <w:r>
              <w:rPr>
                <w:rStyle w:val="DefaultParagraphFont"/>
                <w:rFonts w:ascii="Times New Roman" w:hAnsi="Times New Roman" w:cs="Times New Roman"/>
                <w:szCs w:val="24"/>
              </w:rPr>
              <w:t>).</w:t>
            </w:r>
          </w:p>
          <w:p>
            <w:pPr>
              <w:pStyle w:val="EndnoteText"/>
              <w:rPr>
                <w:rStyle w:val="DefaultParagraphFont"/>
                <w:rFonts w:ascii="Times New Roman" w:hAnsi="Times New Roman" w:cs="Times New Roman"/>
                <w:szCs w:val="24"/>
              </w:rPr>
            </w:pPr>
            <w:r>
              <w:rPr>
                <w:rStyle w:val="WW-Znakyprevysvetlivky"/>
                <w:rFonts w:ascii="Times New Roman" w:hAnsi="Times New Roman" w:cs="Times New Roman"/>
                <w:szCs w:val="24"/>
              </w:rPr>
              <w:t>(3)</w:t>
            </w:r>
            <w:r>
              <w:rPr>
                <w:rStyle w:val="DefaultParagraphFont"/>
                <w:rFonts w:ascii="Times New Roman" w:hAnsi="Times New Roman" w:cs="Times New Roman"/>
                <w:szCs w:val="24"/>
              </w:rPr>
              <w:t xml:space="preserve"> Pozorovanie na koži priradené OEL expozičným limitom pri práci označuje možnosť závažného vstrebania látky kožou. </w:t>
            </w:r>
          </w:p>
        </w:tc>
        <w:tc>
          <w:tcPr>
            <w:tcW w:w="0" w:type="auto"/>
            <w:tcBorders>
              <w:top w:val="single" w:sz="2" w:space="0" w:color="000000"/>
              <w:left w:val="single" w:sz="2" w:space="0" w:color="000000"/>
              <w:bottom w:val="single" w:sz="2" w:space="0" w:color="000000"/>
              <w:right w:val="single" w:sz="2" w:space="0" w:color="000000"/>
              <w:tl2br w:val="nil"/>
              <w:tr2bl w:val="nil"/>
            </w:tcBorders>
            <w:textDirection w:val="lrTb"/>
            <w:vAlign w:val="top"/>
          </w:tcPr>
          <w:p>
            <w:pPr>
              <w:pStyle w:val="BodyText"/>
              <w:numPr>
                <w:numId w:val="22"/>
              </w:numPr>
              <w:ind w:left="94" w:right="240"/>
              <w:rPr>
                <w:rStyle w:val="DefaultParagraphFont"/>
                <w:rFonts w:ascii="Times New Roman" w:hAnsi="Times New Roman" w:cs="Times New Roman"/>
                <w:szCs w:val="24"/>
                <w:u w:val="single"/>
                <w:lang w:val="sk-SK"/>
              </w:rPr>
            </w:pPr>
            <w:r>
              <w:rPr>
                <w:rStyle w:val="DefaultParagraphFont"/>
                <w:rFonts w:ascii="Times New Roman" w:hAnsi="Times New Roman" w:cs="Times New Roman"/>
                <w:szCs w:val="24"/>
                <w:lang w:val="sk-SK"/>
              </w:rPr>
              <w:t>Najvyššie prípustné expozičné limity (NPEL) pre chemické faktory sú stanovené priemernou hodnotou a hraničnou hodnotou. Najvyššie prípustný expozičný limit priemerný sa nesmie prekročiť v celozmenovom priemere. Celozmenovým priemerom sa rozumie časovo-vážený priemer hodnôt koncentrácií nameraných počas referenčného časového intervalu v dýchacej zóne      zamestnanca.</w:t>
            </w:r>
            <w:r>
              <w:rPr>
                <w:rStyle w:val="DefaultParagraphFont"/>
                <w:rFonts w:ascii="Times New Roman" w:hAnsi="Times New Roman" w:cs="Times New Roman"/>
                <w:szCs w:val="24"/>
                <w:lang w:val="sk-SK"/>
              </w:rPr>
              <w:t xml:space="preserve"> </w:t>
            </w:r>
            <w:r>
              <w:rPr>
                <w:rStyle w:val="DefaultParagraphFont"/>
                <w:rFonts w:ascii="Times New Roman" w:hAnsi="Times New Roman" w:cs="Times New Roman"/>
                <w:szCs w:val="24"/>
                <w:lang w:val="sk-SK"/>
              </w:rPr>
              <w:t>Najvyššie prípustný expozičný limit priemerný sa vzťahuje na osemhodinovú pracovnú zmenu a 40 hodinový pracovný týždeň.</w:t>
            </w:r>
          </w:p>
          <w:p>
            <w:pPr>
              <w:pStyle w:val="BodyText"/>
              <w:ind w:left="-90"/>
              <w:rPr>
                <w:rStyle w:val="DefaultParagraphFont"/>
                <w:rFonts w:ascii="Times New Roman" w:hAnsi="Times New Roman" w:cs="Times New Roman"/>
                <w:szCs w:val="24"/>
                <w:u w:val="single"/>
                <w:lang w:val="sk-SK"/>
              </w:rPr>
            </w:pPr>
            <w:r>
              <w:rPr>
                <w:rStyle w:val="DefaultParagraphFont"/>
                <w:rFonts w:ascii="Times New Roman" w:hAnsi="Times New Roman" w:cs="Times New Roman"/>
                <w:szCs w:val="24"/>
                <w:lang w:val="sk-SK"/>
              </w:rPr>
              <w:t xml:space="preserve">   Najvyššie prípustný expozičný limit hraničný stanovuje krátkodobé prekročenie NPEL  (píková koncentrácia).     EExpozičné limity hraničné pre niektoré chemické faktory sa určujú koncentráciou chemickej látky v pracovnom ovzduší a uvedením kategórie       I. a II.  </w:t>
            </w:r>
          </w:p>
          <w:p>
            <w:pPr>
              <w:pStyle w:val="BodyText"/>
              <w:spacing w:before="0" w:after="0"/>
              <w:ind w:left="94" w:right="24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Najvyššie prípustné expozičné limity plynom, parám sú stanovené nezávisle od teploty a tlaku v ml.m</w:t>
            </w:r>
            <w:r>
              <w:rPr>
                <w:rStyle w:val="DefaultParagraphFont"/>
                <w:rFonts w:ascii="Times New Roman" w:hAnsi="Times New Roman" w:cs="Times New Roman"/>
                <w:szCs w:val="24"/>
                <w:vertAlign w:val="superscript"/>
                <w:lang w:val="sk-SK"/>
              </w:rPr>
              <w:t>-3</w:t>
            </w:r>
            <w:r>
              <w:rPr>
                <w:rStyle w:val="DefaultParagraphFont"/>
                <w:rFonts w:ascii="Times New Roman" w:hAnsi="Times New Roman" w:cs="Times New Roman"/>
                <w:szCs w:val="24"/>
                <w:lang w:val="sk-SK"/>
              </w:rPr>
              <w:t xml:space="preserve"> (ppm - pars per milion) a závisle od týchto premenných v mg.m</w:t>
            </w:r>
            <w:r>
              <w:rPr>
                <w:rStyle w:val="DefaultParagraphFont"/>
                <w:rFonts w:ascii="Times New Roman" w:hAnsi="Times New Roman" w:cs="Times New Roman"/>
                <w:szCs w:val="24"/>
                <w:vertAlign w:val="superscript"/>
                <w:lang w:val="sk-SK"/>
              </w:rPr>
              <w:t>-3</w:t>
            </w:r>
            <w:r>
              <w:rPr>
                <w:rStyle w:val="DefaultParagraphFont"/>
                <w:rFonts w:ascii="Times New Roman" w:hAnsi="Times New Roman" w:cs="Times New Roman"/>
                <w:szCs w:val="24"/>
                <w:lang w:val="sk-SK"/>
              </w:rPr>
              <w:t xml:space="preserve"> pri teplote 20</w:t>
            </w:r>
            <w:r>
              <w:rPr>
                <w:rStyle w:val="DefaultParagraphFont"/>
                <w:rFonts w:ascii="Times New Roman" w:hAnsi="Times New Roman" w:cs="Times New Roman"/>
                <w:szCs w:val="24"/>
                <w:vertAlign w:val="superscript"/>
                <w:lang w:val="sk-SK"/>
              </w:rPr>
              <w:t>0</w:t>
            </w:r>
            <w:r>
              <w:rPr>
                <w:rStyle w:val="DefaultParagraphFont"/>
                <w:rFonts w:ascii="Times New Roman" w:hAnsi="Times New Roman" w:cs="Times New Roman"/>
                <w:szCs w:val="24"/>
                <w:lang w:val="sk-SK"/>
              </w:rPr>
              <w:t>C a tlaku 101,3 kPa. Najvyššie prípustné expozičné limity pevným aerosólom sú uvedené v mg.m</w:t>
            </w:r>
            <w:r>
              <w:rPr>
                <w:rStyle w:val="DefaultParagraphFont"/>
                <w:rFonts w:ascii="Times New Roman" w:hAnsi="Times New Roman" w:cs="Times New Roman"/>
                <w:szCs w:val="24"/>
                <w:vertAlign w:val="superscript"/>
                <w:lang w:val="sk-SK"/>
              </w:rPr>
              <w:t>-3</w:t>
            </w:r>
            <w:r>
              <w:rPr>
                <w:rStyle w:val="DefaultParagraphFont"/>
                <w:rFonts w:ascii="Times New Roman" w:hAnsi="Times New Roman" w:cs="Times New Roman"/>
                <w:szCs w:val="24"/>
                <w:lang w:val="sk-SK"/>
              </w:rPr>
              <w:t>. </w:t>
            </w:r>
          </w:p>
          <w:p>
            <w:pPr>
              <w:pStyle w:val="BodyText"/>
              <w:spacing w:before="0" w:after="0"/>
              <w:ind w:left="94" w:right="240"/>
              <w:rPr>
                <w:rStyle w:val="DefaultParagraphFont"/>
                <w:rFonts w:ascii="Times New Roman" w:hAnsi="Times New Roman" w:cs="Times New Roman"/>
                <w:szCs w:val="24"/>
                <w:lang w:val="sk-SK"/>
              </w:rPr>
            </w:pPr>
          </w:p>
          <w:p>
            <w:pPr>
              <w:pStyle w:val="BodyText"/>
              <w:spacing w:before="0" w:after="0"/>
              <w:ind w:left="94" w:right="24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EINECS číslo:   číslo  priradené    chemickej  látke, ktorá sa  nachádza v Európskom zozname existujúcich komerčných chemických látok.</w:t>
            </w:r>
          </w:p>
          <w:p>
            <w:pPr>
              <w:pStyle w:val="BodyText"/>
              <w:spacing w:before="0" w:after="0"/>
              <w:ind w:left="94" w:right="240"/>
              <w:rPr>
                <w:rStyle w:val="DefaultParagraphFont"/>
                <w:rFonts w:ascii="Times New Roman" w:hAnsi="Times New Roman" w:cs="Times New Roman"/>
                <w:szCs w:val="24"/>
                <w:lang w:val="sk-SK"/>
              </w:rPr>
            </w:pPr>
          </w:p>
          <w:p>
            <w:pPr>
              <w:pStyle w:val="BodyText"/>
              <w:spacing w:before="0" w:after="0"/>
              <w:ind w:left="94" w:right="24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CAS číslo:  medzinárodne  stanovené  číslo priradené danému chemickému faktoru za účelom  presnej identifikácie chemickej látky, za predpokladu, že údaje boli publikované v odbornej literatúre.</w:t>
            </w:r>
          </w:p>
          <w:p>
            <w:pPr>
              <w:pStyle w:val="BodyText"/>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Kategória I. znamená, že NPEL nesmie byť vo všeobecnosti prekročený, ojedinele môže byť 2-krát u niektorých chemických faktorov.Kategória II. znamená, že NPEL môže byť krátkodobo  prekročený maximálne 2-8-krát za zmenu. Maximálne trvanie priemernej píkovej expozície nesmie presiah</w:t>
            </w:r>
            <w:r>
              <w:rPr>
                <w:rStyle w:val="DefaultParagraphFont"/>
                <w:rFonts w:ascii="Times New Roman" w:hAnsi="Times New Roman" w:cs="Times New Roman"/>
                <w:szCs w:val="24"/>
                <w:lang w:val="sk-SK"/>
              </w:rPr>
              <w:t>n</w:t>
            </w:r>
            <w:r>
              <w:rPr>
                <w:rStyle w:val="DefaultParagraphFont"/>
                <w:rFonts w:ascii="Times New Roman" w:hAnsi="Times New Roman" w:cs="Times New Roman"/>
                <w:szCs w:val="24"/>
                <w:lang w:val="sk-SK"/>
              </w:rPr>
              <w:t>uť 15 minút, 4-krát za zmenu,  v intervale 1 hodina medzi píkmi, pričom priemerná NPEL za 8 hodinovú zmenu musí byť dodržaný.</w:t>
            </w:r>
          </w:p>
          <w:p>
            <w:pPr>
              <w:pStyle w:val="BodyText"/>
              <w:spacing w:before="0" w:after="0"/>
              <w:ind w:left="94" w:right="24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K – znamená,  že faktor môže byť ľahko absorbovaný kožou.Niektoré faktory, ktoré ľahko prenikajú kožou môžu spôsobovať až smrteľné otravy, často bez varovných  príznakov (napr. anilín, nitrobenzén, nitroglykol, fenoly a pod.). Pri látkach významným prienikom cez kožu  či už v  podobe  kvapalín  alebo pár  je   osobitne  dôležité zabrániť kožnému kontaktu.</w:t>
            </w:r>
          </w:p>
          <w:p>
            <w:pPr>
              <w:pStyle w:val="BodyText"/>
              <w:tabs>
                <w:tab w:val="left" w:pos="426"/>
                <w:tab w:val="left" w:pos="1134"/>
              </w:tabs>
              <w:ind w:left="94" w:right="240"/>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S – znamená, že faktor môže spôsobiť senzibilizáciu. Senzibilizujúce  účinky  majú  faktory,   ktoré  spôsobujú  vyšší   výskyt precitlivelosti alergického typu. Pri práci s nimi je potrebná osobitná  opatrnosť.  Dodržiavanie najvyššie prípustných expozičných limitov nezabezpečí, že</w:t>
            </w:r>
            <w:r>
              <w:rPr>
                <w:rStyle w:val="DefaultParagraphFont"/>
                <w:rFonts w:ascii="Times New Roman" w:hAnsi="Times New Roman" w:cs="Times New Roman"/>
                <w:szCs w:val="24"/>
                <w:lang w:val="sk-SK"/>
              </w:rPr>
              <w:t xml:space="preserve"> nevzniknú u vnímavých osôb alergické reakcie.</w:t>
            </w:r>
          </w:p>
          <w:p>
            <w:pPr>
              <w:pStyle w:val="EndnoteText"/>
              <w:spacing w:line="20" w:lineRule="atLeast"/>
              <w:rPr>
                <w:rStyle w:val="DefaultParagraphFont"/>
                <w:rFonts w:ascii="Times New Roman" w:hAnsi="Times New Roman" w:cs="Times New Roman"/>
                <w:caps/>
                <w:szCs w:val="24"/>
              </w:rPr>
            </w:pPr>
            <w:r>
              <w:rPr>
                <w:rStyle w:val="DefaultParagraphFont"/>
                <w:rFonts w:ascii="Times New Roman" w:hAnsi="Times New Roman" w:cs="Times New Roman"/>
                <w:szCs w:val="24"/>
              </w:rPr>
              <w:t>R- znamená, že expozícia je meraná ako respirabilná frakcia aerosólu</w:t>
            </w:r>
          </w:p>
        </w:tc>
      </w:tr>
    </w:tbl>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rPr>
          <w:rStyle w:val="DefaultParagraphFont"/>
          <w:rFonts w:ascii="Times New Roman" w:hAnsi="Times New Roman" w:cs="Times New Roman"/>
          <w:szCs w:val="24"/>
        </w:rPr>
      </w:pPr>
    </w:p>
    <w:p>
      <w:pPr>
        <w:pStyle w:val="FootnoteText"/>
        <w:rPr>
          <w:rStyle w:val="DefaultParagraphFont"/>
          <w:rFonts w:ascii="Times New Roman" w:hAnsi="Times New Roman" w:cs="Times New Roman"/>
          <w:color w:val="000000"/>
          <w:szCs w:val="24"/>
        </w:rPr>
      </w:pPr>
      <w:r>
        <w:rPr>
          <w:rStyle w:val="DefaultParagraphFont"/>
          <w:rFonts w:ascii="Times New Roman" w:hAnsi="Times New Roman" w:cs="Times New Roman"/>
          <w:color w:val="000000"/>
          <w:szCs w:val="24"/>
        </w:rPr>
        <w:tab/>
        <w:tab/>
        <w:tab/>
        <w:tab/>
        <w:tab/>
        <w:tab/>
        <w:tab/>
        <w:tab/>
      </w:r>
    </w:p>
    <w:sectPr>
      <w:footerReference w:type="default" r:id="rId5"/>
      <w:pgSz w:w="16838" w:h="11906" w:orient="landscape" w:code="9"/>
      <w:pgMar w:top="851" w:right="851" w:bottom="851" w:left="851" w:header="708" w:footer="708"/>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Times">
    <w:panose1 w:val="00000000000000000000"/>
    <w:charset w:val="00"/>
    <w:family w:val="roman"/>
    <w:pitch w:val="variable"/>
    <w:sig w:usb0="00000000" w:usb1="00000000" w:usb2="00000000" w:usb3="00000000" w:csb0="00000001" w:csb1="00000000"/>
  </w:font>
  <w:font w:name="Helvetica">
    <w:panose1 w:val="00000000000000000000"/>
    <w:charset w:val="00"/>
    <w:family w:val="swiss"/>
    <w:pitch w:val="variable"/>
    <w:sig w:usb0="00000000" w:usb1="00000000" w:usb2="00000000" w:usb3="00000000" w:csb0="00000001" w:csb1="00000000"/>
  </w:font>
  <w:font w:name="Courier">
    <w:panose1 w:val="00000000000000000000"/>
    <w:charset w:val="00"/>
    <w:family w:val="roman"/>
    <w:pitch w:val="fixed"/>
    <w:sig w:usb0="00000000" w:usb1="00000000" w:usb2="00000000" w:usb3="00000000" w:csb0="00000001" w:csb1="00000000"/>
  </w:font>
  <w:font w:name="Geneva">
    <w:panose1 w:val="00000000000000000000"/>
    <w:charset w:val="00"/>
    <w:family w:val="swiss"/>
    <w:pitch w:val="variable"/>
    <w:sig w:usb0="00000000" w:usb1="00000000" w:usb2="00000000" w:usb3="00000000" w:csb0="00000001" w:csb1="00000000"/>
  </w:font>
  <w:font w:name="Tms Rmn">
    <w:panose1 w:val="00000000000000000000"/>
    <w:charset w:val="00"/>
    <w:family w:val="roman"/>
    <w:pitch w:val="variable"/>
    <w:sig w:usb0="00000000" w:usb1="00000000" w:usb2="00000000" w:usb3="00000000" w:csb0="00000001" w:csb1="00000000"/>
  </w:font>
  <w:font w:name="Helv">
    <w:panose1 w:val="00000000000000000000"/>
    <w:charset w:val="00"/>
    <w:family w:val="swiss"/>
    <w:pitch w:val="variable"/>
    <w:sig w:usb0="00000000" w:usb1="00000000" w:usb2="00000000" w:usb3="00000000" w:csb0="00000001" w:csb1="00000000"/>
  </w:font>
  <w:font w:name="MS Serif">
    <w:panose1 w:val="00000000000000000000"/>
    <w:charset w:val="00"/>
    <w:family w:val="roman"/>
    <w:pitch w:val="variable"/>
    <w:sig w:usb0="00000000" w:usb1="00000000" w:usb2="00000000" w:usb3="00000000" w:csb0="00000001" w:csb1="00000000"/>
  </w:font>
  <w:font w:name="MS Sans Serif">
    <w:panose1 w:val="00000000000000000000"/>
    <w:charset w:val="00"/>
    <w:family w:val="swiss"/>
    <w:pitch w:val="variable"/>
    <w:sig w:usb0="00000000" w:usb1="00000000" w:usb2="00000000" w:usb3="00000000" w:csb0="00000001" w:csb1="00000000"/>
  </w:font>
  <w:font w:name="New York">
    <w:panose1 w:val="00000000000000000000"/>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Albany">
    <w:altName w:val="Arial"/>
    <w:panose1 w:val="00000000000000000000"/>
    <w:charset w:val="00"/>
    <w:family w:val="swiss"/>
    <w:pitch w:val="variable"/>
    <w:sig w:usb0="00000000" w:usb1="00000000" w:usb2="00000000" w:usb3="00000000" w:csb0="00000001" w:csb1="00000000"/>
  </w:font>
  <w:font w:name="Marlett">
    <w:panose1 w:val="00000000000000000000"/>
    <w:charset w:val="00"/>
    <w:family w:val="auto"/>
    <w:pitch w:val="variable"/>
    <w:sig w:usb0="00000000" w:usb1="00000000" w:usb2="00000000" w:usb3="00000000" w:csb0="00000001" w:csb1="00000000"/>
  </w:font>
  <w:font w:name="Lucida Console">
    <w:panose1 w:val="020B0609040504020204"/>
    <w:charset w:val="00"/>
    <w:family w:val="modern"/>
    <w:pitch w:val="fixed"/>
    <w:sig w:usb0="00000000" w:usb1="00000000" w:usb2="00000000" w:usb3="00000000" w:csb0="00000001" w:csb1="00000000"/>
  </w:font>
  <w:font w:name="Arial Black">
    <w:panose1 w:val="020B0A04020102020204"/>
    <w:charset w:val="00"/>
    <w:family w:val="swiss"/>
    <w:pitch w:val="variable"/>
    <w:sig w:usb0="00000000" w:usb1="00000000" w:usb2="00000000" w:usb3="00000000" w:csb0="00000001" w:csb1="00000000"/>
  </w:font>
  <w:font w:name="Comic Sans MS">
    <w:panose1 w:val="030F0702030302020204"/>
    <w:charset w:val="00"/>
    <w:family w:val="script"/>
    <w:pitch w:val="variable"/>
    <w:sig w:usb0="00000000" w:usb1="00000000" w:usb2="00000000" w:usb3="00000000" w:csb0="00000001" w:csb1="00000000"/>
  </w:font>
  <w:font w:name="Impact">
    <w:panose1 w:val="020B0806030902050204"/>
    <w:charset w:val="00"/>
    <w:family w:val="swiss"/>
    <w:pitch w:val="variable"/>
    <w:sig w:usb0="00000000" w:usb1="00000000" w:usb2="00000000" w:usb3="00000000" w:csb0="00000001" w:csb1="00000000"/>
  </w:font>
  <w:font w:name="Verdana">
    <w:panose1 w:val="020B0604030504040204"/>
    <w:charset w:val="00"/>
    <w:family w:val="swiss"/>
    <w:pitch w:val="variable"/>
    <w:sig w:usb0="00000000" w:usb1="00000000" w:usb2="00000000" w:usb3="00000000" w:csb0="00000001" w:csb1="00000000"/>
  </w:font>
  <w:font w:name="Webdings">
    <w:panose1 w:val="05030102010509060703"/>
    <w:charset w:val="00"/>
    <w:family w:val="roman"/>
    <w:pitch w:val="variable"/>
    <w:sig w:usb0="00000000" w:usb1="00000000" w:usb2="00000000" w:usb3="00000000" w:csb0="00000001" w:csb1="00000000"/>
  </w:font>
  <w:font w:name="FranklinGotTDemCon">
    <w:panose1 w:val="020B07060309020202BE"/>
    <w:charset w:val="00"/>
    <w:family w:val="swiss"/>
    <w:pitch w:val="variable"/>
    <w:sig w:usb0="00000000" w:usb1="00000000" w:usb2="00000000" w:usb3="00000000" w:csb0="00000001" w:csb1="00000000"/>
  </w:font>
  <w:font w:name="Minion Web">
    <w:panose1 w:val="02040503050201020203"/>
    <w:charset w:val="00"/>
    <w:family w:val="roman"/>
    <w:pitch w:val="variable"/>
    <w:sig w:usb0="00000000" w:usb1="00000000" w:usb2="00000000" w:usb3="00000000" w:csb0="00000001" w:csb1="00000000"/>
  </w:font>
  <w:font w:name="Myriad Web">
    <w:panose1 w:val="020B0503030403020204"/>
    <w:charset w:val="00"/>
    <w:family w:val="swiss"/>
    <w:pitch w:val="variable"/>
    <w:sig w:usb0="00000000" w:usb1="00000000" w:usb2="00000000" w:usb3="00000000" w:csb0="00000001" w:csb1="00000000"/>
  </w:font>
  <w:font w:name="MT Extra">
    <w:panose1 w:val="05050102010205020202"/>
    <w:charset w:val="00"/>
    <w:family w:val="roman"/>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Bookman Old Style">
    <w:panose1 w:val="02050604050505020204"/>
    <w:charset w:val="00"/>
    <w:family w:val="roman"/>
    <w:pitch w:val="variable"/>
    <w:sig w:usb0="00000000" w:usb1="00000000" w:usb2="00000000" w:usb3="00000000" w:csb0="00000001" w:csb1="00000000"/>
  </w:font>
  <w:font w:name="Monotype Sorts">
    <w:panose1 w:val="01010601010101010101"/>
    <w:charset w:val="00"/>
    <w:family w:val="auto"/>
    <w:pitch w:val="variable"/>
    <w:sig w:usb0="00000000" w:usb1="00000000" w:usb2="00000000" w:usb3="00000000" w:csb0="00000001" w:csb1="00000000"/>
  </w:font>
  <w:font w:name="Map Symbols">
    <w:panose1 w:val="00050102010706020507"/>
    <w:charset w:val="00"/>
    <w:family w:val="roman"/>
    <w:pitch w:val="variable"/>
    <w:sig w:usb0="00000000" w:usb1="00000000" w:usb2="00000000" w:usb3="00000000" w:csb0="00000001" w:csb1="00000000"/>
  </w:font>
  <w:font w:name="Garamond">
    <w:panose1 w:val="02020404030301010803"/>
    <w:charset w:val="00"/>
    <w:family w:val="roman"/>
    <w:pitch w:val="variable"/>
    <w:sig w:usb0="00000000" w:usb1="00000000" w:usb2="00000000" w:usb3="00000000" w:csb0="00000001" w:csb1="00000000"/>
  </w:font>
  <w:font w:name="Fixedsys">
    <w:panose1 w:val="00000000000000000000"/>
    <w:charset w:val="00"/>
    <w:family w:val="swiss"/>
    <w:pitch w:val="fixed"/>
    <w:sig w:usb0="00000000" w:usb1="00000000" w:usb2="00000000" w:usb3="00000000" w:csb0="00000001" w:csb1="00000000"/>
  </w:font>
  <w:font w:name="Terminal">
    <w:panose1 w:val="00000000000000000000"/>
    <w:charset w:val="00"/>
    <w:family w:val="swiss"/>
    <w:pitch w:val="fixed"/>
    <w:sig w:usb0="00000000" w:usb1="00000000" w:usb2="00000000" w:usb3="00000000" w:csb0="00000001" w:csb1="00000000"/>
  </w:font>
  <w:font w:name="Small Fonts">
    <w:panose1 w:val="00000000000000000000"/>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Pr>
        <w:rStyle w:val="PageNumber"/>
        <w:rFonts w:ascii="Times New Roman" w:hAnsi="Times New Roman" w:cs="Times New Roman"/>
        <w:noProof/>
        <w:szCs w:val="24"/>
      </w:rPr>
      <w:t>7</w:t>
    </w:r>
    <w:r>
      <w:rPr>
        <w:rStyle w:val="PageNumber"/>
        <w:rFonts w:ascii="Times New Roman" w:hAnsi="Times New Roman" w:cs="Times New Roman"/>
        <w:szCs w:val="24"/>
      </w:rPr>
      <w:fldChar w:fldCharType="end"/>
    </w:r>
  </w:p>
  <w:p>
    <w:pPr>
      <w:pStyle w:val="Footer"/>
      <w:rPr>
        <w:rStyle w:val="DefaultParagraphFont"/>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pPr>
        <w:pStyle w:val="FootnoteText"/>
        <w:ind w:left="360" w:hanging="360"/>
        <w:jc w:val="both"/>
        <w:rPr>
          <w:rFonts w:ascii="Times New Roman" w:hAnsi="Times New Roman" w:cs="Times New Roman"/>
        </w:rPr>
      </w:pPr>
      <w:r>
        <w:rPr>
          <w:rStyle w:val="FootnoteReference"/>
          <w:rFonts w:ascii="Times New Roman" w:hAnsi="Times New Roman" w:cs="Times New Roman"/>
          <w:szCs w:val="24"/>
        </w:rPr>
        <w:t>12</w:t>
      </w:r>
      <w:r>
        <w:rPr>
          <w:rStyle w:val="DefaultParagraphFont"/>
          <w:rFonts w:ascii="Times New Roman" w:hAnsi="Times New Roman" w:cs="Times New Roman"/>
          <w:szCs w:val="24"/>
        </w:rPr>
        <w:t xml:space="preserve"> ) </w:t>
        <w:tab/>
        <w:t>Napríklad § 8 nariadenia vlády Slovenskej republiky č. 276/2006 Z. z. o minimálnych bezpečnostných a zdravotných požiadavkách pri práci so zobrazovacími jednotkami, § 7 nariadenia vlády Slovenskej republiky č. 281/2006 Z. z. o minimálnych bezpečnostných a zdravotných požiadavkách pri ručnej manipulácii s bremenami, § 10 nariadenia vlády Slovenskej repub</w:t>
      </w:r>
      <w:r>
        <w:rPr>
          <w:rStyle w:val="DefaultParagraphFont"/>
          <w:rFonts w:ascii="Times New Roman" w:hAnsi="Times New Roman" w:cs="Times New Roman"/>
          <w:szCs w:val="24"/>
        </w:rPr>
        <w:t>l</w:t>
      </w:r>
      <w:r>
        <w:rPr>
          <w:rStyle w:val="DefaultParagraphFont"/>
          <w:rFonts w:ascii="Times New Roman" w:hAnsi="Times New Roman" w:cs="Times New Roman"/>
          <w:szCs w:val="24"/>
        </w:rPr>
        <w:t>iky č. 329/2006 Z. z. o minimálnych zdravotných a bezpečnostných požiadavkách na ochranu zamestnancov pred rizikami súvisiacimi s expozíciou elektromagnetickému poľu.</w:t>
      </w:r>
    </w:p>
  </w:footnote>
  <w:footnote w:id="3">
    <w:p>
      <w:pPr>
        <w:pStyle w:val="FootnoteText"/>
        <w:rPr>
          <w:rFonts w:ascii="Times New Roman" w:hAnsi="Times New Roman" w:cs="Times New Roman"/>
        </w:rPr>
      </w:pPr>
      <w:r>
        <w:rPr>
          <w:rStyle w:val="FootnoteReference"/>
          <w:rFonts w:ascii="Times New Roman" w:hAnsi="Times New Roman" w:cs="Times New Roman"/>
          <w:szCs w:val="24"/>
        </w:rPr>
        <w:t>41</w:t>
      </w:r>
      <w:r>
        <w:rPr>
          <w:rStyle w:val="DefaultParagraphFont"/>
          <w:rFonts w:ascii="Times New Roman" w:hAnsi="Times New Roman" w:cs="Times New Roman"/>
          <w:szCs w:val="24"/>
        </w:rPr>
        <w:t xml:space="preserve"> ) Nariadenie vlády Slovenskej republiky č. 355/2006 Z.z. o ochrane zamestnancov pred r</w:t>
      </w:r>
      <w:r>
        <w:rPr>
          <w:rStyle w:val="DefaultParagraphFont"/>
          <w:rFonts w:ascii="Times New Roman" w:hAnsi="Times New Roman" w:cs="Times New Roman"/>
          <w:szCs w:val="24"/>
        </w:rPr>
        <w:t>izikami súvisiacimi s expozíciou chemickým faktorom pri práci.</w:t>
      </w:r>
    </w:p>
  </w:footnote>
  <w:footnote w:id="4">
    <w:p>
      <w:pPr>
        <w:pStyle w:val="FootnoteText"/>
        <w:ind w:left="360" w:hanging="360"/>
        <w:jc w:val="both"/>
        <w:rPr>
          <w:rFonts w:ascii="Times New Roman" w:hAnsi="Times New Roman" w:cs="Times New Roman"/>
        </w:rPr>
      </w:pPr>
      <w:r>
        <w:rPr>
          <w:rStyle w:val="FootnoteReference"/>
          <w:rFonts w:ascii="Times New Roman" w:hAnsi="Times New Roman" w:cs="Times New Roman"/>
          <w:szCs w:val="24"/>
        </w:rPr>
        <w:t>12</w:t>
      </w:r>
      <w:r>
        <w:rPr>
          <w:rStyle w:val="DefaultParagraphFont"/>
          <w:rFonts w:ascii="Times New Roman" w:hAnsi="Times New Roman" w:cs="Times New Roman"/>
          <w:szCs w:val="24"/>
        </w:rPr>
        <w:t xml:space="preserve"> ) </w:t>
        <w:tab/>
        <w:t>Napríklad § 8 nariadenia vlády Slovenskej republiky č. 276/2006 Z. z. o minimálnych bezpečnostných a zdravotných požiadavkách pri práci so zobrazovacími jednotkami, § 7 nariadenia vlády Slovenskej republiky č. 281/2006 Z. z. o minimálnych bezpečnostných a zdravotných požiadavkách pri ručnej manipulácii s bremenami, § 10 nariadenia vlády Slovenskej republiky č. 329/2006 Z. z. o minimálnych zdravotných a bezpečnostných požiadavkách na ochra</w:t>
      </w:r>
      <w:r>
        <w:rPr>
          <w:rStyle w:val="DefaultParagraphFont"/>
          <w:rFonts w:ascii="Times New Roman" w:hAnsi="Times New Roman" w:cs="Times New Roman"/>
          <w:szCs w:val="24"/>
        </w:rPr>
        <w:t>n</w:t>
      </w:r>
      <w:r>
        <w:rPr>
          <w:rStyle w:val="DefaultParagraphFont"/>
          <w:rFonts w:ascii="Times New Roman" w:hAnsi="Times New Roman" w:cs="Times New Roman"/>
          <w:szCs w:val="24"/>
        </w:rPr>
        <w:t>u zamestnancov pred rizikami súvisiacimi s expozíciou elektromagnetickému poľu.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4108F3C"/>
    <w:lvl w:ilvl="0">
      <w:start w:val="1"/>
      <w:numFmt w:val="decimal"/>
      <w:lvlText w:val="%1."/>
      <w:lvlJc w:val="left"/>
      <w:pPr>
        <w:tabs>
          <w:tab w:val="num" w:pos="926"/>
        </w:tabs>
        <w:ind w:left="0" w:hanging="360"/>
      </w:pPr>
    </w:lvl>
  </w:abstractNum>
  <w:abstractNum w:abstractNumId="1">
    <w:nsid w:val="FFFFFF7F"/>
    <w:multiLevelType w:val="singleLevel"/>
    <w:tmpl w:val="EEEEC23A"/>
    <w:lvl w:ilvl="0">
      <w:start w:val="1"/>
      <w:numFmt w:val="decimal"/>
      <w:lvlText w:val="%1."/>
      <w:lvlJc w:val="left"/>
      <w:pPr>
        <w:tabs>
          <w:tab w:val="num" w:pos="643"/>
        </w:tabs>
        <w:ind w:left="0" w:hanging="360"/>
      </w:pPr>
    </w:lvl>
  </w:abstractNum>
  <w:abstractNum w:abstractNumId="2">
    <w:nsid w:val="FFFFFF88"/>
    <w:multiLevelType w:val="singleLevel"/>
    <w:tmpl w:val="BD32CE82"/>
    <w:lvl w:ilvl="0">
      <w:start w:val="1"/>
      <w:numFmt w:val="decimal"/>
      <w:lvlText w:val="%1."/>
      <w:lvlJc w:val="left"/>
      <w:pPr>
        <w:tabs>
          <w:tab w:val="num" w:pos="360"/>
        </w:tabs>
        <w:ind w:left="0" w:hanging="360"/>
      </w:pPr>
    </w:lvl>
  </w:abstractNum>
  <w:abstractNum w:abstractNumId="3">
    <w:nsid w:val="00000001"/>
    <w:multiLevelType w:val="singleLevel"/>
    <w:tmpl w:val="00000001"/>
    <w:name w:val="WW8Num1"/>
    <w:lvl w:ilvl="0">
      <w:start w:val="7"/>
      <w:numFmt w:val="decimal"/>
      <w:suff w:val="nothing"/>
      <w:lvlText w:val="(%1)"/>
      <w:lvlJc w:val="left"/>
      <w:pPr>
        <w:ind w:left="0" w:hanging="600"/>
      </w:pPr>
    </w:lvl>
  </w:abstractNum>
  <w:abstractNum w:abstractNumId="4">
    <w:nsid w:val="00000002"/>
    <w:multiLevelType w:val="singleLevel"/>
    <w:tmpl w:val="00000002"/>
    <w:name w:val="WW8Num2"/>
    <w:lvl w:ilvl="0">
      <w:start w:val="4"/>
      <w:numFmt w:val="decimal"/>
      <w:suff w:val="nothing"/>
      <w:lvlText w:val="%1."/>
      <w:lvlJc w:val="left"/>
      <w:pPr>
        <w:ind w:left="0" w:hanging="360"/>
      </w:pPr>
    </w:lvl>
  </w:abstractNum>
  <w:abstractNum w:abstractNumId="5">
    <w:nsid w:val="00000003"/>
    <w:multiLevelType w:val="singleLevel"/>
    <w:tmpl w:val="00000003"/>
    <w:name w:val="WW8Num3"/>
    <w:lvl w:ilvl="0">
      <w:start w:val="5"/>
      <w:numFmt w:val="decimal"/>
      <w:suff w:val="nothing"/>
      <w:lvlText w:val="(%1)"/>
      <w:lvlJc w:val="left"/>
      <w:pPr>
        <w:ind w:left="0" w:hanging="360"/>
      </w:pPr>
    </w:lvl>
  </w:abstractNum>
  <w:abstractNum w:abstractNumId="6">
    <w:nsid w:val="00000004"/>
    <w:multiLevelType w:val="multilevel"/>
    <w:tmpl w:val="00000004"/>
    <w:name w:val="WW8Num4"/>
    <w:lvl w:ilvl="0">
      <w:start w:val="1"/>
      <w:numFmt w:val="none"/>
      <w:suff w:val="nothing"/>
      <w:lvlJc w:val="left"/>
      <w:pPr>
        <w:ind w:left="0"/>
      </w:pPr>
    </w:lvl>
    <w:lvl w:ilvl="1">
      <w:start w:val="1"/>
      <w:numFmt w:val="none"/>
      <w:suff w:val="nothing"/>
      <w:lvlJc w:val="left"/>
      <w:pPr>
        <w:ind w:left="0"/>
      </w:pPr>
    </w:lvl>
    <w:lvl w:ilvl="2">
      <w:start w:val="1"/>
      <w:numFmt w:val="none"/>
      <w:suff w:val="nothing"/>
      <w:lvlJc w:val="left"/>
      <w:pPr>
        <w:ind w:left="0"/>
      </w:pPr>
    </w:lvl>
    <w:lvl w:ilvl="3">
      <w:start w:val="1"/>
      <w:numFmt w:val="none"/>
      <w:suff w:val="nothing"/>
      <w:lvlJc w:val="left"/>
      <w:pPr>
        <w:ind w:left="0"/>
      </w:pPr>
    </w:lvl>
    <w:lvl w:ilvl="4">
      <w:start w:val="1"/>
      <w:numFmt w:val="none"/>
      <w:suff w:val="nothing"/>
      <w:lvlJc w:val="left"/>
      <w:pPr>
        <w:ind w:left="0"/>
      </w:pPr>
    </w:lvl>
    <w:lvl w:ilvl="5">
      <w:start w:val="1"/>
      <w:numFmt w:val="none"/>
      <w:suff w:val="nothing"/>
      <w:lvlJc w:val="left"/>
      <w:pPr>
        <w:ind w:left="0"/>
      </w:pPr>
    </w:lvl>
    <w:lvl w:ilvl="6">
      <w:start w:val="1"/>
      <w:numFmt w:val="none"/>
      <w:suff w:val="nothing"/>
      <w:lvlJc w:val="left"/>
      <w:pPr>
        <w:ind w:left="0"/>
      </w:pPr>
    </w:lvl>
    <w:lvl w:ilvl="7">
      <w:start w:val="1"/>
      <w:numFmt w:val="none"/>
      <w:suff w:val="nothing"/>
      <w:lvlJc w:val="left"/>
      <w:pPr>
        <w:ind w:left="0"/>
      </w:pPr>
    </w:lvl>
    <w:lvl w:ilvl="8">
      <w:start w:val="1"/>
      <w:numFmt w:val="none"/>
      <w:suff w:val="nothing"/>
      <w:lvlJc w:val="left"/>
      <w:pPr>
        <w:ind w:left="0"/>
      </w:pPr>
    </w:lvl>
  </w:abstractNum>
  <w:abstractNum w:abstractNumId="7">
    <w:nsid w:val="00000005"/>
    <w:multiLevelType w:val="singleLevel"/>
    <w:tmpl w:val="00000005"/>
    <w:name w:val="WW8Num5"/>
    <w:lvl w:ilvl="0">
      <w:start w:val="1"/>
      <w:numFmt w:val="decimal"/>
      <w:suff w:val="nothing"/>
      <w:lvlText w:val="(%1)"/>
      <w:lvlJc w:val="left"/>
      <w:pPr>
        <w:ind w:left="0" w:hanging="360"/>
      </w:pPr>
    </w:lvl>
  </w:abstractNum>
  <w:abstractNum w:abstractNumId="8">
    <w:nsid w:val="00000006"/>
    <w:multiLevelType w:val="singleLevel"/>
    <w:tmpl w:val="00000006"/>
    <w:name w:val="WW8Num87"/>
    <w:lvl w:ilvl="0">
      <w:start w:val="4"/>
      <w:numFmt w:val="decimal"/>
      <w:suff w:val="nothing"/>
      <w:lvlText w:val="%1."/>
      <w:lvlJc w:val="left"/>
      <w:pPr>
        <w:ind w:left="0" w:hanging="360"/>
      </w:pPr>
    </w:lvl>
  </w:abstractNum>
  <w:abstractNum w:abstractNumId="9">
    <w:nsid w:val="00000007"/>
    <w:multiLevelType w:val="multilevel"/>
    <w:tmpl w:val="00000007"/>
    <w:name w:val="WW8Num9"/>
    <w:lvl w:ilvl="0">
      <w:start w:val="1"/>
      <w:numFmt w:val="none"/>
      <w:suff w:val="nothing"/>
      <w:lvlJc w:val="left"/>
      <w:pPr>
        <w:ind w:left="0"/>
      </w:pPr>
    </w:lvl>
    <w:lvl w:ilvl="1">
      <w:start w:val="1"/>
      <w:numFmt w:val="none"/>
      <w:suff w:val="nothing"/>
      <w:lvlJc w:val="left"/>
      <w:pPr>
        <w:ind w:left="0"/>
      </w:pPr>
    </w:lvl>
    <w:lvl w:ilvl="2">
      <w:start w:val="1"/>
      <w:numFmt w:val="none"/>
      <w:suff w:val="nothing"/>
      <w:lvlJc w:val="left"/>
      <w:pPr>
        <w:ind w:left="0"/>
      </w:pPr>
    </w:lvl>
    <w:lvl w:ilvl="3">
      <w:start w:val="1"/>
      <w:numFmt w:val="none"/>
      <w:suff w:val="nothing"/>
      <w:lvlJc w:val="left"/>
      <w:pPr>
        <w:ind w:left="0"/>
      </w:pPr>
    </w:lvl>
    <w:lvl w:ilvl="4">
      <w:start w:val="1"/>
      <w:numFmt w:val="none"/>
      <w:suff w:val="nothing"/>
      <w:lvlJc w:val="left"/>
      <w:pPr>
        <w:ind w:left="0"/>
      </w:pPr>
    </w:lvl>
    <w:lvl w:ilvl="5">
      <w:start w:val="1"/>
      <w:numFmt w:val="none"/>
      <w:suff w:val="nothing"/>
      <w:lvlJc w:val="left"/>
      <w:pPr>
        <w:ind w:left="0"/>
      </w:pPr>
    </w:lvl>
    <w:lvl w:ilvl="6">
      <w:start w:val="1"/>
      <w:numFmt w:val="none"/>
      <w:suff w:val="nothing"/>
      <w:lvlJc w:val="left"/>
      <w:pPr>
        <w:ind w:left="0"/>
      </w:pPr>
    </w:lvl>
    <w:lvl w:ilvl="7">
      <w:start w:val="1"/>
      <w:numFmt w:val="none"/>
      <w:suff w:val="nothing"/>
      <w:lvlJc w:val="left"/>
      <w:pPr>
        <w:ind w:left="0"/>
      </w:pPr>
    </w:lvl>
    <w:lvl w:ilvl="8">
      <w:start w:val="1"/>
      <w:numFmt w:val="none"/>
      <w:suff w:val="nothing"/>
      <w:lvlJc w:val="left"/>
      <w:pPr>
        <w:ind w:left="0"/>
      </w:pPr>
    </w:lvl>
  </w:abstractNum>
  <w:abstractNum w:abstractNumId="10">
    <w:nsid w:val="00000008"/>
    <w:multiLevelType w:val="singleLevel"/>
    <w:tmpl w:val="00000008"/>
    <w:name w:val="WW8Num125"/>
    <w:lvl w:ilvl="0">
      <w:start w:val="8"/>
      <w:numFmt w:val="decimal"/>
      <w:suff w:val="nothing"/>
      <w:lvlText w:val="%1)"/>
      <w:lvlJc w:val="left"/>
      <w:pPr>
        <w:ind w:left="0" w:hanging="360"/>
      </w:pPr>
    </w:lvl>
  </w:abstractNum>
  <w:abstractNum w:abstractNumId="11">
    <w:nsid w:val="00000009"/>
    <w:multiLevelType w:val="singleLevel"/>
    <w:tmpl w:val="00000009"/>
    <w:name w:val="WW8Num127"/>
    <w:lvl w:ilvl="0">
      <w:start w:val="5"/>
      <w:numFmt w:val="decimal"/>
      <w:suff w:val="nothing"/>
      <w:lvlText w:val="%1."/>
      <w:lvlJc w:val="left"/>
      <w:pPr>
        <w:ind w:left="0" w:hanging="420"/>
      </w:pPr>
    </w:lvl>
  </w:abstractNum>
  <w:abstractNum w:abstractNumId="12">
    <w:nsid w:val="00C528BC"/>
    <w:multiLevelType w:val="multilevel"/>
    <w:tmpl w:val="E6DE5528"/>
    <w:lvl w:ilvl="0">
      <w:start w:val="1"/>
      <w:numFmt w:val="lowerLetter"/>
      <w:lvlText w:val="%1)"/>
      <w:lvlJc w:val="left"/>
      <w:pPr>
        <w:tabs>
          <w:tab w:val="num" w:pos="360"/>
        </w:tabs>
        <w:ind w:left="0" w:hanging="36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13">
    <w:nsid w:val="072C603B"/>
    <w:multiLevelType w:val="multilevel"/>
    <w:tmpl w:val="53FE998C"/>
    <w:lvl w:ilvl="0">
      <w:start w:val="6"/>
      <w:numFmt w:val="lowerLetter"/>
      <w:lvlText w:val="%1)"/>
      <w:lvlJc w:val="left"/>
      <w:pPr>
        <w:tabs>
          <w:tab w:val="num" w:pos="720"/>
        </w:tabs>
        <w:ind w:left="0" w:hanging="36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14">
    <w:nsid w:val="0A010276"/>
    <w:multiLevelType w:val="multilevel"/>
    <w:tmpl w:val="3CA05966"/>
    <w:lvl w:ilvl="0">
      <w:start w:val="1"/>
      <w:numFmt w:val="lowerLetter"/>
      <w:lvlText w:val="%1)"/>
      <w:lvlJc w:val="left"/>
      <w:pPr>
        <w:tabs>
          <w:tab w:val="num" w:pos="360"/>
        </w:tabs>
        <w:ind w:left="0" w:hanging="36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15">
    <w:nsid w:val="0AD40C02"/>
    <w:multiLevelType w:val="multilevel"/>
    <w:tmpl w:val="51E40272"/>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16">
    <w:nsid w:val="139C7ADB"/>
    <w:multiLevelType w:val="singleLevel"/>
    <w:tmpl w:val="041B0017"/>
    <w:lvl w:ilvl="0">
      <w:start w:val="1"/>
      <w:numFmt w:val="lowerLetter"/>
      <w:lvlText w:val="%1)"/>
      <w:lvlJc w:val="left"/>
      <w:pPr>
        <w:tabs>
          <w:tab w:val="num" w:pos="360"/>
        </w:tabs>
        <w:ind w:left="0" w:hanging="360"/>
      </w:pPr>
    </w:lvl>
  </w:abstractNum>
  <w:abstractNum w:abstractNumId="17">
    <w:nsid w:val="17537943"/>
    <w:multiLevelType w:val="multilevel"/>
    <w:tmpl w:val="C406D0AC"/>
    <w:lvl w:ilvl="0">
      <w:start w:val="1"/>
      <w:numFmt w:val="decimal"/>
      <w:lvlText w:val="%1."/>
      <w:lvlJc w:val="left"/>
      <w:pPr>
        <w:tabs>
          <w:tab w:val="num" w:pos="360"/>
        </w:tabs>
        <w:ind w:left="0" w:hanging="360"/>
      </w:pPr>
    </w:lvl>
    <w:lvl w:ilvl="1">
      <w:start w:val="1"/>
      <w:numFmt w:val="decimal"/>
      <w:lvlText w:val="%2."/>
      <w:lvlJc w:val="left"/>
      <w:pPr>
        <w:tabs>
          <w:tab w:val="num" w:pos="360"/>
        </w:tabs>
        <w:ind w:left="0" w:hanging="340"/>
      </w:pPr>
      <w:rPr>
        <w:b w:val="0"/>
        <w:i w:val="0"/>
        <w:rtl w:val="0"/>
      </w:r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18">
    <w:nsid w:val="2596231F"/>
    <w:multiLevelType w:val="multilevel"/>
    <w:tmpl w:val="2DE885DC"/>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19">
    <w:nsid w:val="27B04945"/>
    <w:multiLevelType w:val="singleLevel"/>
    <w:tmpl w:val="041B0017"/>
    <w:lvl w:ilvl="0">
      <w:start w:val="1"/>
      <w:numFmt w:val="lowerLetter"/>
      <w:lvlText w:val="%1)"/>
      <w:lvlJc w:val="left"/>
      <w:pPr>
        <w:tabs>
          <w:tab w:val="num" w:pos="360"/>
        </w:tabs>
        <w:ind w:left="0" w:hanging="360"/>
      </w:pPr>
    </w:lvl>
  </w:abstractNum>
  <w:abstractNum w:abstractNumId="20">
    <w:nsid w:val="2A716067"/>
    <w:multiLevelType w:val="multilevel"/>
    <w:tmpl w:val="4BE60A34"/>
    <w:lvl w:ilvl="0">
      <w:start w:val="1"/>
      <w:numFmt w:val="decimal"/>
      <w:lvlText w:val="%1."/>
      <w:lvlJc w:val="left"/>
      <w:pPr>
        <w:tabs>
          <w:tab w:val="num" w:pos="385"/>
        </w:tabs>
        <w:ind w:left="0" w:hanging="360"/>
      </w:pPr>
      <w:rPr>
        <w:sz w:val="24"/>
        <w:rtl w:val="0"/>
      </w:rPr>
    </w:lvl>
    <w:lvl w:ilvl="1">
      <w:start w:val="1"/>
      <w:numFmt w:val="decimal"/>
      <w:lvlText w:val="%2."/>
      <w:lvlJc w:val="left"/>
      <w:pPr>
        <w:tabs>
          <w:tab w:val="num" w:pos="360"/>
        </w:tabs>
        <w:ind w:left="0" w:hanging="340"/>
      </w:pPr>
      <w:rPr>
        <w:b w:val="0"/>
        <w:i w:val="0"/>
        <w:rtl w:val="0"/>
      </w:r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21">
    <w:nsid w:val="32DD11F6"/>
    <w:multiLevelType w:val="multilevel"/>
    <w:tmpl w:val="75105FC4"/>
    <w:lvl w:ilvl="0">
      <w:start w:val="1"/>
      <w:numFmt w:val="lowerLetter"/>
      <w:lvlText w:val="%1)"/>
      <w:lvlJc w:val="left"/>
      <w:pPr>
        <w:tabs>
          <w:tab w:val="num" w:pos="360"/>
        </w:tabs>
        <w:ind w:left="0" w:hanging="360"/>
      </w:pPr>
      <w:rPr>
        <w:color w:val="auto"/>
        <w:sz w:val="20"/>
        <w:rtl w:val="0"/>
      </w:rPr>
    </w:lvl>
    <w:lvl w:ilvl="1">
      <w:start w:val="1"/>
      <w:numFmt w:val="decimal"/>
      <w:lvlText w:val="%2."/>
      <w:lvlJc w:val="left"/>
      <w:pPr>
        <w:tabs>
          <w:tab w:val="num" w:pos="360"/>
        </w:tabs>
        <w:ind w:left="0" w:hanging="340"/>
      </w:pPr>
      <w:rPr>
        <w:b w:val="0"/>
        <w:i w:val="0"/>
        <w:rtl w:val="0"/>
      </w:r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22">
    <w:nsid w:val="34D347E7"/>
    <w:multiLevelType w:val="multilevel"/>
    <w:tmpl w:val="88E2C240"/>
    <w:lvl w:ilvl="0">
      <w:start w:val="1"/>
      <w:numFmt w:val="decimal"/>
      <w:lvlText w:val="%1."/>
      <w:lvlJc w:val="left"/>
      <w:pPr>
        <w:tabs>
          <w:tab w:val="num" w:pos="360"/>
        </w:tabs>
        <w:ind w:left="0" w:hanging="360"/>
      </w:pPr>
    </w:lvl>
    <w:lvl w:ilvl="1">
      <w:start w:val="1"/>
      <w:numFmt w:val="lowerLetter"/>
      <w:lvlText w:val="%2."/>
      <w:lvlJc w:val="left"/>
      <w:pPr>
        <w:tabs>
          <w:tab w:val="num" w:pos="1080"/>
        </w:tabs>
        <w:ind w:left="0" w:hanging="360"/>
      </w:pPr>
    </w:lvl>
    <w:lvl w:ilvl="2">
      <w:start w:val="1"/>
      <w:numFmt w:val="lowerRoman"/>
      <w:lvlText w:val="%3."/>
      <w:lvlJc w:val="right"/>
      <w:pPr>
        <w:tabs>
          <w:tab w:val="num" w:pos="1800"/>
        </w:tabs>
        <w:ind w:left="0" w:hanging="180"/>
      </w:pPr>
    </w:lvl>
    <w:lvl w:ilvl="3">
      <w:start w:val="1"/>
      <w:numFmt w:val="decimal"/>
      <w:lvlText w:val="%4."/>
      <w:lvlJc w:val="left"/>
      <w:pPr>
        <w:tabs>
          <w:tab w:val="num" w:pos="2520"/>
        </w:tabs>
        <w:ind w:left="0" w:hanging="360"/>
      </w:pPr>
    </w:lvl>
    <w:lvl w:ilvl="4">
      <w:start w:val="1"/>
      <w:numFmt w:val="lowerLetter"/>
      <w:lvlText w:val="%5."/>
      <w:lvlJc w:val="left"/>
      <w:pPr>
        <w:tabs>
          <w:tab w:val="num" w:pos="3240"/>
        </w:tabs>
        <w:ind w:left="0" w:hanging="360"/>
      </w:pPr>
    </w:lvl>
    <w:lvl w:ilvl="5">
      <w:start w:val="1"/>
      <w:numFmt w:val="lowerRoman"/>
      <w:lvlText w:val="%6."/>
      <w:lvlJc w:val="right"/>
      <w:pPr>
        <w:tabs>
          <w:tab w:val="num" w:pos="3960"/>
        </w:tabs>
        <w:ind w:left="0" w:hanging="180"/>
      </w:pPr>
    </w:lvl>
    <w:lvl w:ilvl="6">
      <w:start w:val="1"/>
      <w:numFmt w:val="decimal"/>
      <w:lvlText w:val="%7."/>
      <w:lvlJc w:val="left"/>
      <w:pPr>
        <w:tabs>
          <w:tab w:val="num" w:pos="4680"/>
        </w:tabs>
        <w:ind w:left="0" w:hanging="360"/>
      </w:pPr>
    </w:lvl>
    <w:lvl w:ilvl="7">
      <w:start w:val="1"/>
      <w:numFmt w:val="lowerLetter"/>
      <w:lvlText w:val="%8."/>
      <w:lvlJc w:val="left"/>
      <w:pPr>
        <w:tabs>
          <w:tab w:val="num" w:pos="5400"/>
        </w:tabs>
        <w:ind w:left="0" w:hanging="360"/>
      </w:pPr>
    </w:lvl>
    <w:lvl w:ilvl="8">
      <w:start w:val="1"/>
      <w:numFmt w:val="lowerRoman"/>
      <w:lvlText w:val="%9."/>
      <w:lvlJc w:val="right"/>
      <w:pPr>
        <w:tabs>
          <w:tab w:val="num" w:pos="6120"/>
        </w:tabs>
        <w:ind w:left="0" w:hanging="180"/>
      </w:pPr>
    </w:lvl>
  </w:abstractNum>
  <w:abstractNum w:abstractNumId="23">
    <w:nsid w:val="366A4330"/>
    <w:multiLevelType w:val="multilevel"/>
    <w:tmpl w:val="87601348"/>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24">
    <w:nsid w:val="39E96B9A"/>
    <w:multiLevelType w:val="multilevel"/>
    <w:tmpl w:val="CC9C1F50"/>
    <w:lvl w:ilvl="0">
      <w:start w:val="1"/>
      <w:numFmt w:val="lowerLetter"/>
      <w:lvlText w:val="%1)"/>
      <w:lvlJc w:val="left"/>
      <w:pPr>
        <w:tabs>
          <w:tab w:val="num" w:pos="360"/>
        </w:tabs>
        <w:ind w:left="0" w:hanging="360"/>
      </w:pPr>
    </w:lvl>
    <w:lvl w:ilvl="1">
      <w:start w:val="1"/>
      <w:numFmt w:val="lowerLetter"/>
      <w:lvlText w:val="%2."/>
      <w:lvlJc w:val="left"/>
      <w:pPr>
        <w:tabs>
          <w:tab w:val="num" w:pos="1080"/>
        </w:tabs>
        <w:ind w:left="0" w:hanging="360"/>
      </w:pPr>
    </w:lvl>
    <w:lvl w:ilvl="2">
      <w:start w:val="1"/>
      <w:numFmt w:val="lowerRoman"/>
      <w:lvlText w:val="%3."/>
      <w:lvlJc w:val="right"/>
      <w:pPr>
        <w:tabs>
          <w:tab w:val="num" w:pos="1800"/>
        </w:tabs>
        <w:ind w:left="0" w:hanging="180"/>
      </w:pPr>
    </w:lvl>
    <w:lvl w:ilvl="3">
      <w:start w:val="1"/>
      <w:numFmt w:val="decimal"/>
      <w:lvlText w:val="%4."/>
      <w:lvlJc w:val="left"/>
      <w:pPr>
        <w:tabs>
          <w:tab w:val="num" w:pos="2520"/>
        </w:tabs>
        <w:ind w:left="0" w:hanging="360"/>
      </w:pPr>
    </w:lvl>
    <w:lvl w:ilvl="4">
      <w:start w:val="1"/>
      <w:numFmt w:val="lowerLetter"/>
      <w:lvlText w:val="%5."/>
      <w:lvlJc w:val="left"/>
      <w:pPr>
        <w:tabs>
          <w:tab w:val="num" w:pos="3240"/>
        </w:tabs>
        <w:ind w:left="0" w:hanging="360"/>
      </w:pPr>
    </w:lvl>
    <w:lvl w:ilvl="5">
      <w:start w:val="1"/>
      <w:numFmt w:val="lowerRoman"/>
      <w:lvlText w:val="%6."/>
      <w:lvlJc w:val="right"/>
      <w:pPr>
        <w:tabs>
          <w:tab w:val="num" w:pos="3960"/>
        </w:tabs>
        <w:ind w:left="0" w:hanging="180"/>
      </w:pPr>
    </w:lvl>
    <w:lvl w:ilvl="6">
      <w:start w:val="1"/>
      <w:numFmt w:val="decimal"/>
      <w:lvlText w:val="%7."/>
      <w:lvlJc w:val="left"/>
      <w:pPr>
        <w:tabs>
          <w:tab w:val="num" w:pos="4680"/>
        </w:tabs>
        <w:ind w:left="0" w:hanging="360"/>
      </w:pPr>
    </w:lvl>
    <w:lvl w:ilvl="7">
      <w:start w:val="1"/>
      <w:numFmt w:val="lowerLetter"/>
      <w:lvlText w:val="%8."/>
      <w:lvlJc w:val="left"/>
      <w:pPr>
        <w:tabs>
          <w:tab w:val="num" w:pos="5400"/>
        </w:tabs>
        <w:ind w:left="0" w:hanging="360"/>
      </w:pPr>
    </w:lvl>
    <w:lvl w:ilvl="8">
      <w:start w:val="1"/>
      <w:numFmt w:val="lowerRoman"/>
      <w:lvlText w:val="%9."/>
      <w:lvlJc w:val="right"/>
      <w:pPr>
        <w:tabs>
          <w:tab w:val="num" w:pos="6120"/>
        </w:tabs>
        <w:ind w:left="0" w:hanging="180"/>
      </w:pPr>
    </w:lvl>
  </w:abstractNum>
  <w:abstractNum w:abstractNumId="25">
    <w:nsid w:val="3E685D32"/>
    <w:multiLevelType w:val="multilevel"/>
    <w:tmpl w:val="AF7A667E"/>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26">
    <w:nsid w:val="406D6265"/>
    <w:multiLevelType w:val="multilevel"/>
    <w:tmpl w:val="D2F224F0"/>
    <w:lvl w:ilvl="0">
      <w:start w:val="3"/>
      <w:numFmt w:val="decimal"/>
      <w:lvlText w:val="(%1)"/>
      <w:lvlJc w:val="left"/>
      <w:pPr>
        <w:tabs>
          <w:tab w:val="num" w:pos="451"/>
        </w:tabs>
        <w:ind w:left="0" w:hanging="360"/>
      </w:pPr>
    </w:lvl>
    <w:lvl w:ilvl="1">
      <w:start w:val="1"/>
      <w:numFmt w:val="lowerLetter"/>
      <w:lvlText w:val="%2."/>
      <w:lvlJc w:val="left"/>
      <w:pPr>
        <w:tabs>
          <w:tab w:val="num" w:pos="1171"/>
        </w:tabs>
        <w:ind w:left="0" w:hanging="360"/>
      </w:pPr>
    </w:lvl>
    <w:lvl w:ilvl="2">
      <w:start w:val="1"/>
      <w:numFmt w:val="lowerRoman"/>
      <w:lvlText w:val="%3."/>
      <w:lvlJc w:val="right"/>
      <w:pPr>
        <w:tabs>
          <w:tab w:val="num" w:pos="1891"/>
        </w:tabs>
        <w:ind w:left="0" w:hanging="180"/>
      </w:pPr>
    </w:lvl>
    <w:lvl w:ilvl="3">
      <w:start w:val="1"/>
      <w:numFmt w:val="decimal"/>
      <w:lvlText w:val="%4."/>
      <w:lvlJc w:val="left"/>
      <w:pPr>
        <w:tabs>
          <w:tab w:val="num" w:pos="2611"/>
        </w:tabs>
        <w:ind w:left="0" w:hanging="360"/>
      </w:pPr>
    </w:lvl>
    <w:lvl w:ilvl="4">
      <w:start w:val="1"/>
      <w:numFmt w:val="lowerLetter"/>
      <w:lvlText w:val="%5."/>
      <w:lvlJc w:val="left"/>
      <w:pPr>
        <w:tabs>
          <w:tab w:val="num" w:pos="3331"/>
        </w:tabs>
        <w:ind w:left="0" w:hanging="360"/>
      </w:pPr>
    </w:lvl>
    <w:lvl w:ilvl="5">
      <w:start w:val="1"/>
      <w:numFmt w:val="lowerRoman"/>
      <w:lvlText w:val="%6."/>
      <w:lvlJc w:val="right"/>
      <w:pPr>
        <w:tabs>
          <w:tab w:val="num" w:pos="4051"/>
        </w:tabs>
        <w:ind w:left="0" w:hanging="180"/>
      </w:pPr>
    </w:lvl>
    <w:lvl w:ilvl="6">
      <w:start w:val="1"/>
      <w:numFmt w:val="decimal"/>
      <w:lvlText w:val="%7."/>
      <w:lvlJc w:val="left"/>
      <w:pPr>
        <w:tabs>
          <w:tab w:val="num" w:pos="4771"/>
        </w:tabs>
        <w:ind w:left="0" w:hanging="360"/>
      </w:pPr>
    </w:lvl>
    <w:lvl w:ilvl="7">
      <w:start w:val="1"/>
      <w:numFmt w:val="lowerLetter"/>
      <w:lvlText w:val="%8."/>
      <w:lvlJc w:val="left"/>
      <w:pPr>
        <w:tabs>
          <w:tab w:val="num" w:pos="5491"/>
        </w:tabs>
        <w:ind w:left="0" w:hanging="360"/>
      </w:pPr>
    </w:lvl>
    <w:lvl w:ilvl="8">
      <w:start w:val="1"/>
      <w:numFmt w:val="lowerRoman"/>
      <w:lvlText w:val="%9."/>
      <w:lvlJc w:val="right"/>
      <w:pPr>
        <w:tabs>
          <w:tab w:val="num" w:pos="6211"/>
        </w:tabs>
        <w:ind w:left="0" w:hanging="180"/>
      </w:pPr>
    </w:lvl>
  </w:abstractNum>
  <w:abstractNum w:abstractNumId="27">
    <w:nsid w:val="41081DDB"/>
    <w:multiLevelType w:val="multilevel"/>
    <w:tmpl w:val="3E76A8C0"/>
    <w:lvl w:ilvl="0">
      <w:start w:val="1"/>
      <w:numFmt w:val="lowerLetter"/>
      <w:lvlText w:val="%1)"/>
      <w:lvlJc w:val="left"/>
      <w:pPr>
        <w:tabs>
          <w:tab w:val="num" w:pos="720"/>
        </w:tabs>
        <w:ind w:left="0" w:hanging="360"/>
      </w:pPr>
    </w:lvl>
    <w:lvl w:ilvl="1">
      <w:start w:val="1"/>
      <w:numFmt w:val="lowerLetter"/>
      <w:lvlText w:val="%2)"/>
      <w:lvlJc w:val="left"/>
      <w:pPr>
        <w:tabs>
          <w:tab w:val="num" w:pos="1440"/>
        </w:tabs>
        <w:ind w:left="0" w:hanging="360"/>
      </w:pPr>
    </w:lvl>
    <w:lvl w:ilvl="2">
      <w:start w:val="1"/>
      <w:numFmt w:val="decimal"/>
      <w:lvlText w:val="%3."/>
      <w:lvlJc w:val="left"/>
      <w:pPr>
        <w:tabs>
          <w:tab w:val="num" w:pos="2340"/>
        </w:tabs>
        <w:ind w:left="0" w:hanging="36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28">
    <w:nsid w:val="487A4548"/>
    <w:multiLevelType w:val="multilevel"/>
    <w:tmpl w:val="3F9A5BEA"/>
    <w:lvl w:ilvl="0">
      <w:start w:val="1"/>
      <w:numFmt w:val="lowerLetter"/>
      <w:lvlText w:val="%1)"/>
      <w:lvlJc w:val="left"/>
      <w:pPr>
        <w:tabs>
          <w:tab w:val="num" w:pos="360"/>
        </w:tabs>
        <w:ind w:left="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29">
    <w:nsid w:val="61EA1FBD"/>
    <w:multiLevelType w:val="singleLevel"/>
    <w:tmpl w:val="FAC62FD6"/>
    <w:lvl w:ilvl="0">
      <w:start w:val="1"/>
      <w:numFmt w:val="bullet"/>
      <w:lvlText w:val="-"/>
      <w:lvlJc w:val="left"/>
      <w:pPr>
        <w:tabs>
          <w:tab w:val="num" w:pos="360"/>
        </w:tabs>
        <w:ind w:left="0" w:hanging="360"/>
      </w:pPr>
    </w:lvl>
  </w:abstractNum>
  <w:abstractNum w:abstractNumId="30">
    <w:nsid w:val="6F1130DE"/>
    <w:multiLevelType w:val="singleLevel"/>
    <w:tmpl w:val="041B0017"/>
    <w:lvl w:ilvl="0">
      <w:start w:val="1"/>
      <w:numFmt w:val="lowerLetter"/>
      <w:lvlText w:val="%1)"/>
      <w:lvlJc w:val="left"/>
      <w:pPr>
        <w:tabs>
          <w:tab w:val="num" w:pos="360"/>
        </w:tabs>
        <w:ind w:left="0" w:hanging="360"/>
      </w:pPr>
    </w:lvl>
  </w:abstractNum>
  <w:abstractNum w:abstractNumId="31">
    <w:nsid w:val="777059F2"/>
    <w:multiLevelType w:val="multilevel"/>
    <w:tmpl w:val="7DD49198"/>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0" w:hanging="360"/>
      </w:pPr>
    </w:lvl>
    <w:lvl w:ilvl="2">
      <w:start w:val="1"/>
      <w:numFmt w:val="lowerRoman"/>
      <w:lvlText w:val="%3."/>
      <w:lvlJc w:val="right"/>
      <w:pPr>
        <w:tabs>
          <w:tab w:val="num" w:pos="2160"/>
        </w:tabs>
        <w:ind w:left="0" w:hanging="180"/>
      </w:pPr>
    </w:lvl>
    <w:lvl w:ilvl="3">
      <w:start w:val="1"/>
      <w:numFmt w:val="decimal"/>
      <w:lvlText w:val="%4."/>
      <w:lvlJc w:val="left"/>
      <w:pPr>
        <w:tabs>
          <w:tab w:val="num" w:pos="2880"/>
        </w:tabs>
        <w:ind w:left="0" w:hanging="360"/>
      </w:pPr>
    </w:lvl>
    <w:lvl w:ilvl="4">
      <w:start w:val="1"/>
      <w:numFmt w:val="lowerLetter"/>
      <w:lvlText w:val="%5."/>
      <w:lvlJc w:val="left"/>
      <w:pPr>
        <w:tabs>
          <w:tab w:val="num" w:pos="3600"/>
        </w:tabs>
        <w:ind w:left="0" w:hanging="360"/>
      </w:pPr>
    </w:lvl>
    <w:lvl w:ilvl="5">
      <w:start w:val="1"/>
      <w:numFmt w:val="lowerRoman"/>
      <w:lvlText w:val="%6."/>
      <w:lvlJc w:val="right"/>
      <w:pPr>
        <w:tabs>
          <w:tab w:val="num" w:pos="4320"/>
        </w:tabs>
        <w:ind w:left="0" w:hanging="180"/>
      </w:pPr>
    </w:lvl>
    <w:lvl w:ilvl="6">
      <w:start w:val="1"/>
      <w:numFmt w:val="decimal"/>
      <w:lvlText w:val="%7."/>
      <w:lvlJc w:val="left"/>
      <w:pPr>
        <w:tabs>
          <w:tab w:val="num" w:pos="5040"/>
        </w:tabs>
        <w:ind w:left="0" w:hanging="360"/>
      </w:pPr>
    </w:lvl>
    <w:lvl w:ilvl="7">
      <w:start w:val="1"/>
      <w:numFmt w:val="lowerLetter"/>
      <w:lvlText w:val="%8."/>
      <w:lvlJc w:val="left"/>
      <w:pPr>
        <w:tabs>
          <w:tab w:val="num" w:pos="5760"/>
        </w:tabs>
        <w:ind w:left="0" w:hanging="360"/>
      </w:pPr>
    </w:lvl>
    <w:lvl w:ilvl="8">
      <w:start w:val="1"/>
      <w:numFmt w:val="lowerRoman"/>
      <w:lvlText w:val="%9."/>
      <w:lvlJc w:val="right"/>
      <w:pPr>
        <w:tabs>
          <w:tab w:val="num" w:pos="6480"/>
        </w:tabs>
        <w:ind w:left="0" w:hanging="180"/>
      </w:pPr>
    </w:lvl>
  </w:abstractNum>
  <w:abstractNum w:abstractNumId="32">
    <w:nsid w:val="7E246EB3"/>
    <w:multiLevelType w:val="multilevel"/>
    <w:tmpl w:val="BA049BB4"/>
    <w:lvl w:ilvl="0">
      <w:start w:val="1"/>
      <w:numFmt w:val="lowerLetter"/>
      <w:pStyle w:val="Pismeno-pod1"/>
      <w:lvlText w:val="%1)"/>
      <w:lvlJc w:val="left"/>
      <w:pPr>
        <w:tabs>
          <w:tab w:val="num" w:pos="375"/>
        </w:tabs>
        <w:ind w:left="0" w:hanging="375"/>
      </w:pPr>
    </w:lvl>
    <w:lvl w:ilvl="1">
      <w:start w:val="1"/>
      <w:numFmt w:val="lowerLetter"/>
      <w:lvlText w:val="%2."/>
      <w:lvlJc w:val="left"/>
      <w:pPr>
        <w:tabs>
          <w:tab w:val="num" w:pos="1080"/>
        </w:tabs>
        <w:ind w:left="0" w:hanging="360"/>
      </w:pPr>
    </w:lvl>
    <w:lvl w:ilvl="2">
      <w:start w:val="1"/>
      <w:numFmt w:val="lowerRoman"/>
      <w:lvlText w:val="%3."/>
      <w:lvlJc w:val="right"/>
      <w:pPr>
        <w:tabs>
          <w:tab w:val="num" w:pos="1800"/>
        </w:tabs>
        <w:ind w:left="0" w:hanging="180"/>
      </w:pPr>
    </w:lvl>
    <w:lvl w:ilvl="3">
      <w:start w:val="1"/>
      <w:numFmt w:val="decimal"/>
      <w:lvlText w:val="%4."/>
      <w:lvlJc w:val="left"/>
      <w:pPr>
        <w:tabs>
          <w:tab w:val="num" w:pos="2520"/>
        </w:tabs>
        <w:ind w:left="0" w:hanging="360"/>
      </w:pPr>
    </w:lvl>
    <w:lvl w:ilvl="4">
      <w:start w:val="1"/>
      <w:numFmt w:val="lowerLetter"/>
      <w:lvlText w:val="%5."/>
      <w:lvlJc w:val="left"/>
      <w:pPr>
        <w:tabs>
          <w:tab w:val="num" w:pos="3240"/>
        </w:tabs>
        <w:ind w:left="0" w:hanging="360"/>
      </w:pPr>
    </w:lvl>
    <w:lvl w:ilvl="5">
      <w:start w:val="1"/>
      <w:numFmt w:val="lowerRoman"/>
      <w:lvlText w:val="%6."/>
      <w:lvlJc w:val="right"/>
      <w:pPr>
        <w:tabs>
          <w:tab w:val="num" w:pos="3960"/>
        </w:tabs>
        <w:ind w:left="0" w:hanging="180"/>
      </w:pPr>
    </w:lvl>
    <w:lvl w:ilvl="6">
      <w:start w:val="1"/>
      <w:numFmt w:val="decimal"/>
      <w:lvlText w:val="%7."/>
      <w:lvlJc w:val="left"/>
      <w:pPr>
        <w:tabs>
          <w:tab w:val="num" w:pos="4680"/>
        </w:tabs>
        <w:ind w:left="0" w:hanging="360"/>
      </w:pPr>
    </w:lvl>
    <w:lvl w:ilvl="7">
      <w:start w:val="1"/>
      <w:numFmt w:val="lowerLetter"/>
      <w:lvlText w:val="%8."/>
      <w:lvlJc w:val="left"/>
      <w:pPr>
        <w:tabs>
          <w:tab w:val="num" w:pos="5400"/>
        </w:tabs>
        <w:ind w:left="0" w:hanging="360"/>
      </w:pPr>
    </w:lvl>
    <w:lvl w:ilvl="8">
      <w:start w:val="1"/>
      <w:numFmt w:val="lowerRoman"/>
      <w:lvlText w:val="%9."/>
      <w:lvlJc w:val="right"/>
      <w:pPr>
        <w:tabs>
          <w:tab w:val="num" w:pos="6120"/>
        </w:tabs>
        <w:ind w:left="0" w:hanging="180"/>
      </w:pPr>
    </w:lvl>
  </w:abstractNum>
  <w:abstractNum w:abstractNumId="33">
    <w:nsid w:val="7E246EB4"/>
    <w:multiLevelType w:val="multilevel"/>
    <w:tmpl w:val="7E246EB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4">
    <w:nsid w:val="7E246EB5"/>
    <w:multiLevelType w:val="multilevel"/>
    <w:tmpl w:val="7E246EB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5">
    <w:nsid w:val="7E246EB6"/>
    <w:multiLevelType w:val="multilevel"/>
    <w:tmpl w:val="7E246EB6"/>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6">
    <w:nsid w:val="7E246EB7"/>
    <w:multiLevelType w:val="multilevel"/>
    <w:tmpl w:val="7E246EB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7">
    <w:nsid w:val="7E246EB8"/>
    <w:multiLevelType w:val="multilevel"/>
    <w:tmpl w:val="7E246EB8"/>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8">
    <w:nsid w:val="7E246EB9"/>
    <w:multiLevelType w:val="multilevel"/>
    <w:tmpl w:val="7E246EB9"/>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9">
    <w:nsid w:val="7E246EBA"/>
    <w:multiLevelType w:val="multilevel"/>
    <w:tmpl w:val="7E246EBA"/>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0">
    <w:nsid w:val="7E246EBB"/>
    <w:multiLevelType w:val="multilevel"/>
    <w:tmpl w:val="7E246EBB"/>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1">
    <w:nsid w:val="7E246EBC"/>
    <w:multiLevelType w:val="multilevel"/>
    <w:tmpl w:val="7E246EBC"/>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2">
    <w:nsid w:val="7E246EBD"/>
    <w:multiLevelType w:val="multilevel"/>
    <w:tmpl w:val="7E246EBD"/>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3">
    <w:nsid w:val="7E246EBE"/>
    <w:multiLevelType w:val="multilevel"/>
    <w:tmpl w:val="7E246EBE"/>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4">
    <w:nsid w:val="7E246EBF"/>
    <w:multiLevelType w:val="multilevel"/>
    <w:tmpl w:val="7E246EBF"/>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5">
    <w:nsid w:val="7E246EC0"/>
    <w:multiLevelType w:val="multilevel"/>
    <w:tmpl w:val="7E246EC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6">
    <w:nsid w:val="7E246EC1"/>
    <w:multiLevelType w:val="multilevel"/>
    <w:tmpl w:val="7E246EC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7">
    <w:nsid w:val="7E246EC2"/>
    <w:multiLevelType w:val="multilevel"/>
    <w:tmpl w:val="7E246EC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8">
    <w:nsid w:val="7E246EC3"/>
    <w:multiLevelType w:val="multilevel"/>
    <w:tmpl w:val="7E246EC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9">
    <w:nsid w:val="7E246EC4"/>
    <w:multiLevelType w:val="multilevel"/>
    <w:tmpl w:val="7E246EC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0">
    <w:nsid w:val="7E246EC5"/>
    <w:multiLevelType w:val="multilevel"/>
    <w:tmpl w:val="7E246EC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1">
    <w:nsid w:val="7E246EC6"/>
    <w:multiLevelType w:val="multilevel"/>
    <w:tmpl w:val="7E246EC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2">
    <w:nsid w:val="7E246EC7"/>
    <w:multiLevelType w:val="multilevel"/>
    <w:tmpl w:val="7E246EC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3">
    <w:nsid w:val="7E246EC8"/>
    <w:multiLevelType w:val="multilevel"/>
    <w:tmpl w:val="7E246EC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4">
    <w:nsid w:val="7E246EC9"/>
    <w:multiLevelType w:val="multilevel"/>
    <w:tmpl w:val="7E246EC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5">
    <w:nsid w:val="7E246ECA"/>
    <w:multiLevelType w:val="multilevel"/>
    <w:tmpl w:val="7E246EC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6">
    <w:nsid w:val="7E246ECB"/>
    <w:multiLevelType w:val="multilevel"/>
    <w:tmpl w:val="7E246EC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7">
    <w:nsid w:val="7E246ECC"/>
    <w:multiLevelType w:val="multilevel"/>
    <w:tmpl w:val="7E246ECC"/>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8">
    <w:nsid w:val="7E246ECD"/>
    <w:multiLevelType w:val="multilevel"/>
    <w:tmpl w:val="7E246EC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9">
    <w:nsid w:val="7E246ECE"/>
    <w:multiLevelType w:val="multilevel"/>
    <w:tmpl w:val="7E246ECE"/>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0">
    <w:nsid w:val="7E246ECF"/>
    <w:multiLevelType w:val="multilevel"/>
    <w:tmpl w:val="7E246ECF"/>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1">
    <w:nsid w:val="7E246ED0"/>
    <w:multiLevelType w:val="multilevel"/>
    <w:tmpl w:val="7E246ED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2">
    <w:nsid w:val="7E246ED1"/>
    <w:multiLevelType w:val="multilevel"/>
    <w:tmpl w:val="7E246ED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3">
    <w:nsid w:val="7E246ED2"/>
    <w:multiLevelType w:val="multilevel"/>
    <w:tmpl w:val="7E246ED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4">
    <w:nsid w:val="7E246ED3"/>
    <w:multiLevelType w:val="multilevel"/>
    <w:tmpl w:val="7E246ED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5">
    <w:nsid w:val="7E246ED4"/>
    <w:multiLevelType w:val="multilevel"/>
    <w:tmpl w:val="7E246ED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6">
    <w:nsid w:val="7E246ED5"/>
    <w:multiLevelType w:val="multilevel"/>
    <w:tmpl w:val="7E246ED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7">
    <w:nsid w:val="7E246ED6"/>
    <w:multiLevelType w:val="multilevel"/>
    <w:tmpl w:val="7E246ED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8">
    <w:nsid w:val="7E246ED7"/>
    <w:multiLevelType w:val="multilevel"/>
    <w:tmpl w:val="7E246ED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9">
    <w:nsid w:val="7E246ED8"/>
    <w:multiLevelType w:val="multilevel"/>
    <w:tmpl w:val="7E246ED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0">
    <w:nsid w:val="7E246ED9"/>
    <w:multiLevelType w:val="multilevel"/>
    <w:tmpl w:val="7E246ED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1">
    <w:nsid w:val="7E246EDA"/>
    <w:multiLevelType w:val="multilevel"/>
    <w:tmpl w:val="7E246ED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2">
    <w:nsid w:val="7E246EDB"/>
    <w:multiLevelType w:val="multilevel"/>
    <w:tmpl w:val="7E246ED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3">
    <w:nsid w:val="7E246EDC"/>
    <w:multiLevelType w:val="multilevel"/>
    <w:tmpl w:val="7E246EDC"/>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4">
    <w:nsid w:val="7E246EDD"/>
    <w:multiLevelType w:val="multilevel"/>
    <w:tmpl w:val="7E246ED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5">
    <w:nsid w:val="7E246EDE"/>
    <w:multiLevelType w:val="multilevel"/>
    <w:tmpl w:val="7E246EDE"/>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6">
    <w:nsid w:val="7E246EDF"/>
    <w:multiLevelType w:val="multilevel"/>
    <w:tmpl w:val="7E246EDF"/>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7">
    <w:nsid w:val="7E246EE0"/>
    <w:multiLevelType w:val="multilevel"/>
    <w:tmpl w:val="7E246EE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8">
    <w:nsid w:val="7E246EE1"/>
    <w:multiLevelType w:val="multilevel"/>
    <w:tmpl w:val="7E246EE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9">
    <w:nsid w:val="7E246EE2"/>
    <w:multiLevelType w:val="multilevel"/>
    <w:tmpl w:val="7E246EE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0">
    <w:nsid w:val="7E246EE3"/>
    <w:multiLevelType w:val="multilevel"/>
    <w:tmpl w:val="7E246EE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1">
    <w:nsid w:val="7E246EE4"/>
    <w:multiLevelType w:val="multilevel"/>
    <w:tmpl w:val="7E246EE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2">
    <w:nsid w:val="7E246EE5"/>
    <w:multiLevelType w:val="multilevel"/>
    <w:tmpl w:val="7E246EE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3">
    <w:nsid w:val="7E246EE6"/>
    <w:multiLevelType w:val="multilevel"/>
    <w:tmpl w:val="7E246EE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4">
    <w:nsid w:val="7E246EE7"/>
    <w:multiLevelType w:val="multilevel"/>
    <w:tmpl w:val="7E246EE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5">
    <w:nsid w:val="7E246EE8"/>
    <w:multiLevelType w:val="multilevel"/>
    <w:tmpl w:val="7E246EE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6">
    <w:nsid w:val="7E246EE9"/>
    <w:multiLevelType w:val="multilevel"/>
    <w:tmpl w:val="7E246EE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7">
    <w:nsid w:val="7E246EEA"/>
    <w:multiLevelType w:val="multilevel"/>
    <w:tmpl w:val="7E246EE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8">
    <w:nsid w:val="7E246EEB"/>
    <w:multiLevelType w:val="multilevel"/>
    <w:tmpl w:val="7E246EE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9">
    <w:nsid w:val="7E246EEC"/>
    <w:multiLevelType w:val="multilevel"/>
    <w:tmpl w:val="7E246EEC"/>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0">
    <w:nsid w:val="7E246EED"/>
    <w:multiLevelType w:val="multilevel"/>
    <w:tmpl w:val="7E246EE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1">
    <w:nsid w:val="7E246EEE"/>
    <w:multiLevelType w:val="multilevel"/>
    <w:tmpl w:val="7E246EEE"/>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2">
    <w:nsid w:val="7E246EEF"/>
    <w:multiLevelType w:val="multilevel"/>
    <w:tmpl w:val="7E246EEF"/>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3">
    <w:nsid w:val="7E246EF0"/>
    <w:multiLevelType w:val="multilevel"/>
    <w:tmpl w:val="7E246EF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4">
    <w:nsid w:val="7E246EF1"/>
    <w:multiLevelType w:val="multilevel"/>
    <w:tmpl w:val="7E246EF1"/>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5">
    <w:nsid w:val="7E246EF2"/>
    <w:multiLevelType w:val="multilevel"/>
    <w:tmpl w:val="7E246EF2"/>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6">
    <w:nsid w:val="7E246EF3"/>
    <w:multiLevelType w:val="multilevel"/>
    <w:tmpl w:val="7E246EF3"/>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7">
    <w:nsid w:val="7E246EF4"/>
    <w:multiLevelType w:val="multilevel"/>
    <w:tmpl w:val="7E246EF4"/>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8">
    <w:nsid w:val="7E246EF5"/>
    <w:multiLevelType w:val="multilevel"/>
    <w:tmpl w:val="7E246EF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9">
    <w:nsid w:val="7E246EF6"/>
    <w:multiLevelType w:val="multilevel"/>
    <w:tmpl w:val="7E246EF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0">
    <w:nsid w:val="7E246EF7"/>
    <w:multiLevelType w:val="multilevel"/>
    <w:tmpl w:val="7E246EF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1">
    <w:nsid w:val="7E246EF8"/>
    <w:multiLevelType w:val="multilevel"/>
    <w:tmpl w:val="7E246EF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2">
    <w:nsid w:val="7E246EF9"/>
    <w:multiLevelType w:val="multilevel"/>
    <w:tmpl w:val="7E246EF9"/>
    <w:lvl w:ilvl="0">
      <w:start w:val="1"/>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3">
    <w:nsid w:val="7E246EFA"/>
    <w:multiLevelType w:val="multilevel"/>
    <w:tmpl w:val="7E246EFA"/>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4">
    <w:nsid w:val="7E246EFB"/>
    <w:multiLevelType w:val="multilevel"/>
    <w:tmpl w:val="7E246EFB"/>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5">
    <w:nsid w:val="7E246EFC"/>
    <w:multiLevelType w:val="multilevel"/>
    <w:tmpl w:val="7E246EFC"/>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6">
    <w:nsid w:val="7E246EFD"/>
    <w:multiLevelType w:val="multilevel"/>
    <w:tmpl w:val="7E246EFD"/>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7">
    <w:nsid w:val="7E246EFE"/>
    <w:multiLevelType w:val="multilevel"/>
    <w:tmpl w:val="7E246EFE"/>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8">
    <w:nsid w:val="7E246EFF"/>
    <w:multiLevelType w:val="multilevel"/>
    <w:tmpl w:val="7E246EFF"/>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09">
    <w:nsid w:val="7E246F00"/>
    <w:multiLevelType w:val="multilevel"/>
    <w:tmpl w:val="7E246F00"/>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0">
    <w:nsid w:val="7E246F01"/>
    <w:multiLevelType w:val="multilevel"/>
    <w:tmpl w:val="7E246F0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1">
    <w:nsid w:val="7E246F02"/>
    <w:multiLevelType w:val="multilevel"/>
    <w:tmpl w:val="7E246F02"/>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2">
    <w:nsid w:val="7E246F03"/>
    <w:multiLevelType w:val="multilevel"/>
    <w:tmpl w:val="7E246F03"/>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3">
    <w:nsid w:val="7E246F04"/>
    <w:multiLevelType w:val="multilevel"/>
    <w:tmpl w:val="7E246F0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4">
    <w:nsid w:val="7E246F05"/>
    <w:multiLevelType w:val="multilevel"/>
    <w:tmpl w:val="7E246F0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5">
    <w:nsid w:val="7E246F06"/>
    <w:multiLevelType w:val="multilevel"/>
    <w:tmpl w:val="7E246F06"/>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6">
    <w:nsid w:val="7E246F07"/>
    <w:multiLevelType w:val="multilevel"/>
    <w:tmpl w:val="7E246F0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7">
    <w:nsid w:val="7E246F08"/>
    <w:multiLevelType w:val="multilevel"/>
    <w:tmpl w:val="7E246F0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8">
    <w:nsid w:val="7E246F09"/>
    <w:multiLevelType w:val="multilevel"/>
    <w:tmpl w:val="7E246F09"/>
    <w:lvl w:ilvl="0">
      <w:start w:val="5"/>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19">
    <w:nsid w:val="7E246F0A"/>
    <w:multiLevelType w:val="multilevel"/>
    <w:tmpl w:val="7E246F0A"/>
    <w:lvl w:ilvl="0">
      <w:start w:val="5"/>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20">
    <w:nsid w:val="7E246F0B"/>
    <w:multiLevelType w:val="multilevel"/>
    <w:tmpl w:val="7E246F0B"/>
    <w:lvl w:ilvl="0">
      <w:start w:val="5"/>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21">
    <w:nsid w:val="7E246F0C"/>
    <w:multiLevelType w:val="multilevel"/>
    <w:tmpl w:val="7E246F0C"/>
    <w:lvl w:ilvl="0">
      <w:start w:val="5"/>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1"/>
  </w:num>
  <w:num w:numId="2">
    <w:abstractNumId w:val="2"/>
  </w:num>
  <w:num w:numId="3">
    <w:abstractNumId w:val="0"/>
  </w:num>
  <w:num w:numId="4">
    <w:abstractNumId w:val="1"/>
  </w:num>
  <w:num w:numId="5">
    <w:abstractNumId w:val="2"/>
  </w:num>
  <w:num w:numId="6">
    <w:abstractNumId w:val="0"/>
  </w:num>
  <w:num w:numId="7">
    <w:abstractNumId w:val="1"/>
  </w:num>
  <w:num w:numId="8">
    <w:abstractNumId w:val="2"/>
  </w:num>
  <w:num w:numId="9">
    <w:abstractNumId w:val="0"/>
  </w:num>
  <w:num w:numId="10">
    <w:abstractNumId w:val="1"/>
  </w:num>
  <w:num w:numId="11">
    <w:abstractNumId w:val="0"/>
  </w:num>
  <w:num w:numId="12">
    <w:abstractNumId w:val="2"/>
  </w:num>
  <w:num w:numId="13">
    <w:abstractNumId w:val="0"/>
  </w:num>
  <w:num w:numId="14">
    <w:abstractNumId w:val="28"/>
  </w:num>
  <w:num w:numId="15">
    <w:abstractNumId w:val="32"/>
  </w:num>
  <w:num w:numId="16">
    <w:abstractNumId w:val="24"/>
  </w:num>
  <w:num w:numId="17">
    <w:abstractNumId w:val="22"/>
  </w:num>
  <w:num w:numId="18">
    <w:abstractNumId w:val="26"/>
  </w:num>
  <w:num w:numId="19">
    <w:abstractNumId w:val="5"/>
  </w:num>
  <w:num w:numId="20">
    <w:abstractNumId w:val="9"/>
  </w:num>
  <w:num w:numId="21">
    <w:abstractNumId w:val="20"/>
  </w:num>
  <w:num w:numId="22">
    <w:abstractNumId w:val="6"/>
  </w:num>
  <w:num w:numId="23">
    <w:abstractNumId w:val="29"/>
  </w:num>
  <w:num w:numId="24">
    <w:abstractNumId w:val="1"/>
  </w:num>
  <w:num w:numId="25">
    <w:abstractNumId w:val="15"/>
  </w:num>
  <w:num w:numId="26">
    <w:abstractNumId w:val="25"/>
  </w:num>
  <w:num w:numId="27">
    <w:abstractNumId w:val="18"/>
  </w:num>
  <w:num w:numId="28">
    <w:abstractNumId w:val="31"/>
  </w:num>
  <w:num w:numId="29">
    <w:abstractNumId w:val="16"/>
  </w:num>
  <w:num w:numId="30">
    <w:abstractNumId w:val="21"/>
  </w:num>
  <w:num w:numId="31">
    <w:abstractNumId w:val="17"/>
  </w:num>
  <w:num w:numId="32">
    <w:abstractNumId w:val="14"/>
  </w:num>
  <w:num w:numId="33">
    <w:abstractNumId w:val="12"/>
  </w:num>
  <w:num w:numId="34">
    <w:abstractNumId w:val="0"/>
    <w:lvlOverride w:ilvl="0">
      <w:startOverride w:val="1"/>
    </w:lvlOverride>
  </w:num>
  <w:num w:numId="35">
    <w:abstractNumId w:val="23"/>
  </w:num>
  <w:num w:numId="36">
    <w:abstractNumId w:val="19"/>
  </w:num>
  <w:num w:numId="37">
    <w:abstractNumId w:val="1"/>
    <w:lvlOverride w:ilvl="0">
      <w:startOverride w:val="1"/>
    </w:lvlOverride>
  </w:num>
  <w:num w:numId="38">
    <w:abstractNumId w:val="30"/>
  </w:num>
  <w:num w:numId="39">
    <w:abstractNumId w:val="13"/>
  </w:num>
  <w:num w:numId="40">
    <w:abstractNumId w:val="27"/>
  </w:num>
  <w:num w:numId="41">
    <w:abstractNumId w:val="33"/>
  </w:num>
  <w:num w:numId="42">
    <w:abstractNumId w:val="34"/>
  </w:num>
  <w:num w:numId="43">
    <w:abstractNumId w:val="35"/>
  </w:num>
  <w:num w:numId="44">
    <w:abstractNumId w:val="36"/>
  </w:num>
  <w:num w:numId="45">
    <w:abstractNumId w:val="37"/>
  </w:num>
  <w:num w:numId="46">
    <w:abstractNumId w:val="38"/>
  </w:num>
  <w:num w:numId="47">
    <w:abstractNumId w:val="39"/>
  </w:num>
  <w:num w:numId="48">
    <w:abstractNumId w:val="40"/>
  </w:num>
  <w:num w:numId="49">
    <w:abstractNumId w:val="41"/>
  </w:num>
  <w:num w:numId="50">
    <w:abstractNumId w:val="42"/>
  </w:num>
  <w:num w:numId="51">
    <w:abstractNumId w:val="43"/>
  </w:num>
  <w:num w:numId="52">
    <w:abstractNumId w:val="44"/>
  </w:num>
  <w:num w:numId="53">
    <w:abstractNumId w:val="45"/>
  </w:num>
  <w:num w:numId="54">
    <w:abstractNumId w:val="46"/>
  </w:num>
  <w:num w:numId="55">
    <w:abstractNumId w:val="47"/>
  </w:num>
  <w:num w:numId="56">
    <w:abstractNumId w:val="48"/>
  </w:num>
  <w:num w:numId="57">
    <w:abstractNumId w:val="49"/>
  </w:num>
  <w:num w:numId="58">
    <w:abstractNumId w:val="50"/>
  </w:num>
  <w:num w:numId="59">
    <w:abstractNumId w:val="51"/>
  </w:num>
  <w:num w:numId="60">
    <w:abstractNumId w:val="52"/>
  </w:num>
  <w:num w:numId="61">
    <w:abstractNumId w:val="53"/>
  </w:num>
  <w:num w:numId="62">
    <w:abstractNumId w:val="54"/>
  </w:num>
  <w:num w:numId="63">
    <w:abstractNumId w:val="55"/>
  </w:num>
  <w:num w:numId="64">
    <w:abstractNumId w:val="56"/>
  </w:num>
  <w:num w:numId="65">
    <w:abstractNumId w:val="57"/>
  </w:num>
  <w:num w:numId="66">
    <w:abstractNumId w:val="58"/>
  </w:num>
  <w:num w:numId="67">
    <w:abstractNumId w:val="59"/>
  </w:num>
  <w:num w:numId="68">
    <w:abstractNumId w:val="60"/>
  </w:num>
  <w:num w:numId="69">
    <w:abstractNumId w:val="61"/>
  </w:num>
  <w:num w:numId="70">
    <w:abstractNumId w:val="62"/>
  </w:num>
  <w:num w:numId="71">
    <w:abstractNumId w:val="63"/>
  </w:num>
  <w:num w:numId="72">
    <w:abstractNumId w:val="64"/>
  </w:num>
  <w:num w:numId="73">
    <w:abstractNumId w:val="65"/>
  </w:num>
  <w:num w:numId="74">
    <w:abstractNumId w:val="66"/>
  </w:num>
  <w:num w:numId="75">
    <w:abstractNumId w:val="67"/>
  </w:num>
  <w:num w:numId="76">
    <w:abstractNumId w:val="68"/>
  </w:num>
  <w:num w:numId="77">
    <w:abstractNumId w:val="69"/>
  </w:num>
  <w:num w:numId="78">
    <w:abstractNumId w:val="70"/>
  </w:num>
  <w:num w:numId="79">
    <w:abstractNumId w:val="71"/>
  </w:num>
  <w:num w:numId="80">
    <w:abstractNumId w:val="72"/>
  </w:num>
  <w:num w:numId="81">
    <w:abstractNumId w:val="73"/>
  </w:num>
  <w:num w:numId="82">
    <w:abstractNumId w:val="74"/>
  </w:num>
  <w:num w:numId="83">
    <w:abstractNumId w:val="75"/>
  </w:num>
  <w:num w:numId="84">
    <w:abstractNumId w:val="76"/>
  </w:num>
  <w:num w:numId="85">
    <w:abstractNumId w:val="77"/>
  </w:num>
  <w:num w:numId="86">
    <w:abstractNumId w:val="78"/>
  </w:num>
  <w:num w:numId="87">
    <w:abstractNumId w:val="79"/>
  </w:num>
  <w:num w:numId="88">
    <w:abstractNumId w:val="80"/>
  </w:num>
  <w:num w:numId="89">
    <w:abstractNumId w:val="81"/>
  </w:num>
  <w:num w:numId="90">
    <w:abstractNumId w:val="82"/>
  </w:num>
  <w:num w:numId="91">
    <w:abstractNumId w:val="83"/>
  </w:num>
  <w:num w:numId="92">
    <w:abstractNumId w:val="84"/>
  </w:num>
  <w:num w:numId="93">
    <w:abstractNumId w:val="85"/>
  </w:num>
  <w:num w:numId="94">
    <w:abstractNumId w:val="86"/>
  </w:num>
  <w:num w:numId="95">
    <w:abstractNumId w:val="87"/>
  </w:num>
  <w:num w:numId="96">
    <w:abstractNumId w:val="88"/>
  </w:num>
  <w:num w:numId="97">
    <w:abstractNumId w:val="89"/>
  </w:num>
  <w:num w:numId="98">
    <w:abstractNumId w:val="90"/>
  </w:num>
  <w:num w:numId="99">
    <w:abstractNumId w:val="91"/>
  </w:num>
  <w:num w:numId="100">
    <w:abstractNumId w:val="92"/>
  </w:num>
  <w:num w:numId="101">
    <w:abstractNumId w:val="93"/>
  </w:num>
  <w:num w:numId="102">
    <w:abstractNumId w:val="94"/>
  </w:num>
  <w:num w:numId="103">
    <w:abstractNumId w:val="95"/>
  </w:num>
  <w:num w:numId="104">
    <w:abstractNumId w:val="96"/>
  </w:num>
  <w:num w:numId="105">
    <w:abstractNumId w:val="97"/>
  </w:num>
  <w:num w:numId="106">
    <w:abstractNumId w:val="98"/>
  </w:num>
  <w:num w:numId="107">
    <w:abstractNumId w:val="99"/>
  </w:num>
  <w:num w:numId="108">
    <w:abstractNumId w:val="100"/>
  </w:num>
  <w:num w:numId="109">
    <w:abstractNumId w:val="101"/>
  </w:num>
  <w:num w:numId="110">
    <w:abstractNumId w:val="102"/>
  </w:num>
  <w:num w:numId="111">
    <w:abstractNumId w:val="103"/>
  </w:num>
  <w:num w:numId="112">
    <w:abstractNumId w:val="104"/>
  </w:num>
  <w:num w:numId="113">
    <w:abstractNumId w:val="105"/>
  </w:num>
  <w:num w:numId="114">
    <w:abstractNumId w:val="106"/>
  </w:num>
  <w:num w:numId="115">
    <w:abstractNumId w:val="107"/>
  </w:num>
  <w:num w:numId="116">
    <w:abstractNumId w:val="108"/>
  </w:num>
  <w:num w:numId="117">
    <w:abstractNumId w:val="109"/>
  </w:num>
  <w:num w:numId="118">
    <w:abstractNumId w:val="110"/>
  </w:num>
  <w:num w:numId="119">
    <w:abstractNumId w:val="111"/>
  </w:num>
  <w:num w:numId="120">
    <w:abstractNumId w:val="112"/>
  </w:num>
  <w:num w:numId="121">
    <w:abstractNumId w:val="113"/>
  </w:num>
  <w:num w:numId="122">
    <w:abstractNumId w:val="114"/>
  </w:num>
  <w:num w:numId="123">
    <w:abstractNumId w:val="115"/>
  </w:num>
  <w:num w:numId="124">
    <w:abstractNumId w:val="116"/>
  </w:num>
  <w:num w:numId="125">
    <w:abstractNumId w:val="117"/>
  </w:num>
  <w:num w:numId="126">
    <w:abstractNumId w:val="118"/>
  </w:num>
  <w:num w:numId="127">
    <w:abstractNumId w:val="119"/>
  </w:num>
  <w:num w:numId="128">
    <w:abstractNumId w:val="120"/>
  </w:num>
  <w:num w:numId="129">
    <w:abstractNumId w:val="1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characterSpacingControl w:val="doNotCompress"/>
  <w:footnotePr>
    <w:footnote w:id="0"/>
    <w:footnote w:id="1"/>
  </w:footnotePr>
  <w:compat>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val="0"/>
      <w:autoSpaceDN w:val="0"/>
      <w:bidi w:val="0"/>
      <w:adjustRightInd w:val="0"/>
      <w:ind w:left="0" w:right="0"/>
      <w:jc w:val="left"/>
      <w:textAlignment w:val="auto"/>
    </w:pPr>
    <w:rPr>
      <w:sz w:val="20"/>
      <w:szCs w:val="20"/>
      <w:rtl w:val="0"/>
      <w:lang w:val="sk-SK"/>
    </w:rPr>
  </w:style>
  <w:style w:type="paragraph" w:styleId="Heading1">
    <w:name w:val="heading 1"/>
    <w:basedOn w:val="Normal"/>
    <w:next w:val="Normal"/>
    <w:uiPriority w:val="99"/>
    <w:pPr>
      <w:keepNext/>
      <w:jc w:val="center"/>
      <w:outlineLvl w:val="0"/>
    </w:pPr>
    <w:rPr>
      <w:b/>
    </w:rPr>
  </w:style>
  <w:style w:type="paragraph" w:styleId="Heading2">
    <w:name w:val="heading 2"/>
    <w:basedOn w:val="Normal"/>
    <w:next w:val="Normal"/>
    <w:uiPriority w:val="99"/>
    <w:pPr>
      <w:keepNext/>
      <w:spacing w:before="120"/>
      <w:jc w:val="center"/>
      <w:outlineLvl w:val="1"/>
    </w:pPr>
    <w:rPr>
      <w:b/>
    </w:rPr>
  </w:style>
  <w:style w:type="paragraph" w:styleId="Heading3">
    <w:name w:val="heading 3"/>
    <w:basedOn w:val="Normal"/>
    <w:next w:val="Normal"/>
    <w:uiPriority w:val="99"/>
    <w:pPr>
      <w:keepNext/>
      <w:numPr>
        <w:ilvl w:val="2"/>
        <w:numId w:val="3"/>
      </w:numPr>
      <w:tabs>
        <w:tab w:val="left" w:pos="926"/>
        <w:tab w:val="left" w:pos="2160"/>
      </w:tabs>
      <w:suppressAutoHyphens/>
      <w:ind w:left="2160" w:hanging="180"/>
      <w:jc w:val="left"/>
      <w:outlineLvl w:val="2"/>
    </w:pPr>
    <w:rPr>
      <w:b/>
      <w:noProof/>
    </w:rPr>
  </w:style>
  <w:style w:type="paragraph" w:styleId="Heading4">
    <w:name w:val="heading 4"/>
    <w:basedOn w:val="Normal"/>
    <w:next w:val="Normal"/>
    <w:uiPriority w:val="99"/>
    <w:pPr>
      <w:keepNext/>
      <w:jc w:val="center"/>
      <w:outlineLvl w:val="3"/>
    </w:pPr>
    <w:rPr>
      <w:b/>
      <w:sz w:val="22"/>
    </w:rPr>
  </w:style>
  <w:style w:type="paragraph" w:styleId="Heading5">
    <w:name w:val="heading 5"/>
    <w:basedOn w:val="Normal"/>
    <w:next w:val="Normal"/>
    <w:uiPriority w:val="99"/>
    <w:pPr>
      <w:keepNext/>
      <w:numPr>
        <w:ilvl w:val="4"/>
        <w:numId w:val="2"/>
      </w:numPr>
      <w:tabs>
        <w:tab w:val="left" w:pos="360"/>
        <w:tab w:val="left" w:pos="3600"/>
      </w:tabs>
      <w:suppressAutoHyphens/>
      <w:ind w:left="3600" w:hanging="360"/>
      <w:jc w:val="left"/>
      <w:outlineLvl w:val="4"/>
    </w:pPr>
    <w:rPr>
      <w:i/>
      <w:color w:val="FF0000"/>
      <w:lang w:val="cs-CZ"/>
    </w:rPr>
  </w:style>
  <w:style w:type="paragraph" w:styleId="Heading6">
    <w:name w:val="heading 6"/>
    <w:basedOn w:val="Normal"/>
    <w:next w:val="Normal"/>
    <w:uiPriority w:val="99"/>
    <w:pPr>
      <w:keepNext/>
      <w:numPr>
        <w:ilvl w:val="5"/>
        <w:numId w:val="4"/>
      </w:numPr>
      <w:tabs>
        <w:tab w:val="left" w:pos="643"/>
      </w:tabs>
      <w:suppressAutoHyphens/>
      <w:ind w:left="643" w:hanging="360"/>
      <w:jc w:val="left"/>
      <w:outlineLvl w:val="5"/>
    </w:pPr>
    <w:rPr>
      <w:b/>
      <w:i/>
      <w:color w:val="FF0000"/>
    </w:rPr>
  </w:style>
  <w:style w:type="paragraph" w:styleId="Heading7">
    <w:name w:val="heading 7"/>
    <w:basedOn w:val="Normal"/>
    <w:next w:val="Normal"/>
    <w:uiPriority w:val="99"/>
    <w:pPr>
      <w:keepNext/>
      <w:numPr>
        <w:ilvl w:val="6"/>
        <w:numId w:val="2"/>
      </w:numPr>
      <w:tabs>
        <w:tab w:val="left" w:pos="360"/>
        <w:tab w:val="left" w:pos="5040"/>
      </w:tabs>
      <w:suppressAutoHyphens/>
      <w:ind w:left="5040" w:hanging="360"/>
      <w:jc w:val="center"/>
      <w:outlineLvl w:val="6"/>
    </w:pPr>
    <w:rPr>
      <w:b/>
      <w:sz w:val="32"/>
    </w:rPr>
  </w:style>
  <w:style w:type="paragraph" w:styleId="Heading8">
    <w:name w:val="heading 8"/>
    <w:basedOn w:val="Normal"/>
    <w:next w:val="Normal"/>
    <w:uiPriority w:val="99"/>
    <w:pPr>
      <w:keepNext/>
      <w:numPr>
        <w:ilvl w:val="7"/>
        <w:numId w:val="4"/>
      </w:numPr>
      <w:tabs>
        <w:tab w:val="left" w:pos="643"/>
      </w:tabs>
      <w:suppressAutoHyphens/>
      <w:ind w:left="643" w:hanging="360"/>
      <w:jc w:val="center"/>
      <w:outlineLvl w:val="7"/>
    </w:pPr>
    <w:rPr>
      <w:noProof/>
    </w:rPr>
  </w:style>
  <w:style w:type="paragraph" w:styleId="Heading9">
    <w:name w:val="heading 9"/>
    <w:basedOn w:val="Normal"/>
    <w:next w:val="Normal"/>
    <w:uiPriority w:val="99"/>
    <w:pPr>
      <w:keepNext/>
      <w:numPr>
        <w:ilvl w:val="8"/>
        <w:numId w:val="1"/>
      </w:numPr>
      <w:tabs>
        <w:tab w:val="left" w:pos="317"/>
        <w:tab w:val="left" w:pos="643"/>
      </w:tabs>
      <w:suppressAutoHyphens/>
      <w:ind w:left="317" w:hanging="360"/>
      <w:jc w:val="both"/>
      <w:outlineLvl w:val="8"/>
    </w:p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3">
    <w:name w:val="Body Text 3"/>
    <w:basedOn w:val="Normal"/>
    <w:uiPriority w:val="99"/>
    <w:pPr>
      <w:spacing w:line="240" w:lineRule="atLeast"/>
      <w:jc w:val="both"/>
    </w:pPr>
  </w:style>
  <w:style w:type="paragraph" w:styleId="Header">
    <w:name w:val="header"/>
    <w:basedOn w:val="Normal"/>
    <w:uiPriority w:val="99"/>
    <w:pPr>
      <w:tabs>
        <w:tab w:val="center" w:pos="4536"/>
        <w:tab w:val="right" w:pos="9072"/>
      </w:tabs>
      <w:jc w:val="left"/>
    </w:pPr>
  </w:style>
  <w:style w:type="paragraph" w:styleId="BodyText2">
    <w:name w:val="Body Text 2"/>
    <w:basedOn w:val="Normal"/>
    <w:uiPriority w:val="99"/>
    <w:pPr>
      <w:spacing w:after="120"/>
      <w:ind w:left="283"/>
      <w:jc w:val="left"/>
    </w:pPr>
  </w:style>
  <w:style w:type="paragraph" w:customStyle="1" w:styleId="Normlny">
    <w:name w:val="_Normálny"/>
    <w:basedOn w:val="Normal"/>
    <w:uiPriority w:val="99"/>
    <w:pPr>
      <w:jc w:val="left"/>
    </w:pPr>
  </w:style>
  <w:style w:type="paragraph" w:styleId="FootnoteText">
    <w:name w:val="footnote text"/>
    <w:basedOn w:val="Normal"/>
    <w:uiPriority w:val="99"/>
    <w:pPr>
      <w:jc w:val="left"/>
    </w:pPr>
  </w:style>
  <w:style w:type="paragraph" w:customStyle="1" w:styleId="PARA">
    <w:name w:val="PARA"/>
    <w:basedOn w:val="Normal"/>
    <w:next w:val="Normal"/>
    <w:uiPriority w:val="99"/>
    <w:pPr>
      <w:keepNext/>
      <w:keepLines/>
      <w:tabs>
        <w:tab w:val="left" w:pos="680"/>
      </w:tabs>
      <w:spacing w:before="240" w:after="120"/>
      <w:jc w:val="center"/>
    </w:pPr>
    <w:rPr>
      <w:noProof/>
    </w:rPr>
  </w:style>
  <w:style w:type="paragraph" w:customStyle="1" w:styleId="abc">
    <w:name w:val="abc"/>
    <w:basedOn w:val="Normal"/>
    <w:uiPriority w:val="99"/>
    <w:pPr>
      <w:tabs>
        <w:tab w:val="left" w:pos="360"/>
        <w:tab w:val="left" w:pos="680"/>
      </w:tabs>
      <w:jc w:val="both"/>
    </w:pPr>
  </w:style>
  <w:style w:type="character" w:styleId="FootnoteReference">
    <w:name w:val="footnote reference"/>
    <w:basedOn w:val="DefaultParagraphFont"/>
    <w:uiPriority w:val="99"/>
    <w:rPr>
      <w:vertAlign w:val="superscript"/>
    </w:rPr>
  </w:style>
  <w:style w:type="paragraph" w:styleId="Footer">
    <w:name w:val="footer"/>
    <w:basedOn w:val="Normal"/>
    <w:uiPriority w:val="99"/>
    <w:pPr>
      <w:tabs>
        <w:tab w:val="center" w:pos="4536"/>
        <w:tab w:val="right" w:pos="9072"/>
      </w:tabs>
      <w:jc w:val="left"/>
    </w:pPr>
  </w:style>
  <w:style w:type="character" w:styleId="PageNumber">
    <w:name w:val="page number"/>
    <w:basedOn w:val="DefaultParagraphFont"/>
    <w:uiPriority w:val="99"/>
  </w:style>
  <w:style w:type="paragraph" w:styleId="BodyTextIndent">
    <w:name w:val="Body Text Indent"/>
    <w:basedOn w:val="Normal"/>
    <w:uiPriority w:val="99"/>
    <w:pPr>
      <w:spacing w:after="120"/>
      <w:ind w:left="283"/>
      <w:jc w:val="left"/>
    </w:pPr>
  </w:style>
  <w:style w:type="character" w:customStyle="1" w:styleId="WW-Znakapoznmky">
    <w:name w:val="WW-Znaèka poznámky"/>
    <w:basedOn w:val="DefaultParagraphFont"/>
    <w:uiPriority w:val="99"/>
    <w:rPr>
      <w:sz w:val="16"/>
      <w:rtl w:val="0"/>
    </w:rPr>
  </w:style>
  <w:style w:type="character" w:customStyle="1" w:styleId="Znakyprevysvetlivky">
    <w:name w:val="Znaky pre vysvetlivky"/>
    <w:basedOn w:val="DefaultParagraphFont"/>
    <w:uiPriority w:val="99"/>
    <w:rPr>
      <w:vertAlign w:val="superscript"/>
    </w:rPr>
  </w:style>
  <w:style w:type="paragraph" w:styleId="BodyText">
    <w:name w:val="Body Text"/>
    <w:basedOn w:val="Normal"/>
    <w:uiPriority w:val="99"/>
    <w:pPr>
      <w:suppressAutoHyphens/>
      <w:spacing w:before="120" w:after="120"/>
      <w:jc w:val="both"/>
    </w:pPr>
    <w:rPr>
      <w:lang w:val="cs-CZ"/>
    </w:rPr>
  </w:style>
  <w:style w:type="character" w:customStyle="1" w:styleId="WW8Num26z0">
    <w:name w:val="WW8Num26z0"/>
    <w:uiPriority w:val="99"/>
    <w:rPr>
      <w:rFonts w:ascii="Wingdings" w:hAnsi="Wingdings"/>
      <w:rtl w:val="0"/>
    </w:rPr>
  </w:style>
  <w:style w:type="character" w:customStyle="1" w:styleId="WW8Num18z2">
    <w:name w:val="WW8Num18z2"/>
    <w:uiPriority w:val="99"/>
    <w:rPr>
      <w:rFonts w:ascii="Wingdings" w:hAnsi="Wingdings"/>
      <w:rtl w:val="0"/>
    </w:rPr>
  </w:style>
  <w:style w:type="character" w:customStyle="1" w:styleId="WW8Num18z3">
    <w:name w:val="WW8Num18z3"/>
    <w:uiPriority w:val="99"/>
    <w:rPr>
      <w:rFonts w:ascii="Symbol" w:hAnsi="Symbol"/>
      <w:rtl w:val="0"/>
    </w:rPr>
  </w:style>
  <w:style w:type="character" w:customStyle="1" w:styleId="WW8Num34z0">
    <w:name w:val="WW8Num34z0"/>
    <w:uiPriority w:val="99"/>
  </w:style>
  <w:style w:type="character" w:customStyle="1" w:styleId="WW8Num41z0">
    <w:name w:val="WW8Num41z0"/>
    <w:uiPriority w:val="99"/>
    <w:rPr>
      <w:rFonts w:ascii="Wingdings" w:hAnsi="Wingdings"/>
      <w:rtl w:val="0"/>
    </w:rPr>
  </w:style>
  <w:style w:type="paragraph" w:customStyle="1" w:styleId="WW-Zkladntext3">
    <w:name w:val="WW-Základní text 3"/>
    <w:basedOn w:val="Normal"/>
    <w:uiPriority w:val="99"/>
    <w:pPr>
      <w:suppressAutoHyphens/>
      <w:jc w:val="both"/>
    </w:pPr>
    <w:rPr>
      <w:lang w:val="hu-HU"/>
    </w:rPr>
  </w:style>
  <w:style w:type="paragraph" w:styleId="Title">
    <w:name w:val="Title"/>
    <w:basedOn w:val="Normal"/>
    <w:next w:val="Subtitle"/>
    <w:uiPriority w:val="99"/>
    <w:pPr>
      <w:suppressAutoHyphens/>
      <w:jc w:val="center"/>
    </w:pPr>
    <w:rPr>
      <w:b/>
      <w:lang w:val="cs-CZ"/>
    </w:rPr>
  </w:style>
  <w:style w:type="paragraph" w:styleId="Subtitle">
    <w:name w:val="Subtitle"/>
    <w:basedOn w:val="Normal"/>
    <w:uiPriority w:val="99"/>
    <w:pPr>
      <w:spacing w:after="60"/>
      <w:jc w:val="center"/>
      <w:outlineLvl w:val="1"/>
    </w:pPr>
    <w:rPr>
      <w:rFonts w:ascii="Arial" w:hAnsi="Arial"/>
    </w:rPr>
  </w:style>
  <w:style w:type="character" w:customStyle="1" w:styleId="Znakyprepoznmkupodiarou">
    <w:name w:val="Znaky pre poznámku pod èiarou"/>
    <w:basedOn w:val="DefaultParagraphFont"/>
    <w:uiPriority w:val="99"/>
    <w:rPr>
      <w:vertAlign w:val="superscript"/>
    </w:rPr>
  </w:style>
  <w:style w:type="character" w:customStyle="1" w:styleId="WW8Num9z0">
    <w:name w:val="WW8Num9z0"/>
    <w:uiPriority w:val="99"/>
    <w:rPr>
      <w:sz w:val="20"/>
      <w:rtl w:val="0"/>
    </w:rPr>
  </w:style>
  <w:style w:type="character" w:customStyle="1" w:styleId="WW8Num47z0">
    <w:name w:val="WW8Num47z0"/>
    <w:uiPriority w:val="99"/>
  </w:style>
  <w:style w:type="character" w:customStyle="1" w:styleId="WW-Znakyprepoznmkupodiarou">
    <w:name w:val="WW-Znaky pre poznámku pod èiarou"/>
    <w:basedOn w:val="DefaultParagraphFont"/>
    <w:uiPriority w:val="99"/>
    <w:rPr>
      <w:vertAlign w:val="superscript"/>
    </w:rPr>
  </w:style>
  <w:style w:type="paragraph" w:styleId="EndnoteText">
    <w:name w:val="endnote text"/>
    <w:basedOn w:val="Normal"/>
    <w:uiPriority w:val="99"/>
    <w:pPr>
      <w:suppressAutoHyphens/>
      <w:jc w:val="left"/>
    </w:pPr>
  </w:style>
  <w:style w:type="character" w:customStyle="1" w:styleId="WW8Num9z2">
    <w:name w:val="WW8Num9z2"/>
    <w:uiPriority w:val="99"/>
    <w:rPr>
      <w:rFonts w:ascii="Wingdings" w:hAnsi="Wingdings"/>
      <w:rtl w:val="0"/>
    </w:rPr>
  </w:style>
  <w:style w:type="character" w:customStyle="1" w:styleId="WW-Znakyprevysvetlivky">
    <w:name w:val="WW-Znaky pre vysvetlivky"/>
    <w:basedOn w:val="WW-Standardnpsmoodstavce"/>
    <w:uiPriority w:val="99"/>
    <w:rPr>
      <w:vertAlign w:val="superscript"/>
    </w:rPr>
  </w:style>
  <w:style w:type="character" w:customStyle="1" w:styleId="WW-Standardnpsmoodstavce">
    <w:name w:val="WW-Standardní písmo odstavce"/>
    <w:uiPriority w:val="99"/>
  </w:style>
  <w:style w:type="paragraph" w:customStyle="1" w:styleId="WW-Prosttext">
    <w:name w:val="WW-Prostý text"/>
    <w:basedOn w:val="Normal"/>
    <w:uiPriority w:val="99"/>
    <w:pPr>
      <w:suppressAutoHyphens/>
      <w:jc w:val="both"/>
    </w:pPr>
    <w:rPr>
      <w:rFonts w:ascii="Courier New" w:hAnsi="Courier New"/>
      <w:noProof/>
    </w:rPr>
  </w:style>
  <w:style w:type="character" w:styleId="EndnoteReference">
    <w:name w:val="endnote reference"/>
    <w:basedOn w:val="DefaultParagraphFont"/>
    <w:uiPriority w:val="99"/>
    <w:rPr>
      <w:vertAlign w:val="superscript"/>
    </w:rPr>
  </w:style>
  <w:style w:type="paragraph" w:styleId="BodyTextIndent2">
    <w:name w:val="Body Text Indent 2"/>
    <w:basedOn w:val="Normal"/>
    <w:uiPriority w:val="99"/>
    <w:pPr>
      <w:ind w:left="360" w:hanging="360"/>
      <w:jc w:val="both"/>
    </w:pPr>
  </w:style>
  <w:style w:type="paragraph" w:styleId="EnvelopeReturn">
    <w:name w:val="envelope return"/>
    <w:basedOn w:val="Normal"/>
    <w:uiPriority w:val="99"/>
    <w:pPr>
      <w:suppressAutoHyphens/>
      <w:jc w:val="left"/>
    </w:pPr>
  </w:style>
  <w:style w:type="paragraph" w:customStyle="1" w:styleId="Nadpis">
    <w:name w:val="Nadpis"/>
    <w:basedOn w:val="Normal"/>
    <w:next w:val="BodyText"/>
    <w:uiPriority w:val="99"/>
    <w:pPr>
      <w:keepNext/>
      <w:suppressAutoHyphens/>
      <w:spacing w:before="240" w:after="120"/>
      <w:jc w:val="left"/>
    </w:pPr>
    <w:rPr>
      <w:rFonts w:ascii="Albany" w:hAnsi="Albany"/>
      <w:sz w:val="28"/>
    </w:rPr>
  </w:style>
  <w:style w:type="paragraph" w:customStyle="1" w:styleId="WW-Zkladntext2">
    <w:name w:val="WW-Základný text 2"/>
    <w:basedOn w:val="Normal"/>
    <w:uiPriority w:val="99"/>
    <w:pPr>
      <w:suppressAutoHyphens/>
      <w:jc w:val="both"/>
    </w:pPr>
  </w:style>
  <w:style w:type="character" w:customStyle="1" w:styleId="WW-Predvolenpsmoodseku">
    <w:name w:val="WW-Predvolené písmo odseku"/>
    <w:uiPriority w:val="99"/>
  </w:style>
  <w:style w:type="paragraph" w:customStyle="1" w:styleId="WW-Zkladntext30">
    <w:name w:val="WW-Základný text 3"/>
    <w:basedOn w:val="Normal"/>
    <w:uiPriority w:val="99"/>
    <w:pPr>
      <w:suppressAutoHyphens/>
      <w:jc w:val="left"/>
    </w:pPr>
    <w:rPr>
      <w:i/>
    </w:rPr>
  </w:style>
  <w:style w:type="character" w:styleId="CommentReference">
    <w:name w:val="annotation reference"/>
    <w:basedOn w:val="DefaultParagraphFont"/>
    <w:uiPriority w:val="99"/>
    <w:rPr>
      <w:sz w:val="16"/>
      <w:rtl w:val="0"/>
    </w:rPr>
  </w:style>
  <w:style w:type="paragraph" w:styleId="CommentText">
    <w:name w:val="annotation text"/>
    <w:basedOn w:val="Normal"/>
    <w:uiPriority w:val="99"/>
    <w:pPr>
      <w:jc w:val="left"/>
    </w:pPr>
  </w:style>
  <w:style w:type="paragraph" w:styleId="CommentSubject">
    <w:name w:val="annotation subject"/>
    <w:basedOn w:val="CommentText"/>
    <w:next w:val="CommentText"/>
    <w:uiPriority w:val="99"/>
    <w:pPr>
      <w:jc w:val="left"/>
    </w:pPr>
    <w:rPr>
      <w:b/>
    </w:rPr>
  </w:style>
  <w:style w:type="paragraph" w:styleId="BalloonText">
    <w:name w:val="Balloon Text"/>
    <w:basedOn w:val="Normal"/>
    <w:uiPriority w:val="99"/>
    <w:pPr>
      <w:jc w:val="left"/>
    </w:pPr>
    <w:rPr>
      <w:rFonts w:ascii="Tahoma" w:hAnsi="Tahoma"/>
      <w:sz w:val="16"/>
    </w:rPr>
  </w:style>
  <w:style w:type="paragraph" w:styleId="BodyTextIndent3">
    <w:name w:val="Body Text Indent 3"/>
    <w:basedOn w:val="Normal"/>
    <w:uiPriority w:val="99"/>
    <w:pPr>
      <w:ind w:firstLine="426"/>
      <w:jc w:val="both"/>
    </w:pPr>
  </w:style>
  <w:style w:type="paragraph" w:customStyle="1" w:styleId="odsek">
    <w:name w:val="odsek"/>
    <w:basedOn w:val="Normal"/>
    <w:uiPriority w:val="99"/>
    <w:pPr>
      <w:keepNext/>
      <w:spacing w:before="60" w:after="60"/>
      <w:ind w:firstLine="709"/>
      <w:jc w:val="both"/>
    </w:pPr>
  </w:style>
  <w:style w:type="paragraph" w:customStyle="1" w:styleId="Uroven2">
    <w:name w:val="Uroven2"/>
    <w:basedOn w:val="ListNumber2"/>
    <w:uiPriority w:val="99"/>
    <w:pPr>
      <w:numPr>
        <w:numId w:val="0"/>
      </w:numPr>
      <w:tabs>
        <w:tab w:val="clear" w:pos="643"/>
      </w:tabs>
      <w:suppressAutoHyphens/>
      <w:spacing w:before="120" w:after="120"/>
      <w:jc w:val="both"/>
    </w:pPr>
  </w:style>
  <w:style w:type="paragraph" w:styleId="ListNumber2">
    <w:name w:val="List Number 2"/>
    <w:basedOn w:val="Normal"/>
    <w:uiPriority w:val="99"/>
    <w:pPr>
      <w:numPr>
        <w:numId w:val="7"/>
      </w:numPr>
      <w:tabs>
        <w:tab w:val="left" w:pos="643"/>
      </w:tabs>
      <w:ind w:left="643" w:hanging="360"/>
      <w:jc w:val="left"/>
    </w:pPr>
  </w:style>
  <w:style w:type="paragraph" w:customStyle="1" w:styleId="Odsekspismenom">
    <w:name w:val="Odsek s pismenom"/>
    <w:basedOn w:val="ListNumber"/>
    <w:uiPriority w:val="99"/>
    <w:pPr>
      <w:numPr>
        <w:numId w:val="0"/>
      </w:numPr>
      <w:tabs>
        <w:tab w:val="clear" w:pos="360"/>
      </w:tabs>
      <w:spacing w:before="120"/>
      <w:jc w:val="both"/>
    </w:pPr>
  </w:style>
  <w:style w:type="paragraph" w:styleId="ListNumber">
    <w:name w:val="List Number"/>
    <w:basedOn w:val="Normal"/>
    <w:uiPriority w:val="99"/>
    <w:pPr>
      <w:numPr>
        <w:numId w:val="8"/>
      </w:numPr>
      <w:tabs>
        <w:tab w:val="left" w:pos="360"/>
      </w:tabs>
      <w:ind w:left="360" w:hanging="360"/>
      <w:jc w:val="left"/>
    </w:pPr>
  </w:style>
  <w:style w:type="paragraph" w:customStyle="1" w:styleId="Nadpis2Nadpis-tun">
    <w:name w:val="Nadpis 2.Nadpis-tuèný"/>
    <w:basedOn w:val="Normal"/>
    <w:next w:val="Nadpis"/>
    <w:uiPriority w:val="99"/>
    <w:pPr>
      <w:keepNext/>
      <w:spacing w:before="240" w:after="240"/>
      <w:jc w:val="center"/>
      <w:outlineLvl w:val="1"/>
    </w:pPr>
    <w:rPr>
      <w:b/>
    </w:rPr>
  </w:style>
  <w:style w:type="paragraph" w:customStyle="1" w:styleId="Pismeno-pod1">
    <w:name w:val="Pismeno-pod 1."/>
    <w:basedOn w:val="Odsekspismenom"/>
    <w:uiPriority w:val="99"/>
    <w:pPr>
      <w:numPr>
        <w:numId w:val="15"/>
      </w:numPr>
      <w:tabs>
        <w:tab w:val="left" w:pos="284"/>
        <w:tab w:val="clear" w:pos="360"/>
        <w:tab w:val="left" w:pos="375"/>
      </w:tabs>
      <w:ind w:left="284"/>
      <w:jc w:val="both"/>
    </w:pPr>
  </w:style>
  <w:style w:type="paragraph" w:customStyle="1" w:styleId="Uroven3">
    <w:name w:val="Uroven3"/>
    <w:basedOn w:val="ListNumber3"/>
    <w:uiPriority w:val="99"/>
    <w:pPr>
      <w:numPr>
        <w:numId w:val="6"/>
      </w:numPr>
      <w:tabs>
        <w:tab w:val="left" w:pos="451"/>
        <w:tab w:val="left" w:pos="907"/>
        <w:tab w:val="clear" w:pos="926"/>
      </w:tabs>
      <w:ind w:left="907" w:firstLine="0"/>
      <w:jc w:val="both"/>
    </w:pPr>
  </w:style>
  <w:style w:type="paragraph" w:styleId="ListNumber3">
    <w:name w:val="List Number 3"/>
    <w:basedOn w:val="Normal"/>
    <w:uiPriority w:val="99"/>
    <w:pPr>
      <w:numPr>
        <w:numId w:val="11"/>
      </w:numPr>
      <w:tabs>
        <w:tab w:val="left" w:pos="926"/>
      </w:tabs>
      <w:ind w:left="926" w:hanging="360"/>
      <w:jc w:val="left"/>
    </w:pPr>
  </w:style>
  <w:style w:type="paragraph" w:customStyle="1" w:styleId="Paragraf">
    <w:name w:val="Paragraf"/>
    <w:basedOn w:val="ListNumber"/>
    <w:next w:val="ListNumber"/>
    <w:uiPriority w:val="99"/>
    <w:pPr>
      <w:numPr>
        <w:numId w:val="5"/>
      </w:numPr>
      <w:tabs>
        <w:tab w:val="clear" w:pos="360"/>
        <w:tab w:val="left" w:pos="720"/>
      </w:tabs>
      <w:spacing w:before="360" w:after="360"/>
      <w:ind w:left="0" w:firstLine="0"/>
      <w:jc w:val="center"/>
    </w:pPr>
    <w:rPr>
      <w:b/>
    </w:rPr>
  </w:style>
  <w:style w:type="character" w:customStyle="1" w:styleId="WW8Num2z0">
    <w:name w:val="WW8Num2z0"/>
    <w:uiPriority w:val="99"/>
    <w:rPr>
      <w:rFonts w:ascii="Symbol" w:hAnsi="Symbol"/>
      <w:rtl w:val="0"/>
    </w:rPr>
  </w:style>
  <w:style w:type="character" w:customStyle="1" w:styleId="WW8Num6z0">
    <w:name w:val="WW8Num6z0"/>
    <w:uiPriority w:val="99"/>
    <w:rPr>
      <w:rFonts w:ascii="Times New Roman" w:hAnsi="Times New Roman"/>
      <w:rtl w:val="0"/>
    </w:rPr>
  </w:style>
  <w:style w:type="character" w:customStyle="1" w:styleId="WW8Num11z0">
    <w:name w:val="WW8Num11z0"/>
    <w:uiPriority w:val="99"/>
    <w:rPr>
      <w:rFonts w:ascii="Times New Roman" w:hAnsi="Times New Roman"/>
      <w:rtl w:val="0"/>
    </w:rPr>
  </w:style>
  <w:style w:type="character" w:customStyle="1" w:styleId="WW8Num15z0">
    <w:name w:val="WW8Num15z0"/>
    <w:uiPriority w:val="99"/>
    <w:rPr>
      <w:rFonts w:ascii="Symbol" w:hAnsi="Symbol"/>
      <w:rtl w:val="0"/>
    </w:rPr>
  </w:style>
  <w:style w:type="character" w:customStyle="1" w:styleId="WW8Num22z0">
    <w:name w:val="WW8Num22z0"/>
    <w:uiPriority w:val="99"/>
    <w:rPr>
      <w:rFonts w:ascii="Times New Roman" w:hAnsi="Times New Roman"/>
      <w:rtl w:val="0"/>
    </w:rPr>
  </w:style>
  <w:style w:type="character" w:customStyle="1" w:styleId="WW8Num23z0">
    <w:name w:val="WW8Num23z0"/>
    <w:uiPriority w:val="99"/>
    <w:rPr>
      <w:u w:val="single"/>
    </w:rPr>
  </w:style>
  <w:style w:type="character" w:customStyle="1" w:styleId="WW8Num28z1">
    <w:name w:val="WW8Num28z1"/>
    <w:uiPriority w:val="99"/>
    <w:rPr>
      <w:b/>
      <w:rtl w:val="0"/>
    </w:rPr>
  </w:style>
  <w:style w:type="character" w:customStyle="1" w:styleId="WW8Num37z0">
    <w:name w:val="WW8Num37z0"/>
    <w:uiPriority w:val="99"/>
  </w:style>
  <w:style w:type="character" w:customStyle="1" w:styleId="WW8Num38z0">
    <w:name w:val="WW8Num38z0"/>
    <w:uiPriority w:val="99"/>
  </w:style>
  <w:style w:type="character" w:customStyle="1" w:styleId="WW8Num40z0">
    <w:name w:val="WW8Num40z0"/>
    <w:uiPriority w:val="99"/>
    <w:rPr>
      <w:rFonts w:ascii="Symbol" w:hAnsi="Symbol"/>
      <w:rtl w:val="0"/>
    </w:rPr>
  </w:style>
  <w:style w:type="character" w:customStyle="1" w:styleId="WW8Num45z1">
    <w:name w:val="WW8Num45z1"/>
    <w:uiPriority w:val="99"/>
  </w:style>
  <w:style w:type="character" w:customStyle="1" w:styleId="WW8Num62z0">
    <w:name w:val="WW8Num62z0"/>
    <w:uiPriority w:val="99"/>
    <w:rPr>
      <w:rFonts w:ascii="Times New Roman" w:hAnsi="Times New Roman"/>
      <w:sz w:val="24"/>
      <w:vertAlign w:val="superscript"/>
      <w:rtl w:val="0"/>
    </w:rPr>
  </w:style>
  <w:style w:type="character" w:customStyle="1" w:styleId="WW8Num64z0">
    <w:name w:val="WW8Num64z0"/>
    <w:uiPriority w:val="99"/>
    <w:rPr>
      <w:rFonts w:ascii="Times New Roman" w:hAnsi="Times New Roman"/>
      <w:rtl w:val="0"/>
    </w:rPr>
  </w:style>
  <w:style w:type="character" w:customStyle="1" w:styleId="WW8Num78z0">
    <w:name w:val="WW8Num78z0"/>
    <w:uiPriority w:val="99"/>
    <w:rPr>
      <w:rFonts w:ascii="Wingdings" w:hAnsi="Wingdings"/>
      <w:rtl w:val="0"/>
    </w:rPr>
  </w:style>
  <w:style w:type="character" w:customStyle="1" w:styleId="WW8Num82z0">
    <w:name w:val="WW8Num82z0"/>
    <w:uiPriority w:val="99"/>
    <w:rPr>
      <w:rFonts w:ascii="Times New Roman" w:hAnsi="Times New Roman"/>
      <w:rtl w:val="0"/>
    </w:rPr>
  </w:style>
  <w:style w:type="character" w:customStyle="1" w:styleId="WW8Num85z1">
    <w:name w:val="WW8Num85z1"/>
    <w:uiPriority w:val="99"/>
  </w:style>
  <w:style w:type="character" w:customStyle="1" w:styleId="WW8Num91z0">
    <w:name w:val="WW8Num91z0"/>
    <w:uiPriority w:val="99"/>
    <w:rPr>
      <w:rFonts w:ascii="Times New Roman" w:hAnsi="Times New Roman"/>
      <w:sz w:val="24"/>
      <w:rtl w:val="0"/>
    </w:rPr>
  </w:style>
  <w:style w:type="character" w:customStyle="1" w:styleId="WW8Num94z0">
    <w:name w:val="WW8Num94z0"/>
    <w:uiPriority w:val="99"/>
    <w:rPr>
      <w:rFonts w:ascii="Times New Roman" w:hAnsi="Times New Roman"/>
      <w:rtl w:val="0"/>
    </w:rPr>
  </w:style>
  <w:style w:type="character" w:customStyle="1" w:styleId="WW8Num99z0">
    <w:name w:val="WW8Num99z0"/>
    <w:uiPriority w:val="99"/>
    <w:rPr>
      <w:rFonts w:ascii="Times New Roman" w:hAnsi="Times New Roman"/>
      <w:rtl w:val="0"/>
    </w:rPr>
  </w:style>
  <w:style w:type="character" w:customStyle="1" w:styleId="WW8Num104z0">
    <w:name w:val="WW8Num104z0"/>
    <w:uiPriority w:val="99"/>
    <w:rPr>
      <w:rFonts w:ascii="Times New Roman" w:hAnsi="Times New Roman"/>
      <w:rtl w:val="0"/>
    </w:rPr>
  </w:style>
  <w:style w:type="character" w:customStyle="1" w:styleId="WW8Num113z0">
    <w:name w:val="WW8Num113z0"/>
    <w:uiPriority w:val="99"/>
    <w:rPr>
      <w:rFonts w:ascii="Times New Roman" w:hAnsi="Times New Roman"/>
      <w:rtl w:val="0"/>
    </w:rPr>
  </w:style>
  <w:style w:type="character" w:customStyle="1" w:styleId="WW8Num117z0">
    <w:name w:val="WW8Num117z0"/>
    <w:uiPriority w:val="99"/>
    <w:rPr>
      <w:rFonts w:ascii="Symbol" w:hAnsi="Symbol"/>
      <w:rtl w:val="0"/>
    </w:rPr>
  </w:style>
  <w:style w:type="character" w:customStyle="1" w:styleId="WW8Num119z1">
    <w:name w:val="WW8Num119z1"/>
    <w:uiPriority w:val="99"/>
  </w:style>
  <w:style w:type="character" w:customStyle="1" w:styleId="WW8Num121z0">
    <w:name w:val="WW8Num121z0"/>
    <w:uiPriority w:val="99"/>
    <w:rPr>
      <w:rFonts w:ascii="Times New Roman" w:hAnsi="Times New Roman"/>
      <w:rtl w:val="0"/>
    </w:rPr>
  </w:style>
  <w:style w:type="character" w:customStyle="1" w:styleId="WW8Num126z0">
    <w:name w:val="WW8Num126z0"/>
    <w:uiPriority w:val="99"/>
    <w:rPr>
      <w:rFonts w:ascii="Times New Roman" w:hAnsi="Times New Roman"/>
      <w:rtl w:val="0"/>
    </w:rPr>
  </w:style>
  <w:style w:type="character" w:customStyle="1" w:styleId="WW8Num132z0">
    <w:name w:val="WW8Num132z0"/>
    <w:uiPriority w:val="99"/>
    <w:rPr>
      <w:rFonts w:ascii="Times New Roman" w:hAnsi="Times New Roman"/>
      <w:sz w:val="24"/>
      <w:rtl w:val="0"/>
    </w:rPr>
  </w:style>
  <w:style w:type="character" w:customStyle="1" w:styleId="WW8Num135z0">
    <w:name w:val="WW8Num135z0"/>
    <w:uiPriority w:val="99"/>
    <w:rPr>
      <w:u w:val="none"/>
    </w:rPr>
  </w:style>
  <w:style w:type="character" w:customStyle="1" w:styleId="WW8Num142z0">
    <w:name w:val="WW8Num142z0"/>
    <w:uiPriority w:val="99"/>
    <w:rPr>
      <w:rFonts w:ascii="Times New Roman" w:hAnsi="Times New Roman"/>
      <w:rtl w:val="0"/>
    </w:rPr>
  </w:style>
  <w:style w:type="character" w:customStyle="1" w:styleId="WW8Num143z0">
    <w:name w:val="WW8Num143z0"/>
    <w:uiPriority w:val="99"/>
    <w:rPr>
      <w:rFonts w:ascii="Times New Roman" w:hAnsi="Times New Roman"/>
      <w:rtl w:val="0"/>
    </w:rPr>
  </w:style>
  <w:style w:type="character" w:customStyle="1" w:styleId="WW8Num144z0">
    <w:name w:val="WW8Num144z0"/>
    <w:uiPriority w:val="99"/>
    <w:rPr>
      <w:rFonts w:ascii="Times New Roman" w:hAnsi="Times New Roman"/>
      <w:rtl w:val="0"/>
    </w:rPr>
  </w:style>
  <w:style w:type="character" w:customStyle="1" w:styleId="WW8Num154z0">
    <w:name w:val="WW8Num154z0"/>
    <w:uiPriority w:val="99"/>
    <w:rPr>
      <w:u w:val="single"/>
    </w:rPr>
  </w:style>
  <w:style w:type="character" w:customStyle="1" w:styleId="WW8Num159z0">
    <w:name w:val="WW8Num159z0"/>
    <w:uiPriority w:val="99"/>
    <w:rPr>
      <w:rFonts w:ascii="Times New Roman" w:hAnsi="Times New Roman"/>
      <w:rtl w:val="0"/>
    </w:rPr>
  </w:style>
  <w:style w:type="character" w:customStyle="1" w:styleId="WW8Num160z0">
    <w:name w:val="WW8Num160z0"/>
    <w:uiPriority w:val="99"/>
    <w:rPr>
      <w:rFonts w:ascii="Times New Roman" w:hAnsi="Times New Roman"/>
      <w:rtl w:val="0"/>
    </w:rPr>
  </w:style>
  <w:style w:type="character" w:customStyle="1" w:styleId="WW8Num161z0">
    <w:name w:val="WW8Num161z0"/>
    <w:uiPriority w:val="99"/>
    <w:rPr>
      <w:rFonts w:ascii="Times New Roman" w:hAnsi="Times New Roman"/>
      <w:rtl w:val="0"/>
    </w:rPr>
  </w:style>
  <w:style w:type="character" w:customStyle="1" w:styleId="WW8Num162z0">
    <w:name w:val="WW8Num162z0"/>
    <w:uiPriority w:val="99"/>
    <w:rPr>
      <w:rFonts w:ascii="Times New Roman" w:hAnsi="Times New Roman"/>
      <w:rtl w:val="0"/>
    </w:rPr>
  </w:style>
  <w:style w:type="character" w:customStyle="1" w:styleId="WW8Num165z0">
    <w:name w:val="WW8Num165z0"/>
    <w:uiPriority w:val="99"/>
    <w:rPr>
      <w:rFonts w:ascii="Wingdings" w:hAnsi="Wingdings"/>
      <w:rtl w:val="0"/>
    </w:rPr>
  </w:style>
  <w:style w:type="character" w:customStyle="1" w:styleId="WW8Num167z0">
    <w:name w:val="WW8Num167z0"/>
    <w:uiPriority w:val="99"/>
  </w:style>
  <w:style w:type="character" w:customStyle="1" w:styleId="WW8Num169z0">
    <w:name w:val="WW8Num169z0"/>
    <w:uiPriority w:val="99"/>
    <w:rPr>
      <w:rFonts w:ascii="Wingdings" w:hAnsi="Wingdings"/>
      <w:rtl w:val="0"/>
    </w:rPr>
  </w:style>
  <w:style w:type="character" w:customStyle="1" w:styleId="WW8Num175z0">
    <w:name w:val="WW8Num175z0"/>
    <w:uiPriority w:val="99"/>
    <w:rPr>
      <w:rFonts w:ascii="Times New Roman" w:hAnsi="Times New Roman"/>
      <w:rtl w:val="0"/>
    </w:rPr>
  </w:style>
  <w:style w:type="character" w:customStyle="1" w:styleId="WW8Num176z0">
    <w:name w:val="WW8Num176z0"/>
    <w:uiPriority w:val="99"/>
  </w:style>
  <w:style w:type="character" w:customStyle="1" w:styleId="WW8Num180z0">
    <w:name w:val="WW8Num180z0"/>
    <w:uiPriority w:val="99"/>
    <w:rPr>
      <w:rFonts w:ascii="Symbol" w:hAnsi="Symbol"/>
      <w:rtl w:val="0"/>
    </w:rPr>
  </w:style>
  <w:style w:type="character" w:customStyle="1" w:styleId="WW8Num183z0">
    <w:name w:val="WW8Num183z0"/>
    <w:uiPriority w:val="99"/>
    <w:rPr>
      <w:rFonts w:ascii="Times New Roman" w:hAnsi="Times New Roman"/>
      <w:rtl w:val="0"/>
    </w:rPr>
  </w:style>
  <w:style w:type="character" w:customStyle="1" w:styleId="WW8Num184z0">
    <w:name w:val="WW8Num184z0"/>
    <w:uiPriority w:val="99"/>
    <w:rPr>
      <w:rFonts w:ascii="Times New Roman" w:hAnsi="Times New Roman"/>
      <w:rtl w:val="0"/>
    </w:rPr>
  </w:style>
  <w:style w:type="paragraph" w:customStyle="1" w:styleId="Obsahtabuky">
    <w:name w:val="Obsah tabu¾ky"/>
    <w:basedOn w:val="BodyText"/>
    <w:uiPriority w:val="99"/>
    <w:pPr>
      <w:suppressLineNumbers/>
      <w:spacing w:before="0" w:after="0"/>
      <w:jc w:val="left"/>
    </w:pPr>
    <w:rPr>
      <w:lang w:val="sk-SK"/>
    </w:rPr>
  </w:style>
  <w:style w:type="paragraph" w:customStyle="1" w:styleId="Nadpistabuky">
    <w:name w:val="Nadpis tabu¾ky"/>
    <w:basedOn w:val="Obsahtabuky"/>
    <w:uiPriority w:val="99"/>
    <w:pPr>
      <w:jc w:val="center"/>
    </w:pPr>
    <w:rPr>
      <w:b/>
      <w:i/>
    </w:rPr>
  </w:style>
  <w:style w:type="paragraph" w:customStyle="1" w:styleId="Obsahrmca">
    <w:name w:val="Obsah rámca"/>
    <w:basedOn w:val="BodyText"/>
    <w:uiPriority w:val="99"/>
    <w:pPr>
      <w:spacing w:before="0" w:after="0"/>
      <w:jc w:val="left"/>
    </w:pPr>
    <w:rPr>
      <w:lang w:val="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8</Pages>
  <Words>13246</Words>
  <Characters>75504</Characters>
  <Application>Microsoft Office Word</Application>
  <DocSecurity>0</DocSecurity>
  <Lines>0</Lines>
  <Paragraphs>0</Paragraphs>
  <ScaleCrop>false</ScaleCrop>
  <Company>ÚV SR</Company>
  <LinksUpToDate>false</LinksUpToDate>
  <CharactersWithSpaces>92724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TABU¼KA  ZHODY</dc:title>
  <dc:creator>bodorova</dc:creator>
  <cp:lastModifiedBy>Zamecnikova</cp:lastModifiedBy>
  <cp:revision>2</cp:revision>
  <cp:lastPrinted>2006-12-12T14:58:00Z</cp:lastPrinted>
  <dcterms:created xsi:type="dcterms:W3CDTF">2007-04-11T15:29:00Z</dcterms:created>
  <dcterms:modified xsi:type="dcterms:W3CDTF">2007-04-11T15:29:00Z</dcterms:modified>
</cp:coreProperties>
</file>