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W w:w="15309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43" w:type="dxa"/>
          <w:bottom w:w="0" w:type="dxa"/>
          <w:right w:w="43" w:type="dxa"/>
        </w:tblCellMar>
      </w:tblPr>
      <w:tblGrid>
        <w:gridCol w:w="709"/>
        <w:gridCol w:w="3685"/>
        <w:gridCol w:w="993"/>
        <w:gridCol w:w="992"/>
        <w:gridCol w:w="567"/>
        <w:gridCol w:w="3402"/>
        <w:gridCol w:w="425"/>
        <w:gridCol w:w="851"/>
        <w:gridCol w:w="2835"/>
        <w:gridCol w:w="850"/>
      </w:tblGrid>
      <w:tr>
        <w:tblPrEx>
          <w:tblW w:w="15309" w:type="dxa"/>
          <w:tblInd w:w="1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val="586"/>
        </w:trPr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pStyle w:val="Heading1"/>
              <w:rPr>
                <w:rStyle w:val="DefaultParagraphFont"/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TABUĽKA ZHODY</w:t>
            </w:r>
          </w:p>
          <w:p w:rsidR="008F43EE">
            <w:pPr>
              <w:pStyle w:val="Heading1"/>
              <w:spacing w:after="120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návrhu zákona o ochrane, podpore a rozvoji verejného zdravia s právom Európskych spoločenstiev a právom Európskej únie</w:t>
            </w: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val="586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pStyle w:val="Heading4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Právny akt ES/EÚ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pStyle w:val="Heading4"/>
              <w:spacing w:before="120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Všeobecne záväzné právne predpisy SR</w:t>
            </w: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val="567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BodyText"/>
              <w:spacing w:after="0"/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8F43EE">
            <w:pPr>
              <w:pStyle w:val="BodyText"/>
              <w:spacing w:after="0"/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  <w:t>SMERNICA RADY 74/556/EHS zo 4. júna 1974, ktorou sa stanovujú podrobnosti o prechodných opatreniach týkajúcich sa činností, ktoré súvisia s obchodovaním a distribúciou toxických výrobkov, a činností, ktoré zahŕňajú odborné využitie takýchto výrobkov, vrátane činností sprostredkovateľov</w:t>
            </w:r>
          </w:p>
          <w:p w:rsidR="008F43EE">
            <w:pPr>
              <w:pStyle w:val="BodyText"/>
              <w:spacing w:after="0"/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er"/>
              <w:tabs>
                <w:tab w:val="left" w:pos="709"/>
              </w:tabs>
              <w:jc w:val="both"/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8F43EE">
            <w:pPr>
              <w:pStyle w:val="Header"/>
              <w:tabs>
                <w:tab w:val="left" w:pos="709"/>
              </w:tabs>
              <w:jc w:val="both"/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  <w:t>Návrh zákona o ochrane, podpore a rozvoji verejného zdravia</w:t>
            </w:r>
          </w:p>
          <w:p w:rsidR="008F43EE">
            <w:pPr>
              <w:pStyle w:val="Header"/>
              <w:tabs>
                <w:tab w:val="left" w:pos="709"/>
              </w:tabs>
              <w:jc w:val="both"/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8F43EE">
            <w:pPr>
              <w:ind w:left="360"/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BodyText2"/>
              <w:spacing w:line="240" w:lineRule="exact"/>
              <w:rPr>
                <w:rStyle w:val="DefaultParagraphFont"/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color w:val="auto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BodyText2"/>
              <w:spacing w:line="240" w:lineRule="exact"/>
              <w:rPr>
                <w:rStyle w:val="DefaultParagraphFont"/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color w:val="auto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cantSplit/>
          <w:trHeight w:val="1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8F43EE">
            <w:pPr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  <w:t xml:space="preserve">Článok </w:t>
            </w:r>
          </w:p>
          <w:p w:rsidR="008F43EE">
            <w:pPr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  <w:t>(Č, O,V, P)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Cs w:val="24"/>
              </w:rPr>
              <w:t>Text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top"/>
          </w:tcPr>
          <w:p w:rsidR="008F43EE">
            <w:pPr>
              <w:pStyle w:val="Normlny"/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Cs w:val="24"/>
              </w:rPr>
              <w:t>Spôsob transpozície</w:t>
            </w:r>
          </w:p>
          <w:p w:rsidR="008F43EE">
            <w:pPr>
              <w:pStyle w:val="Normlny"/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Cs w:val="24"/>
              </w:rPr>
              <w:t>(N, O, D, n.a.)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8F43EE">
            <w:pPr>
              <w:pStyle w:val="Normlny"/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Cs w:val="24"/>
              </w:rPr>
              <w:t>Číslo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8F43EE">
            <w:pPr>
              <w:pStyle w:val="Normlny"/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Cs w:val="24"/>
              </w:rPr>
              <w:t>Článok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Cs w:val="24"/>
              </w:rPr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8F43EE">
            <w:pPr>
              <w:pStyle w:val="Normlny"/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Cs w:val="24"/>
              </w:rPr>
              <w:t>Zhoda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8F43EE">
            <w:pPr>
              <w:pStyle w:val="Normlny"/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Cs w:val="24"/>
              </w:rPr>
              <w:t>Admin. infraštr.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8F43EE">
            <w:pPr>
              <w:pStyle w:val="Normlny"/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Cs w:val="24"/>
              </w:rPr>
              <w:t>Poznámky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8F43EE">
            <w:pPr>
              <w:pStyle w:val="Normlny"/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Cs w:val="24"/>
              </w:rPr>
              <w:t>Štádium legislatívneho procesu</w:t>
            </w: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Č: 1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O: 1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  <w:t>Článok 1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1. Členské štáty prijmú prechodné opatrenia definované v tejto smernici týkajúce sa usadenia sa alebo poskytovania služieb na ich území fyzickými osobami alebo spoločnosťami, na ktoré sa vzťahuje hlava I všeobecných programov (ďalej len „oprávnené osoby“), ktoré majú v úmysle vykonávať činnosť uvedenú v odseku 2 tohto článku.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833B1" w:rsidP="00B833B1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ind w:left="99"/>
              <w:jc w:val="both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pStyle w:val="BodyText2"/>
              <w:spacing w:line="240" w:lineRule="exact"/>
              <w:jc w:val="left"/>
              <w:rPr>
                <w:rStyle w:val="DefaultParagraphFont"/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Č: 1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O: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2. Uvedené činnosti sú činnosti, na ktoré sa vzťahuje smernica Rady 74/557/EHS zo 4. júna 1974 o uplatňovaní slobody usadiť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sa a slobody poskytovať služby, pokiaľ ide o činnosti samostatne zárobkovo činných osôb a sprostredkovateľov pôsobiacich v oblasti obchodovania s toxickými výrobkami a ich distribúcie.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Táto smernica sa taktiež vzťahuje na činnosti zahŕňajúce odborné využitie toxických výrobkov, pokiaľ tieto činnosti boli alebo budú liberalizované týmito smernicami: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smernica Rady č. 65/1/EHS zo 14. decembra 1964, ktorou sa stanovujú podrobné ustanovenia na dosiahnutie slobody poskytovania služieb v poľnohospodárstve a záhradníctve;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smernica Rady č. 667/654/EHS z 24. októbra 1967, ktorou sa stanovujú podrobné ustanovenia na dosiahnutie slobody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usadiť sa a slobody poskytovania služieb vzhľadom na činnosti samostatne zárobkovo činných osôb v lesníctve a ťažbe dreva;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smernica Rady č. 71/18/EHS zo 16. decembra 1970, ktorou sa stanovujú podrobné ustanovenia na dosiahnutie slobody usadiť sa vzhľadom na samostatne zárobkovo činné osoby poskytujúce poľnohospodárske a záhradnícke služby;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smer</w:t>
            </w: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nica Rady 74/…/EHS z… o dosiahnutí slobody usadiť sa a slobody poskytovania služieb vzhľadom na rôzne činnosti samostatne zárobkovo činných osôb (ISIC hlavná skupina 01 až hlavná skupina 85), pokiaľ ide o činnosti, na ktoré sa vzťahuje táto smernica, patriace do ISIC skupiny 859 a zahŕňajúce využívanie toxických výrobkov.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Návrh zákona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§ 15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O: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5"/>
              <w:jc w:val="both"/>
              <w:rPr>
                <w:rStyle w:val="DefaultParagraphFont"/>
                <w:rFonts w:ascii="Times New Roman" w:hAnsi="Times New Roman" w:cs="Times New Roman"/>
                <w:b w:val="0"/>
                <w:i w:val="0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i w:val="0"/>
                <w:sz w:val="20"/>
                <w:szCs w:val="24"/>
              </w:rPr>
              <w:t xml:space="preserve">(3) </w:t>
            </w:r>
            <w:r w:rsidRPr="009557B6" w:rsidR="009557B6">
              <w:rPr>
                <w:rStyle w:val="DefaultParagraphFont"/>
                <w:rFonts w:ascii="Times New Roman" w:hAnsi="Times New Roman" w:cs="Times New Roman"/>
                <w:b w:val="0"/>
                <w:i w:val="0"/>
                <w:sz w:val="20"/>
                <w:szCs w:val="24"/>
              </w:rPr>
              <w:t>Ak tento zákon neustanovuje inak, regionálny úrad verejného zdravotníctva v sídle</w:t>
            </w:r>
            <w:r w:rsidRPr="009557B6" w:rsidR="009557B6">
              <w:rPr>
                <w:rStyle w:val="DefaultParagraphFon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>
              <w:rPr>
                <w:rStyle w:val="DefaultParagraphFont"/>
                <w:rFonts w:ascii="Times New Roman" w:hAnsi="Times New Roman" w:cs="Times New Roman"/>
                <w:b w:val="0"/>
                <w:i w:val="0"/>
                <w:sz w:val="20"/>
                <w:szCs w:val="24"/>
              </w:rPr>
              <w:t>v sídle kraja zriaďuje komisie na preskúšanie odbornej spôsobilosti a vydáva osvedčenia odbornej spôsobilosti na</w:t>
            </w:r>
          </w:p>
          <w:p w:rsidR="008F43EE">
            <w:pPr>
              <w:numPr>
                <w:ilvl w:val="2"/>
                <w:numId w:val="19"/>
              </w:numPr>
              <w:tabs>
                <w:tab w:val="left" w:pos="382"/>
                <w:tab w:val="left" w:pos="2340"/>
              </w:tabs>
              <w:spacing w:before="120"/>
              <w:ind w:left="382" w:hanging="283"/>
              <w:jc w:val="both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</w:t>
            </w: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rácu s veľmi jedovatými látkami a prípravkami a jedovatými látkami a prípravkami,</w:t>
            </w:r>
          </w:p>
          <w:p w:rsidR="008F43EE">
            <w:pPr>
              <w:numPr>
                <w:ilvl w:val="2"/>
                <w:numId w:val="19"/>
              </w:numPr>
              <w:tabs>
                <w:tab w:val="left" w:pos="382"/>
                <w:tab w:val="left" w:pos="2340"/>
              </w:tabs>
              <w:spacing w:before="120"/>
              <w:ind w:left="382" w:hanging="283"/>
              <w:jc w:val="both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prácu s dezinfekčnými prípravkami na profesionálne použitie a na prácu s prípravkami na reguláciu živočíšnych škodcov na profesionálne použitie,</w:t>
            </w:r>
          </w:p>
          <w:p w:rsidR="008F43EE">
            <w:pPr>
              <w:numPr>
                <w:ilvl w:val="2"/>
                <w:numId w:val="19"/>
              </w:numPr>
              <w:tabs>
                <w:tab w:val="left" w:pos="382"/>
                <w:tab w:val="left" w:pos="2340"/>
              </w:tabs>
              <w:ind w:left="382" w:hanging="283"/>
              <w:jc w:val="both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nákup, predaj a spracúvanie húb</w:t>
            </w:r>
            <w:r w:rsidR="00994372"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994372" w:rsidRPr="00994372">
            <w:pPr>
              <w:numPr>
                <w:ilvl w:val="2"/>
                <w:numId w:val="19"/>
              </w:numPr>
              <w:tabs>
                <w:tab w:val="left" w:pos="382"/>
                <w:tab w:val="left" w:pos="2340"/>
              </w:tabs>
              <w:ind w:left="382" w:hanging="283"/>
              <w:jc w:val="both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 w:rsidRPr="00994372"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prevádzkovanie pohrebiska, prevádzkovanie pohrebnej služby a  prevádzkovanie krematória</w:t>
            </w:r>
          </w:p>
          <w:p w:rsidR="008F43EE">
            <w:pPr>
              <w:pStyle w:val="BodyTextIndent2"/>
              <w:ind w:firstLine="0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MZ SR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Č: 1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O: 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3. Prechodné opatrenia platia aj pre osoby vykonávajúce činnosti uvedené v odseku 2 ako závislú činnosť, ako aj článok 7 ods. 1 až 4 smernice Rady č. 74/557/EHS.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Návrh zákona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§ 16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O: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BodyTextIndent2"/>
              <w:ind w:firstLine="0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(2) Odbornú spôsobilosť na činnosti  uvedené v § 15 ods. 3 písm. a) a b) preukazuje fyzická osoba-podnikateľ a vedúci zamestnanec.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MZ SR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Č: 2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P: a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P: b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P: c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P: d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P: e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i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i/>
                <w:szCs w:val="24"/>
                <w:lang w:eastAsia="sk-SK"/>
              </w:rPr>
              <w:t>Článok 2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Ak v členskom štáte začatie alebo vykonávanie akejkoľvek činnosti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uvedenej v prvom pododseku článku 1 ods. 2 závisí od všeobecných, obchodných alebo odborných znalostí a schopností, tento členský štát ako dostatočný dôkaz takejto znalosti a schopnosti akceptuje skutočnosť, že príslušná činnosť</w:t>
            </w: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 xml:space="preserve"> bola vykonávaná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v inom členskom štáte počas ktoréhokoľvek z týchto období: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a) päť po sebe nasledujúcich rokov v nezávislej pozícii alebo v riadiacej funkcii, pričom takáto činnosť nebola ukončená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viac ako dva roky pred predložením žiadosti uvedenej v č</w:t>
            </w: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lánku 4 ods. 2;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b) dva po sebe nasledujúce roky v nezávislej pozícii alebo vo vedúcej funkcii, ak oprávnená osoba vlastní doklad o schopnosti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a spôsobilosti pre príslušnú činnosť, ktorý ho oprávňuje vykonávať činnosti spojené s obchodovaním a distribúciou toxických výrobkov v členskom štáte pôvodu alebo v členskom štáte, z ktorého pochádza;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c) tri po sebe nasledujúce roky v nezávislej pozícii alebo vo vedúcej funkcii, ak oprávnená osoba dokáže, že pre príslušnú činnosť získala predchádzajúcu odbornú prípravu, čoho dôkazom je doklad o schopnosti a spôsobilosti uznaný štátom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alebo považovaný príslušným profesijným alebo obchodným orgánom za osvedčenie, ktoré úplne spĺňa jeho požiadavky;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d) tri po sebe nasledujúce roky v závislej pozícii, ak oprávnená osoba vlastní doklad o schopnosti a spôsobilosti pre príslušnú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činnosť, ktorý ho oprávňuje vykonávať činnosti pri obchodovaní a distribúcii toxických produktov v členskom štáte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pôvodu alebo členskom štáte, z ktorého pochádza;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e) štyri po sebe nasledujúce roky</w:t>
            </w: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 xml:space="preserve"> v závislej pozícii, ak oprávnená osoba dokáže, že pre príslušnú činnosť získala predchádzajúcu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odbornú prípravu, čoho dôkazom je doklad o schopnosti a spôsobilosti uznaný štátom alebo považovaný príslušným profesijným alebo obchodným orgánom za osvedčenie, ktoré úplne spĺňa jeho požiadavky.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Tento článok sa týka obchodovania a distribúcie balených toxických výrobkov určených na dodanie konečnému užívateľovi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v pôvodnom balení.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Návrh zákona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§ 16</w:t>
            </w: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 w:rsidR="009877CC">
              <w:rPr>
                <w:rStyle w:val="DefaultParagraphFont"/>
                <w:rFonts w:ascii="Times New Roman" w:hAnsi="Times New Roman" w:cs="Times New Roman"/>
                <w:szCs w:val="24"/>
              </w:rPr>
              <w:t>O: 23</w:t>
            </w: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P: a</w:t>
            </w: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P: b</w:t>
            </w: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P: c</w:t>
            </w: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P: d</w:t>
            </w: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P: e</w:t>
            </w: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>(23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) Žiadateľ o overenie odbornej spôsobilosti na obchodovanie s veľmi jedovatými látkami a prípravkami, s jedovatými látkami a prípravkami, s dezinfekčnými prípravkami na profesionálne použitie alebo s prípravkami na reguláciu živočíšnych škodcov na profesionálne použitie, ktoré sú určené na dodanie konečnému spotrebiteľovi v pôvodnom balení, a ich distribúciu, nemusí vykonať skúšku pred komisiou na preskúšanie odbornej spôsobilosti, ak v inom členskom štáte  </w:t>
            </w:r>
          </w:p>
          <w:p w:rsidR="00F92D9D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a) vykonával niektorú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z týchto činno</w:t>
            </w:r>
            <w:r w:rsidR="00F92D9D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stí samostatne alebo ako vedúci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zamestnanec päť po sebe nasledujúcich rokov, </w:t>
            </w:r>
            <w:r w:rsidR="00F73A68">
              <w:rPr>
                <w:rStyle w:val="DefaultParagraphFont"/>
                <w:rFonts w:ascii="Times New Roman" w:hAnsi="Times New Roman" w:cs="Times New Roman"/>
                <w:szCs w:val="24"/>
              </w:rPr>
              <w:t>pričom takúto činnosť neukončil viac ako dva roky pred predložením žiadosti o overenie odbornej spôsobilosti, a vlastní doklad podľa odseku 26,</w:t>
            </w:r>
          </w:p>
          <w:p w:rsidR="00F73A68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b) vykonával niekto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rú z týchto činností samostatne alebo ako vedúci zamestnanec dva po sebe nasledujúce roky a vlastní doklad o spôsobilosti na túto činnosť, ktorý ho oprávňuje vykonávať túto činnosť</w:t>
            </w:r>
            <w:r w:rsidR="00F73A68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v členskom štáte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, 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F92D9D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c) vykonával niektorú z týchto činností samostatne alebo ako vedúci zamestnanec tri po sebe nasledujúce roky a pred vykonávaním tejto činnosti absolvoval odbornú prípravu, čo preukáže dokladom o</w:t>
            </w:r>
            <w:r w:rsidR="00B547C8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 odbornej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spôsobilosti uznaným štátom alebo určeným príslušným profesijným alebo obchodným orgánom,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d) vykonával niektorú z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týchto činností ako podriadený zamestnanec tri po sebe nasledujúce roky a vlastní doklad o</w:t>
            </w:r>
            <w:r w:rsidR="00B547C8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 odbornej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spôsobilosti na túto činnosť, ktorý ho oprávňuje vykonávať túto činnosť</w:t>
            </w: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v členskom štáte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, alebo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e) vykonával niektorú z týchto činností ako podriadený zamestnanec štyri po sebe nasledujúce roky a pred vykonávaním tejto činnosti absolvoval odbornú prípravu, čo preukáže dokladom o</w:t>
            </w:r>
            <w:r w:rsidR="003F3770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 odbornej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spôsobilosti uznaným štátom alebo určeným príslušným profesijným alebo obchodným orgánom.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MZ SR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Č: 3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P: a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P: b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P: c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P: d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P: e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  <w:t>Článok 3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Ak v členskom štáte začatie alebo vykonávanie akejkoľvek činnosti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uvedenej v druhom pododseku článku 1 ods. 2 závisí od všeobecných, obchodných alebo odborných znalostí a schopností, tento členský štát ako dostatočný dôkaz takejto znalosti a schopnosti akceptuje skutočnosť, že príslušná činnosť bola vykonávaná v inom členskom štáte počas ktoréhokoľvek z týchto období: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a) šesť po sebe nasledujúcich rokov v nezávislej pozícii alebo v riadiacej funkcii, pričom takáto činnosť nebola ukončená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viac ako dva roky pred predložením žiadosti uvedenej v článku 4 ods. 2;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b) tri po sebe nasledujúce roky v nezávislej pozícii alebo vo vedúcej funkcii, ak oprávnená osoba vlastní doklad o schopnosti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a spô</w:t>
            </w: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sobilosti pre príslušnú činnosť, ktorý ho oprávňuje vykonávať činnosti zahŕňajúce odborné využitie toxických výrobkov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v členskom štáte pôvodu alebo v členskom štáte, z ktorého pochádza;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c) štyri po sebe nasledujúce roky v nezávislej pozícii alebo vo vedúcej funkcii, ak oprávnená osoba dokáže, že pre príslušnú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činnosť získala predchádzajúcu odbornú prípravu, čoho dôkazom je doklad o schopnosti a spôsobilosti uznaný štátom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alebo považovaný príslušným profesijným alebo obchodným orgánom ako osvedčenie, ktoré úplne spĺňa jeho požiadavky;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d) štyri po sebe nasledujúce roky v závislej pozícii, ak oprávnená osoba vlastní doklad o schopnosti a spôsobilosti pre príslušnú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činnosť, ktorý ho oprávňuje vykonávať činnosti zahŕňajúce odborné využitie toxických výrobkov v členskom štáte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pôvodu alebo členskom štáte, z ktorého pochádza;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e) päť po sebe nasledujúcich rokov v závislej pozícii, ak oprávnená osoba dokáže, že pre príslušnú činnosť získala predchádzajúcu odbornú prípravu, čoho dôkazom je doklad o schopnosti a spôsobilosti uznaný štátom alebo považovaný príslušným profesijným alebo obchodným orgánom za osvedčenie,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ktoré úplne spĺňa jeho požiadavky.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Ustanovenia písm. a), c) a e) neplatia pre činnosti zahŕňajúce odborné využitie týchto vysoko toxických výrobkov:</w:t>
            </w: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9877CC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kyselina kyanovodíková a jej rozpustné soli,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kyselina fluorovodíková a jej rozpustné soli,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akrylonitril,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tekuté stlačené amónium,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metylbromid,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chlórpikrín,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fosforovodík a produkty, ktoré ho vylučujú,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etylén oxid,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sírouhlík,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</w:t>
            </w: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 xml:space="preserve"> fluorid uhličitý,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trichlóracetonistril.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Na účely uplatňovania ustanovení písm. b) a d) pre tieto vysoko toxické výrobky musí doklad o schopnosti a spôsobilosti uvádzať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výrobok alebo výrobky, ktoré oprávnená osoba môže využívať v členskom štáte pôvodu alebo členskom štáte, z ktorého pochádza.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V tomto prípade činnosť oprávnenej osoby nesmie byť prerušená na viac ako dva roky pred dátumom predloženia žiadosti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uvedenej v článku 4 ods. 2.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Návrh zákona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§ 16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 w:rsidR="009877CC"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O: 24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P: a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P: b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P: c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P: d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P: e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§ 16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O: 2</w:t>
            </w:r>
            <w:r w:rsidR="009877CC"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5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>(24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) Žiadateľ o overenie odbornej spôsobilosti na odborné využitie veľmi jedovatých látok a prípravkov, jedovatých látok a prípravkov, dezinfekčných prípravkov na profesionálne použitie alebo prípravkov na reguláciu živočíšnych škodcov na profesionálne použitie nemusí vykonať skúšku pred komisiou na preskúšanie odbornej spôs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obilosti, ak v ino</w:t>
            </w: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m členskom štáte 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a) vykonával niektorú z týchto činností samostatne alebo ako vedúci zamestnanec šesť po sebe nasledujúcich rokov, </w:t>
            </w: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>pričom takúto činnosť neukončil viac ako dva roky pred predložením žiadosti o overenie odbornej spôsobilosti, a vlastní doklad podľa odseku 26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,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b) vykonával niektorú z týchto činností samostatne alebo ako vedúci zamestnanec tri po sebe nasledujúce roky a vlastní doklad o</w:t>
            </w:r>
            <w:r w:rsidR="00BB793E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 odbornej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spôsobilosti na túto činnosť, ktorý ho oprávňuje vykonávať túto činnosť</w:t>
            </w: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v č</w:t>
            </w: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>lenskom štáte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, 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246057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c) vykonával niektorú z týchto činností samostatne alebo ako vedúci zamestnanec štyri po sebe nasledujúce roky a pred vykonávaním tejto činnosti absolvoval odbornú prípravu, čo preukáže dokladom o</w:t>
            </w:r>
            <w:r w:rsidR="00BB793E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odbornej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spôsobilosti uznaným štátom alebo určený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m príslušným profesijným alebo obchodným orgánom,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d) vykonával niektorú z týchto činností ako podriadený zamestnanec štyri po sebe nasledujúce roky a vlastní doklad o </w:t>
            </w:r>
            <w:r w:rsidR="00BB793E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odbornej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spôsobilosti na túto činnosť, ktorý ho oprávňuje vykonávať túto činnosť</w:t>
            </w: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v členskom štáte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, alebo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e) vykonával niektorú z týchto činností ako podriadený zamestnanec päť po sebe nasledujúcich rokov a pred vykonávaním tejto činnosti absolvoval odbornú prípravu, čo preukáže dokladom o </w:t>
            </w:r>
            <w:r w:rsidR="00BB793E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odbornej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spôsobilosti uznaným štátom alebo určeným príslušným profesi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jným alebo obchodným orgánom.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(2</w:t>
            </w:r>
            <w:r w:rsidR="00246057">
              <w:rPr>
                <w:rStyle w:val="DefaultParagraphFont"/>
                <w:rFonts w:ascii="Times New Roman" w:hAnsi="Times New Roman" w:cs="Times New Roman"/>
                <w:szCs w:val="24"/>
              </w:rPr>
              <w:t>5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) Ustanovenia odseku 2</w:t>
            </w: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>4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písm. a), c) a e) sa nevzťahujú na vykonávanie činností, ktoré zahŕňajú odborné využitie chemických látok uvedených </w:t>
            </w:r>
            <w:r>
              <w:rPr>
                <w:rStyle w:val="DefaultParagraphFont"/>
                <w:rFonts w:ascii="Times New Roman" w:hAnsi="Times New Roman" w:cs="Times New Roman"/>
                <w:color w:val="FF0000"/>
                <w:szCs w:val="24"/>
              </w:rPr>
              <w:t>v prílohe č. 3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. 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 w:rsidRPr="00C32126" w:rsidR="00C32126">
              <w:rPr>
                <w:rStyle w:val="DefaultParagraphFont"/>
                <w:rFonts w:ascii="Times New Roman" w:hAnsi="Times New Roman" w:cs="Times New Roman"/>
                <w:szCs w:val="24"/>
              </w:rPr>
              <w:t>Ak žiadateľ vykonával niektorú z činností podľa</w:t>
            </w:r>
            <w:r w:rsidRPr="00C32126" w:rsidR="00C32126">
              <w:rPr>
                <w:rStyle w:val="DefaultParagraphFont"/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odseku 2</w:t>
            </w: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>4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písm. b) a d) musia byť v dokl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ade o</w:t>
            </w:r>
            <w:r w:rsidR="00A00D29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 odbornej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spôsobilosti uvedené chemické látky, ktoré</w:t>
            </w: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môže žiadateľ v členskom štáte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používať, a odborné využívanie chemickýc</w:t>
            </w:r>
            <w:r w:rsidR="00A00D29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h látok nesmie byť prerušené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viac ako dva roky pred podaním žiadosti o overenie odbornej spôsobilosti.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 w:rsidR="00D012C7">
              <w:rPr>
                <w:rStyle w:val="DefaultParagraphFont"/>
                <w:rFonts w:ascii="Times New Roman" w:hAnsi="Times New Roman" w:cs="Times New Roman"/>
                <w:szCs w:val="24"/>
              </w:rPr>
              <w:t>Príloha č. 3</w:t>
            </w:r>
          </w:p>
          <w:p w:rsidR="00D012C7" w:rsidRPr="00D012C7" w:rsidP="00D012C7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Zoznam chemickýc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h látok, na ktorých odborné využívanie sa nevzťahujú ustanovenia § </w:t>
            </w:r>
            <w:r w:rsidRPr="00D66C5B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16 </w:t>
            </w:r>
            <w:r w:rsidRPr="00D66C5B" w:rsidR="00D66C5B">
              <w:rPr>
                <w:rStyle w:val="DefaultParagraphFont"/>
                <w:rFonts w:ascii="Times New Roman" w:hAnsi="Times New Roman" w:cs="Times New Roman"/>
                <w:color w:val="404040"/>
                <w:szCs w:val="24"/>
              </w:rPr>
              <w:t>ods. 19 a ods. 24  písm. a), c) a e) tohto zákona</w:t>
            </w:r>
          </w:p>
          <w:p w:rsidR="00D012C7" w:rsidP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kyselina kyanovodíková a jej rozpustné soli,</w:t>
            </w:r>
          </w:p>
          <w:p w:rsidR="00D012C7" w:rsidP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kyselina fluorovodíková a jej rozpustné soli,</w:t>
            </w:r>
          </w:p>
          <w:p w:rsidR="00D012C7" w:rsidP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akrylonitril,</w:t>
            </w:r>
          </w:p>
          <w:p w:rsidR="00D012C7" w:rsidP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tekuté stlačené amónium,</w:t>
            </w:r>
          </w:p>
          <w:p w:rsidR="00D012C7" w:rsidP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metylbromid,</w:t>
            </w:r>
          </w:p>
          <w:p w:rsidR="00D012C7" w:rsidP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chlórpikrín,</w:t>
            </w:r>
          </w:p>
          <w:p w:rsidR="00D012C7" w:rsidP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fosforovodí</w:t>
            </w: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k a produkty, ktoré ho vylučujú,</w:t>
            </w:r>
          </w:p>
          <w:p w:rsidR="00D012C7" w:rsidP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etylén oxid,</w:t>
            </w:r>
          </w:p>
          <w:p w:rsidR="00D012C7" w:rsidP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sírouhlík,</w:t>
            </w:r>
          </w:p>
          <w:p w:rsidR="00D012C7" w:rsidP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fluorid uhličitý,</w:t>
            </w:r>
          </w:p>
          <w:p w:rsidR="00D012C7" w:rsidP="00D012C7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— trichlóracetonistril.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MZ SR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both"/>
              <w:rPr>
                <w:rStyle w:val="DefaultParagraphFont"/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Č: 4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O: 1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P: a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P: b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P: c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  <w:t>Článok 4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1. Má sa za to, že daná osoba vykonávala činnosť vo vedúcej funkcii v zmysle článku 2 a 3, ak vykonávala takúto činnosť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v priemyselnom alebo obchodnom podniku v príslušnej pracovnej oblasti: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a) ako vedúci podniku alebo vedúci pobočky podniku; alebo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b) ako zástupca majiteľa alebo vedúceho podniku, pričom takáto funkcia zahŕňa zodpovednosť rovnajúcu sa zodpovednosti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zastupovaného majiteľa alebo manažéra; alebo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c) vo vedúcej funkcii s povinnosťami týkajúcimi sa obchodovania a distribúcie toxických výrobkov a so zodpovednosťou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aspoň za jedno oddelenie podniku, alebo vo vedúcej funkcii so zodpovednosťou za využívanie uvedených výrobkov.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ind w:firstLine="360"/>
              <w:jc w:val="both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Č: 4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O: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2. Dôkaz, že podmienky ustanovené v článku 2 a 3 sú splnené, predstavuje osvedčenie vydané príslušným úradom alebo orgánom v členskom štáte pôvodu alebo členskom štáte, z ktorého príslušná osoba pochádza, ktoré táto osoba priloží k žiadosti o povolenie na vykonávanie príslušnej činnosti alebo činností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v hostiteľských členských štátoch. V tomto osvedčení musí byť prípadne uvedené, či v členskom štáte pôvodu alebo členskom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štáte, z kto</w:t>
            </w: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rého príslušná osoba pochádza, sa povolenie obmedzuje na začatie činností v oblasti distribúcie toxických výrobkov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alebo na činnosti zahŕňajúce odborné využitie takýchto výrobkov alebo či určité toxické výrobky sú vylúčené z týchto činností.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Návrh zákona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§ 16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O: 2</w:t>
            </w:r>
            <w:r w:rsidR="00B833B1"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6</w:t>
            </w: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abc"/>
              <w:tabs>
                <w:tab w:val="clear" w:pos="360"/>
                <w:tab w:val="clear" w:pos="680"/>
              </w:tabs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(2</w:t>
            </w:r>
            <w:r w:rsidR="005D75B9">
              <w:rPr>
                <w:rStyle w:val="DefaultParagraphFont"/>
                <w:rFonts w:ascii="Times New Roman" w:hAnsi="Times New Roman" w:cs="Times New Roman"/>
                <w:szCs w:val="24"/>
              </w:rPr>
              <w:t>6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) Splnenie po</w:t>
            </w:r>
            <w:r w:rsidR="00B833B1">
              <w:rPr>
                <w:rStyle w:val="DefaultParagraphFont"/>
                <w:rFonts w:ascii="Times New Roman" w:hAnsi="Times New Roman" w:cs="Times New Roman"/>
                <w:szCs w:val="24"/>
              </w:rPr>
              <w:t>dmienok podľa odsekov 23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a</w:t>
            </w:r>
            <w:r w:rsidR="00B833B1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24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sa preukazuje dokladom o odbornej spôsobilosti vydaným príslušným úrado</w:t>
            </w:r>
            <w:r w:rsidR="00B833B1">
              <w:rPr>
                <w:rStyle w:val="DefaultParagraphFont"/>
                <w:rFonts w:ascii="Times New Roman" w:hAnsi="Times New Roman" w:cs="Times New Roman"/>
                <w:szCs w:val="24"/>
              </w:rPr>
              <w:t>m alebo orgánom členského štátu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, v ktorom žiadateľ o overenie odbornej spôsobilosti túto činnosť vykoná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val. Doklad o odbornej spôsobilosti </w:t>
            </w:r>
            <w:r w:rsidR="00783AE0">
              <w:rPr>
                <w:rStyle w:val="DefaultParagraphFont"/>
                <w:rFonts w:ascii="Times New Roman" w:hAnsi="Times New Roman" w:cs="Times New Roman"/>
                <w:szCs w:val="24"/>
              </w:rPr>
              <w:t>obsahuje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údaje o druhu a dĺžke odbornej praxe a o obmedzeniach pri výkone činnosti, ktoré žiadateľ </w:t>
            </w:r>
            <w:r w:rsidR="00783AE0">
              <w:rPr>
                <w:rStyle w:val="DefaultParagraphFont"/>
                <w:rFonts w:ascii="Times New Roman" w:hAnsi="Times New Roman" w:cs="Times New Roman"/>
                <w:szCs w:val="24"/>
              </w:rPr>
              <w:t>predloží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 k žiadosti.</w:t>
            </w:r>
          </w:p>
          <w:p w:rsidR="008F43EE">
            <w:pPr>
              <w:jc w:val="both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both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  <w:p w:rsidR="008F43EE">
            <w:pPr>
              <w:jc w:val="both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MZ SR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Č: 4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O: 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3. V lehote stanovenej v článku 7, členské štáty určia úrady a orgány príslušné pre vydávanie osvedčení uvedených v odseku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2 a ihneď o tom informujú ostatné členské štáty a Komisiu.</w:t>
            </w:r>
          </w:p>
          <w:p w:rsidR="008F43EE">
            <w:pPr>
              <w:pStyle w:val="BodyText2"/>
              <w:jc w:val="left"/>
              <w:rPr>
                <w:rStyle w:val="DefaultParagraphFont"/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§ 16</w:t>
            </w:r>
          </w:p>
          <w:p w:rsidR="00B833B1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O: 27</w:t>
            </w:r>
          </w:p>
          <w:p w:rsidR="00B833B1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B833B1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B833B1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B833B1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B833B1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B833B1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B833B1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B833B1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B833B1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B833B1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  <w:p w:rsidR="00B833B1" w:rsidP="00B833B1">
            <w:pPr>
              <w:pStyle w:val="Title"/>
              <w:jc w:val="left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O:28</w:t>
            </w:r>
          </w:p>
          <w:p w:rsidR="00B833B1" w:rsidRPr="00B833B1" w:rsidP="00B833B1">
            <w:pPr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B833B1" w:rsidRPr="00B833B1" w:rsidP="00B833B1">
            <w:pPr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B833B1" w:rsidRPr="00B833B1" w:rsidP="00B833B1">
            <w:pPr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B833B1" w:rsidRPr="00B833B1" w:rsidP="00B833B1">
            <w:pPr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B833B1" w:rsidRPr="00B833B1" w:rsidP="00B833B1">
            <w:pPr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B833B1" w:rsidRPr="00B833B1" w:rsidP="00B833B1">
            <w:pPr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B833B1" w:rsidRPr="00B833B1" w:rsidP="00B833B1">
            <w:pPr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B833B1" w:rsidP="00B833B1">
            <w:pPr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  <w:p w:rsidR="008F43EE" w:rsidRPr="00B833B1" w:rsidP="00B833B1">
            <w:pPr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C5D13">
            <w:pPr>
              <w:pStyle w:val="Title"/>
              <w:jc w:val="both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(27) Osvedčenie o odbornej spôsobilosti podľa odsekov 23 a 24 vydá občanovi členského štátu regionálny úrad verejného zdravotníctva príslušný podľa miesta jeho podnikania alebo výkonu práce po predložení dokladu podľa odseku 26. Regionálny úrad verejného zdravotníctva môže v osvedčení o odbornej spôsobilosti určiť rovnaký rozsah a rovnaké obmedzenia pri výkone činnosti, ako sú určené v doklade podľa odseku 26.</w:t>
            </w:r>
          </w:p>
          <w:p w:rsidR="008F43EE">
            <w:pPr>
              <w:pStyle w:val="Title"/>
              <w:jc w:val="both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  <w:r w:rsidR="001C5D13"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(28</w:t>
            </w: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) Osvedčenie o odbornej spôsobilosti podľa odsekov 21 a 22 vydá občanovi Slovenskej republiky regionálny úrad verejného zdravotníctva príslušný podľa miesta jeho bydliska. Regionálny úrad verejného zdravotníctva osvedčenie o odbornej spôsobilosti nevydá, ak nie sú sp</w:t>
            </w:r>
            <w:r w:rsidR="001C5D13"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lnené podmienky podľa odsekov 23</w:t>
            </w: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 xml:space="preserve"> a 2</w:t>
            </w:r>
            <w:r w:rsidR="001C5D13"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4</w:t>
            </w: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. O vydaní osvedčenia o odbornej spôsobilosti regionálny úrad verejného zdravotníctva bezodkladne informuje úrad verejného zdravotníctva</w:t>
            </w:r>
            <w:r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MZ SR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Č: 5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  <w:t>Článok 5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Ak v členskom štáte pôvodu alebo v členskom štáte, z ktorého príslušná osoba pochádza, doklady o formálnych kvalifikáciách stanovené v článku 2 a 3 alebo osvedčeniach stanovené v článku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4 ods. 2 oprávňujú len začatie činností v oblasti distribúcie toxických produktov alebo len činností zahŕňajúcich odborné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využitie takýchto výrobkov alebo vylučujú určité toxické výrobky z týchto činností, členský štát môže uplatniť rovnaké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obmedzenia na svojom území a z činností zahŕňajúcich odborné využitie toxických výrobkov môže taktiež vylúčiť výrobky, ktoré sa skladajú z rovnakých aktívnych látok ako výrobky vylúčené na základe dokladov o formálnych kvalifikáciách alebo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osvedčení, alebo výrobky predstavujúce podobné riziká pre zdravie ľudí, zvierat a rastlín priamo alebo nepriamo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prostredníctvom životného prostredia.</w:t>
            </w:r>
          </w:p>
          <w:p w:rsidR="008F43EE">
            <w:pPr>
              <w:pStyle w:val="Heading1"/>
              <w:jc w:val="left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 w:rsidR="009633D1"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abc"/>
              <w:tabs>
                <w:tab w:val="clear" w:pos="360"/>
                <w:tab w:val="clear" w:pos="680"/>
              </w:tabs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suppressAutoHyphens/>
              <w:jc w:val="left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suppressAutoHyphens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Č: 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  <w:t>Článok 6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  <w:t>Táto smernica zostáva uplatniteľná dovtedy, kým nadobudnú účinnosť ustanovenia týkajúce sa koordinácie vnútroštátnych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ustanovení o začatí a vykonávaní príslušných činností.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 w:rsidR="009633D1"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ind w:firstLine="360"/>
              <w:jc w:val="both"/>
              <w:rPr>
                <w:rStyle w:val="DefaultParagraphFont"/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suppressAutoHyphens/>
              <w:jc w:val="left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suppressAutoHyphens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Č: 7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O: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  <w:t>Článok 7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1. Členské štáty uvedú do účinnosti opatrenia potrebné na dosiahnutie súladu s touto smernicou do šiestich mesiacov od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jej oznámenia a bezodkladne o tom informujú Komisiu.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 w:rsidR="009633D1"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Title"/>
              <w:jc w:val="both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suppressAutoHyphens/>
              <w:jc w:val="left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suppressAutoHyphens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</w:t>
            </w: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: 7</w:t>
            </w:r>
          </w:p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O: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2. Členské štáty oznámia Komisii znenie hlavných ustanovení vnútroštátnych právnych predpisov, ktoré prijmú v oblasti pôsobnosti tejto smernice, Komisia o tom informuje ostatné členské štáty.</w:t>
            </w:r>
          </w:p>
          <w:p w:rsidR="008F43EE">
            <w:pPr>
              <w:pStyle w:val="Normlny"/>
              <w:rPr>
                <w:rStyle w:val="DefaultParagraphFont"/>
                <w:rFonts w:ascii="Times New Roman" w:hAnsi="Times New Roman" w:cs="Times New Roman"/>
                <w:szCs w:val="24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 w:rsidP="009633D1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 w:rsidR="009633D1"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pStyle w:val="Title"/>
              <w:jc w:val="both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pStyle w:val="Heading1"/>
              <w:suppressAutoHyphens/>
              <w:jc w:val="left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F43EE">
            <w:pPr>
              <w:pStyle w:val="Heading1"/>
              <w:suppressAutoHyphens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5309" w:type="dxa"/>
          <w:tblInd w:w="185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Č: 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  <w:t>Článok 8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Táto smernica je adresovaná</w:t>
            </w: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 xml:space="preserve"> členským štátom.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V Luxemburgu 4. júna 1974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  <w:t>Za Radu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i/>
                <w:sz w:val="20"/>
                <w:szCs w:val="24"/>
                <w:lang w:eastAsia="sk-SK"/>
              </w:rPr>
              <w:t>predseda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Style w:val="DefaultParagraphFont"/>
                <w:rFonts w:ascii="Times New Roman" w:hAnsi="Times New Roman" w:cs="Times New Roman"/>
                <w:sz w:val="20"/>
                <w:szCs w:val="24"/>
                <w:lang w:eastAsia="sk-SK"/>
              </w:rPr>
              <w:t>J. ERTL</w:t>
            </w:r>
          </w:p>
          <w:p w:rsidR="008F43EE">
            <w:pPr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  <w:r w:rsidR="009633D1"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Normlny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Title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Title"/>
              <w:jc w:val="both"/>
              <w:rPr>
                <w:rStyle w:val="DefaultParagraphFont"/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jc w:val="center"/>
              <w:rPr>
                <w:rStyle w:val="DefaultParagraphFont"/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suppressAutoHyphens/>
              <w:jc w:val="left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F43EE">
            <w:pPr>
              <w:pStyle w:val="Heading1"/>
              <w:suppressAutoHyphens/>
              <w:jc w:val="both"/>
              <w:rPr>
                <w:rStyle w:val="DefaultParagraphFont"/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</w:tbl>
    <w:p w:rsidR="008F43EE">
      <w:pPr>
        <w:tabs>
          <w:tab w:val="left" w:pos="426"/>
        </w:tabs>
        <w:rPr>
          <w:rStyle w:val="DefaultParagraphFont"/>
          <w:rFonts w:ascii="Times New Roman" w:hAnsi="Times New Roman" w:cs="Times New Roman"/>
          <w:sz w:val="20"/>
          <w:szCs w:val="24"/>
        </w:rPr>
      </w:pPr>
      <w:r>
        <w:rPr>
          <w:rStyle w:val="DefaultParagraphFont"/>
          <w:rFonts w:ascii="Times New Roman" w:hAnsi="Times New Roman" w:cs="Times New Roman"/>
          <w:sz w:val="20"/>
          <w:szCs w:val="24"/>
        </w:rPr>
        <w:tab/>
        <w:tab/>
        <w:tab/>
        <w:tab/>
        <w:tab/>
        <w:tab/>
      </w:r>
    </w:p>
    <w:sectPr>
      <w:headerReference w:type="default" r:id="rId4"/>
      <w:footerReference w:type="default" r:id="rId5"/>
      <w:pgSz w:w="16838" w:h="11906" w:orient="landscape" w:code="9"/>
      <w:pgMar w:top="1134" w:right="851" w:bottom="1134" w:left="851" w:header="708" w:footer="708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StarSymbol"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EE">
    <w:pPr>
      <w:pStyle w:val="Footer"/>
      <w:framePr w:vAnchor="text" w:hAnchor="margin" w:xAlign="right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 w:rsidR="00D66C5B">
      <w:rPr>
        <w:rStyle w:val="PageNumber"/>
        <w:rFonts w:ascii="Times New Roman" w:hAnsi="Times New Roman" w:cs="Times New Roman"/>
        <w:noProof/>
        <w:szCs w:val="24"/>
      </w:rPr>
      <w:t>6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8F43EE">
    <w:pPr>
      <w:pStyle w:val="Footer"/>
      <w:ind w:right="360"/>
      <w:rPr>
        <w:rStyle w:val="DefaultParagraphFont"/>
        <w:rFonts w:ascii="Times New Roman" w:hAnsi="Times New Roman" w:cs="Times New Roman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EE">
    <w:pPr>
      <w:pStyle w:val="Header"/>
      <w:rPr>
        <w:rStyle w:val="DefaultParagraphFont"/>
        <w:rFonts w:ascii="Times New Roman" w:hAnsi="Times New Roman" w:cs="Times New Roman"/>
        <w:sz w:val="20"/>
        <w:szCs w:val="24"/>
      </w:rPr>
    </w:pPr>
    <w:r>
      <w:rPr>
        <w:rStyle w:val="DefaultParagraphFont"/>
        <w:rFonts w:ascii="Times New Roman" w:hAnsi="Times New Roman" w:cs="Times New Roman"/>
        <w:sz w:val="20"/>
        <w:szCs w:val="24"/>
      </w:rPr>
      <w:t>74/556/EHS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7D0CCD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FE"/>
    <w:multiLevelType w:val="singleLevel"/>
    <w:tmpl w:val="13A26A1C"/>
    <w:lvl w:ilvl="0">
      <w:start w:val="0"/>
      <w:numFmt w:val="decimal"/>
      <w:lvlText w:val="*"/>
      <w:lvlJc w:val="left"/>
      <w:pPr>
        <w:ind w:left="0"/>
      </w:pPr>
    </w:lvl>
  </w:abstractNum>
  <w:abstractNum w:abstractNumId="2">
    <w:nsid w:val="00000001"/>
    <w:multiLevelType w:val="singleLevel"/>
    <w:tmpl w:val="00000001"/>
    <w:name w:val="WW8Num4"/>
    <w:lvl w:ilvl="0">
      <w:start w:val="2"/>
      <w:numFmt w:val="lowerLetter"/>
      <w:suff w:val="nothing"/>
      <w:lvlText w:val="%1)"/>
      <w:lvlJc w:val="left"/>
      <w:pPr>
        <w:ind w:left="360" w:hanging="360"/>
      </w:pPr>
    </w:lvl>
  </w:abstractNum>
  <w:abstractNum w:abstractNumId="3">
    <w:nsid w:val="00000002"/>
    <w:multiLevelType w:val="singleLevel"/>
    <w:tmpl w:val="00000002"/>
    <w:name w:val="WW8Num8"/>
    <w:lvl w:ilvl="0">
      <w:start w:val="1"/>
      <w:numFmt w:val="lowerLetter"/>
      <w:suff w:val="nothing"/>
      <w:lvlText w:val="%1)"/>
      <w:lvlJc w:val="left"/>
      <w:pPr>
        <w:ind w:left="735" w:hanging="375"/>
      </w:pPr>
    </w:lvl>
  </w:abstractNum>
  <w:abstractNum w:abstractNumId="4">
    <w:nsid w:val="00000003"/>
    <w:multiLevelType w:val="singleLevel"/>
    <w:tmpl w:val="00000003"/>
    <w:name w:val="WW8Num9"/>
    <w:lvl w:ilvl="0">
      <w:start w:val="2"/>
      <w:numFmt w:val="bullet"/>
      <w:suff w:val="nothing"/>
      <w:lvlText w:val="-"/>
      <w:lvlJc w:val="left"/>
      <w:pPr>
        <w:ind w:left="360" w:hanging="360"/>
      </w:pPr>
      <w:rPr>
        <w:rFonts w:ascii="StarSymbol" w:hAnsi="StarSymbol"/>
        <w:rtl w:val="0"/>
      </w:rPr>
    </w:lvl>
  </w:abstractNum>
  <w:abstractNum w:abstractNumId="5">
    <w:nsid w:val="00000004"/>
    <w:multiLevelType w:val="multilevel"/>
    <w:tmpl w:val="00000004"/>
    <w:name w:val="WW8Num10"/>
    <w:lvl w:ilvl="0">
      <w:start w:val="7"/>
      <w:numFmt w:val="lowerLetter"/>
      <w:suff w:val="nothing"/>
      <w:lvlText w:val="%1)"/>
      <w:lvlJc w:val="left"/>
      <w:pPr>
        <w:ind w:left="36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6">
    <w:nsid w:val="00000005"/>
    <w:multiLevelType w:val="singleLevel"/>
    <w:tmpl w:val="00000005"/>
    <w:name w:val="WW8Num12"/>
    <w:lvl w:ilvl="0">
      <w:start w:val="1"/>
      <w:numFmt w:val="lowerLetter"/>
      <w:suff w:val="nothing"/>
      <w:lvlText w:val="%1)"/>
      <w:lvlJc w:val="left"/>
      <w:pPr>
        <w:ind w:left="360" w:hanging="360"/>
      </w:pPr>
    </w:lvl>
  </w:abstractNum>
  <w:abstractNum w:abstractNumId="7">
    <w:nsid w:val="00000007"/>
    <w:multiLevelType w:val="singleLevel"/>
    <w:tmpl w:val="00000007"/>
    <w:name w:val="WW8Num14"/>
    <w:lvl w:ilvl="0">
      <w:start w:val="1"/>
      <w:numFmt w:val="decimal"/>
      <w:suff w:val="nothing"/>
      <w:lvlText w:val="(%1) "/>
      <w:lvlJc w:val="left"/>
      <w:pPr>
        <w:ind w:left="283" w:hanging="283"/>
      </w:pPr>
      <w:rPr>
        <w:b w:val="0"/>
        <w:i w:val="0"/>
        <w:sz w:val="24"/>
        <w:rtl w:val="0"/>
      </w:rPr>
    </w:lvl>
  </w:abstractNum>
  <w:abstractNum w:abstractNumId="8">
    <w:nsid w:val="00000008"/>
    <w:multiLevelType w:val="singleLevel"/>
    <w:tmpl w:val="00000008"/>
    <w:name w:val="WW8Num15"/>
    <w:lvl w:ilvl="0">
      <w:start w:val="1"/>
      <w:numFmt w:val="lowerLetter"/>
      <w:suff w:val="nothing"/>
      <w:lvlText w:val="%1)"/>
      <w:lvlJc w:val="left"/>
      <w:pPr>
        <w:ind w:left="360" w:hanging="360"/>
      </w:pPr>
    </w:lvl>
  </w:abstractNum>
  <w:abstractNum w:abstractNumId="9">
    <w:nsid w:val="00000009"/>
    <w:multiLevelType w:val="singleLevel"/>
    <w:tmpl w:val="00000009"/>
    <w:name w:val="WW8Num16"/>
    <w:lvl w:ilvl="0">
      <w:start w:val="1"/>
      <w:numFmt w:val="lowerRoman"/>
      <w:suff w:val="nothing"/>
      <w:lvlText w:val="(%1)"/>
      <w:lvlJc w:val="left"/>
      <w:pPr>
        <w:ind w:left="720" w:hanging="720"/>
      </w:pPr>
    </w:lvl>
  </w:abstractNum>
  <w:abstractNum w:abstractNumId="10">
    <w:nsid w:val="0000000A"/>
    <w:multiLevelType w:val="multilevel"/>
    <w:tmpl w:val="0000000A"/>
    <w:name w:val="WW8Num17"/>
    <w:lvl w:ilvl="0">
      <w:start w:val="1"/>
      <w:numFmt w:val="none"/>
      <w:suff w:val="nothing"/>
      <w:lvlJc w:val="left"/>
      <w:pPr>
        <w:ind w:left="0"/>
      </w:pPr>
    </w:lvl>
    <w:lvl w:ilvl="1">
      <w:start w:val="1"/>
      <w:numFmt w:val="none"/>
      <w:suff w:val="nothing"/>
      <w:lvlJc w:val="left"/>
      <w:pPr>
        <w:ind w:left="0"/>
      </w:pPr>
    </w:lvl>
    <w:lvl w:ilvl="2">
      <w:start w:val="1"/>
      <w:numFmt w:val="none"/>
      <w:suff w:val="nothing"/>
      <w:lvlJc w:val="left"/>
      <w:pPr>
        <w:ind w:left="0"/>
      </w:pPr>
    </w:lvl>
    <w:lvl w:ilvl="3">
      <w:start w:val="1"/>
      <w:numFmt w:val="none"/>
      <w:suff w:val="nothing"/>
      <w:lvlJc w:val="left"/>
      <w:pPr>
        <w:ind w:left="0"/>
      </w:pPr>
    </w:lvl>
    <w:lvl w:ilvl="4">
      <w:start w:val="1"/>
      <w:numFmt w:val="none"/>
      <w:suff w:val="nothing"/>
      <w:lvlJc w:val="left"/>
      <w:pPr>
        <w:ind w:left="0"/>
      </w:pPr>
    </w:lvl>
    <w:lvl w:ilvl="5">
      <w:start w:val="1"/>
      <w:numFmt w:val="none"/>
      <w:suff w:val="nothing"/>
      <w:lvlJc w:val="left"/>
      <w:pPr>
        <w:ind w:left="0"/>
      </w:pPr>
    </w:lvl>
    <w:lvl w:ilvl="6">
      <w:start w:val="1"/>
      <w:numFmt w:val="none"/>
      <w:suff w:val="nothing"/>
      <w:lvlJc w:val="left"/>
      <w:pPr>
        <w:ind w:left="0"/>
      </w:pPr>
    </w:lvl>
    <w:lvl w:ilvl="7">
      <w:start w:val="1"/>
      <w:numFmt w:val="none"/>
      <w:suff w:val="nothing"/>
      <w:lvlJc w:val="left"/>
      <w:pPr>
        <w:ind w:left="0"/>
      </w:pPr>
    </w:lvl>
    <w:lvl w:ilvl="8">
      <w:start w:val="1"/>
      <w:numFmt w:val="none"/>
      <w:suff w:val="nothing"/>
      <w:lvlJc w:val="left"/>
      <w:pPr>
        <w:ind w:left="0"/>
      </w:pPr>
    </w:lvl>
  </w:abstractNum>
  <w:abstractNum w:abstractNumId="11">
    <w:nsid w:val="005019DF"/>
    <w:multiLevelType w:val="hybridMultilevel"/>
    <w:tmpl w:val="E28480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1B0597D"/>
    <w:multiLevelType w:val="multilevel"/>
    <w:tmpl w:val="534AAB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023F62E1"/>
    <w:multiLevelType w:val="multilevel"/>
    <w:tmpl w:val="263C310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25B0CF9"/>
    <w:multiLevelType w:val="multilevel"/>
    <w:tmpl w:val="D8220D9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4BD76A8"/>
    <w:multiLevelType w:val="multilevel"/>
    <w:tmpl w:val="B6705AF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5E3175C"/>
    <w:multiLevelType w:val="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ED35A2"/>
    <w:multiLevelType w:val="hybridMultilevel"/>
    <w:tmpl w:val="EFC643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D54841"/>
    <w:multiLevelType w:val="singleLevel"/>
    <w:tmpl w:val="4DAC468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>
    <w:nsid w:val="61F549DE"/>
    <w:multiLevelType w:val="multilevel"/>
    <w:tmpl w:val="86528CE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61FC4A61"/>
    <w:multiLevelType w:val="hybridMultilevel"/>
    <w:tmpl w:val="47141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E10D4B"/>
    <w:multiLevelType w:val="multilevel"/>
    <w:tmpl w:val="4090463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(%2)"/>
      <w:lvlJc w:val="left"/>
      <w:pPr>
        <w:tabs>
          <w:tab w:val="num" w:pos="397"/>
        </w:tabs>
        <w:ind w:left="0"/>
      </w:p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284"/>
      </w:pPr>
      <w:rPr>
        <w:color w:val="auto"/>
      </w:rPr>
    </w:lvl>
    <w:lvl w:ilvl="3">
      <w:start w:val="1"/>
      <w:numFmt w:val="decimal"/>
      <w:lvlText w:val="%4)"/>
      <w:lvlJc w:val="left"/>
      <w:pPr>
        <w:tabs>
          <w:tab w:val="num" w:pos="567"/>
        </w:tabs>
        <w:ind w:left="454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24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22">
    <w:nsid w:val="72236D3D"/>
    <w:multiLevelType w:val="hybridMultilevel"/>
    <w:tmpl w:val="F4608730"/>
    <w:lvl w:ilvl="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5E513D"/>
    <w:multiLevelType w:val="hybridMultilevel"/>
    <w:tmpl w:val="DD0475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C33AE1"/>
    <w:multiLevelType w:val="multilevel"/>
    <w:tmpl w:val="36945A1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6"/>
  </w:num>
  <w:num w:numId="10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1">
    <w:abstractNumId w:val="19"/>
  </w:num>
  <w:num w:numId="12">
    <w:abstractNumId w:val="14"/>
  </w:num>
  <w:num w:numId="13">
    <w:abstractNumId w:val="24"/>
  </w:num>
  <w:num w:numId="14">
    <w:abstractNumId w:val="15"/>
  </w:num>
  <w:num w:numId="15">
    <w:abstractNumId w:val="18"/>
  </w:num>
  <w:num w:numId="16">
    <w:abstractNumId w:val="13"/>
  </w:num>
  <w:num w:numId="17">
    <w:abstractNumId w:val="12"/>
  </w:num>
  <w:num w:numId="18">
    <w:abstractNumId w:val="21"/>
  </w:num>
  <w:num w:numId="19">
    <w:abstractNumId w:val="17"/>
  </w:num>
  <w:num w:numId="20">
    <w:abstractNumId w:val="20"/>
  </w:num>
  <w:num w:numId="21">
    <w:abstractNumId w:val="22"/>
  </w:num>
  <w:num w:numId="22">
    <w:abstractNumId w:val="23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oNotHyphenateCaps/>
  <w:displayHorizontalDrawingGridEvery w:val="0"/>
  <w:characterSpacingControl w:val="doNotCompress"/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C5D13"/>
    <w:rsid w:val="00246057"/>
    <w:rsid w:val="003F3770"/>
    <w:rsid w:val="005D75B9"/>
    <w:rsid w:val="00783AE0"/>
    <w:rsid w:val="008F43EE"/>
    <w:rsid w:val="009557B6"/>
    <w:rsid w:val="009633D1"/>
    <w:rsid w:val="009877CC"/>
    <w:rsid w:val="00994372"/>
    <w:rsid w:val="00A00D29"/>
    <w:rsid w:val="00B547C8"/>
    <w:rsid w:val="00B833B1"/>
    <w:rsid w:val="00BB793E"/>
    <w:rsid w:val="00C32126"/>
    <w:rsid w:val="00D012C7"/>
    <w:rsid w:val="00D66C5B"/>
    <w:rsid w:val="00F73A68"/>
    <w:rsid w:val="00F92D9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sz w:val="24"/>
      <w:szCs w:val="20"/>
      <w:rtl w:val="0"/>
      <w:lang w:val="sk-SK" w:eastAsia="cs-CZ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9"/>
    <w:pPr>
      <w:keepNext/>
      <w:spacing w:before="120"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uiPriority w:val="99"/>
    <w:pPr>
      <w:keepNext/>
      <w:suppressAutoHyphens/>
      <w:jc w:val="left"/>
      <w:outlineLvl w:val="2"/>
    </w:pPr>
    <w:rPr>
      <w:b/>
      <w:sz w:val="20"/>
    </w:rPr>
  </w:style>
  <w:style w:type="paragraph" w:styleId="Heading4">
    <w:name w:val="heading 4"/>
    <w:basedOn w:val="Normal"/>
    <w:next w:val="Normal"/>
    <w:uiPriority w:val="99"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uiPriority w:val="99"/>
    <w:pPr>
      <w:spacing w:before="240" w:after="60"/>
      <w:jc w:val="left"/>
      <w:outlineLvl w:val="4"/>
    </w:pPr>
    <w:rPr>
      <w:b/>
      <w:i/>
      <w:sz w:val="26"/>
      <w:lang w:eastAsia="en-US"/>
    </w:rPr>
  </w:style>
  <w:style w:type="paragraph" w:styleId="Heading6">
    <w:name w:val="heading 6"/>
    <w:basedOn w:val="Normal"/>
    <w:next w:val="Normal"/>
    <w:uiPriority w:val="99"/>
    <w:pPr>
      <w:spacing w:before="240" w:after="60"/>
      <w:jc w:val="left"/>
      <w:outlineLvl w:val="5"/>
    </w:pPr>
    <w:rPr>
      <w:b/>
      <w:sz w:val="22"/>
      <w:lang w:eastAsia="en-US"/>
    </w:rPr>
  </w:style>
  <w:style w:type="paragraph" w:styleId="Heading7">
    <w:name w:val="heading 7"/>
    <w:basedOn w:val="Normal"/>
    <w:next w:val="Normal"/>
    <w:uiPriority w:val="99"/>
    <w:pPr>
      <w:spacing w:before="240" w:after="60"/>
      <w:jc w:val="left"/>
      <w:outlineLvl w:val="6"/>
    </w:pPr>
    <w:rPr>
      <w:lang w:eastAsia="en-US"/>
    </w:rPr>
  </w:style>
  <w:style w:type="paragraph" w:styleId="Heading8">
    <w:name w:val="heading 8"/>
    <w:basedOn w:val="Normal"/>
    <w:next w:val="Normal"/>
    <w:uiPriority w:val="99"/>
    <w:pPr>
      <w:spacing w:before="240" w:after="60"/>
      <w:jc w:val="left"/>
      <w:outlineLvl w:val="7"/>
    </w:pPr>
    <w:rPr>
      <w:i/>
      <w:lang w:eastAsia="en-US"/>
    </w:rPr>
  </w:style>
  <w:style w:type="paragraph" w:styleId="Heading9">
    <w:name w:val="heading 9"/>
    <w:basedOn w:val="Normal"/>
    <w:next w:val="Normal"/>
    <w:uiPriority w:val="99"/>
    <w:pPr>
      <w:spacing w:before="240" w:after="60"/>
      <w:jc w:val="left"/>
      <w:outlineLvl w:val="8"/>
    </w:pPr>
    <w:rPr>
      <w:sz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uiPriority w:val="99"/>
    <w:pPr>
      <w:jc w:val="left"/>
    </w:pPr>
    <w:rPr>
      <w:i/>
      <w:sz w:val="20"/>
    </w:rPr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  <w:jc w:val="left"/>
    </w:pPr>
  </w:style>
  <w:style w:type="paragraph" w:styleId="BodyText2">
    <w:name w:val="Body Text 2"/>
    <w:basedOn w:val="Normal"/>
    <w:uiPriority w:val="99"/>
    <w:pPr>
      <w:jc w:val="center"/>
    </w:pPr>
    <w:rPr>
      <w:color w:val="FF0000"/>
      <w:sz w:val="20"/>
    </w:rPr>
  </w:style>
  <w:style w:type="paragraph" w:customStyle="1" w:styleId="Normlny">
    <w:name w:val="_Normálny"/>
    <w:basedOn w:val="Normal"/>
    <w:uiPriority w:val="99"/>
    <w:pPr>
      <w:jc w:val="left"/>
    </w:pPr>
    <w:rPr>
      <w:sz w:val="20"/>
    </w:rPr>
  </w:style>
  <w:style w:type="paragraph" w:styleId="FootnoteText">
    <w:name w:val="footnote text"/>
    <w:basedOn w:val="Normal"/>
    <w:uiPriority w:val="99"/>
    <w:semiHidden/>
    <w:pPr>
      <w:jc w:val="left"/>
    </w:pPr>
    <w:rPr>
      <w:sz w:val="2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tabs>
        <w:tab w:val="left" w:pos="360"/>
        <w:tab w:val="left" w:pos="680"/>
      </w:tabs>
      <w:jc w:val="both"/>
    </w:pPr>
    <w:rPr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</w:style>
  <w:style w:type="character" w:customStyle="1" w:styleId="WW-Znakyprepoznmkupodiarou">
    <w:name w:val="WW-Znaky pre poznámku pod èiarou"/>
    <w:basedOn w:val="DefaultParagraphFont"/>
    <w:uiPriority w:val="99"/>
    <w:rPr>
      <w:vertAlign w:val="superscript"/>
    </w:rPr>
  </w:style>
  <w:style w:type="character" w:customStyle="1" w:styleId="Znakyprepoznmkupodiarou">
    <w:name w:val="Znaky pre poznámku pod èiarou"/>
    <w:uiPriority w:val="99"/>
    <w:rPr>
      <w:vertAlign w:val="superscript"/>
    </w:rPr>
  </w:style>
  <w:style w:type="character" w:customStyle="1" w:styleId="WW8Num7z0">
    <w:name w:val="WW8Num7z0"/>
    <w:uiPriority w:val="99"/>
    <w:rPr>
      <w:rFonts w:ascii="Symbol" w:hAnsi="Symbol"/>
      <w:rtl w:val="0"/>
    </w:rPr>
  </w:style>
  <w:style w:type="paragraph" w:styleId="BodyTextIndent">
    <w:name w:val="Body Text Indent"/>
    <w:basedOn w:val="Normal"/>
    <w:uiPriority w:val="99"/>
    <w:pPr>
      <w:spacing w:after="120"/>
      <w:ind w:left="283"/>
      <w:jc w:val="left"/>
    </w:pPr>
  </w:style>
  <w:style w:type="character" w:customStyle="1" w:styleId="WW8Num59z0">
    <w:name w:val="WW8Num59z0"/>
    <w:uiPriority w:val="99"/>
    <w:rPr>
      <w:sz w:val="24"/>
      <w:rtl w:val="0"/>
    </w:rPr>
  </w:style>
  <w:style w:type="paragraph" w:customStyle="1" w:styleId="WW-Prosttext">
    <w:name w:val="WW-Prostý text"/>
    <w:basedOn w:val="Normal"/>
    <w:uiPriority w:val="99"/>
    <w:pPr>
      <w:suppressAutoHyphens/>
      <w:jc w:val="both"/>
    </w:pPr>
    <w:rPr>
      <w:rFonts w:ascii="Courier New" w:hAnsi="Courier New"/>
      <w:sz w:val="20"/>
    </w:rPr>
  </w:style>
  <w:style w:type="character" w:customStyle="1" w:styleId="WW8Num87z0">
    <w:name w:val="WW8Num87z0"/>
    <w:uiPriority w:val="99"/>
    <w:rPr>
      <w:sz w:val="24"/>
      <w:rtl w:val="0"/>
    </w:rPr>
  </w:style>
  <w:style w:type="character" w:customStyle="1" w:styleId="WW8Num23z0">
    <w:name w:val="WW8Num23z0"/>
    <w:uiPriority w:val="99"/>
    <w:rPr>
      <w:rFonts w:ascii="Symbol" w:hAnsi="Symbol"/>
      <w:rtl w:val="0"/>
    </w:rPr>
  </w:style>
  <w:style w:type="paragraph" w:styleId="BodyText">
    <w:name w:val="Body Text"/>
    <w:basedOn w:val="Normal"/>
    <w:uiPriority w:val="99"/>
    <w:pPr>
      <w:spacing w:after="120"/>
      <w:jc w:val="left"/>
    </w:pPr>
  </w:style>
  <w:style w:type="character" w:customStyle="1" w:styleId="WW8Num111z0">
    <w:name w:val="WW8Num111z0"/>
    <w:uiPriority w:val="99"/>
    <w:rPr>
      <w:u w:val="none"/>
    </w:rPr>
  </w:style>
  <w:style w:type="paragraph" w:styleId="Title">
    <w:name w:val="Title"/>
    <w:basedOn w:val="Normal"/>
    <w:uiPriority w:val="99"/>
    <w:pPr>
      <w:jc w:val="center"/>
    </w:pPr>
    <w:rPr>
      <w:b/>
      <w:sz w:val="20"/>
    </w:rPr>
  </w:style>
  <w:style w:type="paragraph" w:styleId="BodyTextIndent2">
    <w:name w:val="Body Text Indent 2"/>
    <w:basedOn w:val="Normal"/>
    <w:uiPriority w:val="99"/>
    <w:pPr>
      <w:ind w:firstLine="360"/>
      <w:jc w:val="both"/>
    </w:pPr>
    <w:rPr>
      <w:sz w:val="20"/>
    </w:rPr>
  </w:style>
  <w:style w:type="character" w:styleId="EndnoteReference">
    <w:name w:val="endnote reference"/>
    <w:basedOn w:val="DefaultParagraphFont"/>
    <w:uiPriority w:val="99"/>
    <w:semiHidden/>
    <w:rPr>
      <w:vertAlign w:val="superscript"/>
    </w:rPr>
  </w:style>
  <w:style w:type="paragraph" w:styleId="EndnoteText">
    <w:name w:val="endnote text"/>
    <w:basedOn w:val="Normal"/>
    <w:uiPriority w:val="99"/>
    <w:semiHidden/>
    <w:pPr>
      <w:suppressAutoHyphens/>
      <w:jc w:val="left"/>
    </w:pPr>
    <w:rPr>
      <w:sz w:val="20"/>
    </w:rPr>
  </w:style>
  <w:style w:type="paragraph" w:customStyle="1" w:styleId="Paragraf">
    <w:name w:val="Paragraf"/>
    <w:basedOn w:val="ListNumber"/>
    <w:next w:val="ListNumber"/>
    <w:uiPriority w:val="99"/>
    <w:pPr>
      <w:numPr>
        <w:numId w:val="0"/>
      </w:numPr>
      <w:tabs>
        <w:tab w:val="clear" w:pos="644"/>
      </w:tabs>
      <w:suppressAutoHyphens/>
      <w:jc w:val="center"/>
    </w:pPr>
  </w:style>
  <w:style w:type="paragraph" w:styleId="ListNumber">
    <w:name w:val="List Number"/>
    <w:basedOn w:val="Normal"/>
    <w:uiPriority w:val="99"/>
    <w:pPr>
      <w:numPr>
        <w:numId w:val="10"/>
      </w:numPr>
      <w:tabs>
        <w:tab w:val="left" w:pos="644"/>
      </w:tabs>
      <w:ind w:left="644" w:hanging="360"/>
      <w:jc w:val="left"/>
    </w:pPr>
  </w:style>
  <w:style w:type="paragraph" w:customStyle="1" w:styleId="Head1">
    <w:name w:val="Head1"/>
    <w:basedOn w:val="Heading1"/>
    <w:uiPriority w:val="99"/>
    <w:pPr>
      <w:numPr>
        <w:numId w:val="13"/>
      </w:numPr>
      <w:tabs>
        <w:tab w:val="left" w:pos="644"/>
      </w:tabs>
      <w:spacing w:before="240" w:after="240"/>
      <w:ind w:left="360" w:hanging="360"/>
      <w:jc w:val="center"/>
    </w:pPr>
    <w:rPr>
      <w:kern w:val="32"/>
      <w:lang w:eastAsia="en-US"/>
    </w:rPr>
  </w:style>
  <w:style w:type="paragraph" w:customStyle="1" w:styleId="Normln1">
    <w:name w:val="Normální1"/>
    <w:basedOn w:val="Normal"/>
    <w:uiPriority w:val="99"/>
    <w:semiHidden/>
    <w:pPr>
      <w:jc w:val="left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9</Pages>
  <Words>2620</Words>
  <Characters>14935</Characters>
  <Application>Microsoft Office Word</Application>
  <DocSecurity>0</DocSecurity>
  <Lines>0</Lines>
  <Paragraphs>0</Paragraphs>
  <ScaleCrop>false</ScaleCrop>
  <Company>ÚV SR</Company>
  <LinksUpToDate>false</LinksUpToDate>
  <CharactersWithSpaces>17520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TABU¼KA  ZHODY</dc:title>
  <dc:creator>bodorova</dc:creator>
  <cp:lastModifiedBy>Miroslava Plávková</cp:lastModifiedBy>
  <cp:revision>14</cp:revision>
  <cp:lastPrinted>2007-03-14T15:29:00Z</cp:lastPrinted>
  <dcterms:created xsi:type="dcterms:W3CDTF">2007-03-27T10:23:00Z</dcterms:created>
  <dcterms:modified xsi:type="dcterms:W3CDTF">2007-04-11T14:32:00Z</dcterms:modified>
</cp:coreProperties>
</file>