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364D" w:rsidRPr="00C02E53" w:rsidP="0057506D">
      <w:pPr>
        <w:jc w:val="center"/>
        <w:rPr>
          <w:b/>
          <w:sz w:val="28"/>
        </w:rPr>
      </w:pPr>
      <w:r w:rsidRPr="00C02E53" w:rsidR="001679AD">
        <w:rPr>
          <w:b/>
          <w:sz w:val="28"/>
        </w:rPr>
        <w:t>Od</w:t>
      </w:r>
      <w:r w:rsidRPr="00C02E53">
        <w:rPr>
          <w:b/>
          <w:sz w:val="28"/>
        </w:rPr>
        <w:t>ôvod</w:t>
      </w:r>
      <w:r w:rsidRPr="00C02E53" w:rsidR="001679AD">
        <w:rPr>
          <w:b/>
          <w:sz w:val="28"/>
        </w:rPr>
        <w:t>nenie</w:t>
      </w:r>
    </w:p>
    <w:p w:rsidR="002D364D" w:rsidRPr="00C02E53" w:rsidP="0057506D">
      <w:pPr>
        <w:jc w:val="center"/>
        <w:rPr>
          <w:b/>
          <w:sz w:val="24"/>
        </w:rPr>
      </w:pPr>
    </w:p>
    <w:p w:rsidR="002D364D" w:rsidRPr="00C02E53" w:rsidP="0057506D">
      <w:pPr>
        <w:jc w:val="center"/>
        <w:rPr>
          <w:b/>
          <w:sz w:val="24"/>
        </w:rPr>
      </w:pPr>
    </w:p>
    <w:p w:rsidR="002D364D" w:rsidRPr="00C02E53" w:rsidP="0057506D">
      <w:pPr>
        <w:rPr>
          <w:b/>
          <w:sz w:val="24"/>
          <w:u w:val="single"/>
        </w:rPr>
      </w:pPr>
      <w:r w:rsidRPr="00C02E53">
        <w:rPr>
          <w:b/>
          <w:sz w:val="24"/>
          <w:u w:val="single"/>
        </w:rPr>
        <w:t>Všeobecná časť</w:t>
      </w:r>
    </w:p>
    <w:p w:rsidR="002D364D" w:rsidRPr="00C02E53" w:rsidP="0057506D">
      <w:pPr>
        <w:rPr>
          <w:b/>
          <w:sz w:val="24"/>
          <w:u w:val="single"/>
        </w:rPr>
      </w:pPr>
    </w:p>
    <w:p w:rsidR="002D364D" w:rsidRPr="00C02E53" w:rsidP="00FD60CB">
      <w:pPr>
        <w:ind w:firstLine="708"/>
        <w:jc w:val="both"/>
        <w:rPr>
          <w:sz w:val="24"/>
        </w:rPr>
      </w:pPr>
      <w:r w:rsidRPr="00C02E53">
        <w:rPr>
          <w:sz w:val="24"/>
        </w:rPr>
        <w:t xml:space="preserve">Návrh vyhlášky </w:t>
      </w:r>
      <w:r w:rsidRPr="00C02E53" w:rsidR="0057506D">
        <w:rPr>
          <w:sz w:val="24"/>
        </w:rPr>
        <w:t xml:space="preserve">Ministerstva pôdohospodárstva Slovenskej republiky, ktorou sa mení a dopĺňa vyhláška Ministerstva pôdohospodárstva Slovenskej republiky </w:t>
      </w:r>
      <w:r w:rsidRPr="00C02E53" w:rsidR="00B3500C">
        <w:rPr>
          <w:sz w:val="24"/>
        </w:rPr>
        <w:t>č. 231/2005 Z.</w:t>
      </w:r>
      <w:r w:rsidRPr="00C02E53" w:rsidR="00417861">
        <w:rPr>
          <w:sz w:val="24"/>
        </w:rPr>
        <w:t xml:space="preserve"> </w:t>
      </w:r>
      <w:r w:rsidRPr="00C02E53" w:rsidR="00B3500C">
        <w:rPr>
          <w:sz w:val="24"/>
        </w:rPr>
        <w:t>z.</w:t>
      </w:r>
      <w:r w:rsidRPr="00C02E53">
        <w:rPr>
          <w:sz w:val="24"/>
        </w:rPr>
        <w:t xml:space="preserve">, ktorou sa vykonávajú niektoré ustanovenia zákona č. </w:t>
      </w:r>
      <w:r w:rsidRPr="00C02E53" w:rsidR="00B3500C">
        <w:rPr>
          <w:sz w:val="24"/>
        </w:rPr>
        <w:t>182</w:t>
      </w:r>
      <w:r w:rsidRPr="00C02E53">
        <w:rPr>
          <w:sz w:val="24"/>
        </w:rPr>
        <w:t>/</w:t>
      </w:r>
      <w:r w:rsidRPr="00C02E53">
        <w:rPr>
          <w:sz w:val="24"/>
        </w:rPr>
        <w:t>2005 Z.</w:t>
      </w:r>
      <w:r w:rsidRPr="00C02E53" w:rsidR="00417861">
        <w:rPr>
          <w:sz w:val="24"/>
        </w:rPr>
        <w:t xml:space="preserve"> </w:t>
      </w:r>
      <w:r w:rsidRPr="00C02E53">
        <w:rPr>
          <w:sz w:val="24"/>
        </w:rPr>
        <w:t>z. o vinohradníctve a vinárstve, sa predkladá na základe zákona</w:t>
      </w:r>
      <w:r w:rsidRPr="00C02E53" w:rsidR="0057506D">
        <w:rPr>
          <w:sz w:val="24"/>
        </w:rPr>
        <w:t xml:space="preserve"> č. .../2007 Z. z.</w:t>
      </w:r>
      <w:r w:rsidRPr="00C02E53" w:rsidR="00732BEF">
        <w:rPr>
          <w:sz w:val="24"/>
        </w:rPr>
        <w:t xml:space="preserve">, ktorým sa mení a dopĺňa zákon </w:t>
      </w:r>
      <w:r w:rsidRPr="00C02E53" w:rsidR="00B3500C">
        <w:rPr>
          <w:sz w:val="24"/>
        </w:rPr>
        <w:t>č. 182/2005 Z.</w:t>
      </w:r>
      <w:r w:rsidRPr="00C02E53" w:rsidR="00417861">
        <w:rPr>
          <w:sz w:val="24"/>
        </w:rPr>
        <w:t xml:space="preserve"> </w:t>
      </w:r>
      <w:r w:rsidRPr="00C02E53" w:rsidR="00B3500C">
        <w:rPr>
          <w:sz w:val="24"/>
        </w:rPr>
        <w:t xml:space="preserve">z. </w:t>
      </w:r>
      <w:r w:rsidRPr="00C02E53">
        <w:rPr>
          <w:sz w:val="24"/>
        </w:rPr>
        <w:t xml:space="preserve">o vinohradníctve a vinárstve. </w:t>
      </w:r>
    </w:p>
    <w:p w:rsidR="002D364D" w:rsidRPr="00C02E53" w:rsidP="0057506D">
      <w:pPr>
        <w:jc w:val="both"/>
        <w:rPr>
          <w:sz w:val="24"/>
        </w:rPr>
      </w:pPr>
    </w:p>
    <w:p w:rsidR="00B3500C" w:rsidRPr="00C02E53" w:rsidP="00FD60CB">
      <w:pPr>
        <w:ind w:firstLine="708"/>
        <w:jc w:val="both"/>
        <w:rPr>
          <w:sz w:val="24"/>
        </w:rPr>
      </w:pPr>
      <w:r w:rsidRPr="00C02E53" w:rsidR="00FD60CB">
        <w:rPr>
          <w:sz w:val="24"/>
        </w:rPr>
        <w:t>N</w:t>
      </w:r>
      <w:r w:rsidRPr="00C02E53" w:rsidR="002D364D">
        <w:rPr>
          <w:sz w:val="24"/>
        </w:rPr>
        <w:t xml:space="preserve">ávrh vyhlášky upravuje </w:t>
      </w:r>
      <w:r w:rsidRPr="00C02E53">
        <w:rPr>
          <w:sz w:val="24"/>
        </w:rPr>
        <w:t>spôsob nakladania s vedľajšími produktmi z výroby vína, nakoľ</w:t>
      </w:r>
      <w:r w:rsidRPr="00C02E53">
        <w:rPr>
          <w:sz w:val="24"/>
        </w:rPr>
        <w:t xml:space="preserve">ko prijatím nariadenia Rady (ES) </w:t>
      </w:r>
      <w:r w:rsidRPr="00C02E53" w:rsidR="0057506D">
        <w:rPr>
          <w:sz w:val="24"/>
        </w:rPr>
        <w:t xml:space="preserve">č. </w:t>
      </w:r>
      <w:r w:rsidRPr="00C02E53">
        <w:rPr>
          <w:sz w:val="24"/>
        </w:rPr>
        <w:t xml:space="preserve">2165/2005 </w:t>
      </w:r>
      <w:r w:rsidRPr="00C02E53" w:rsidR="00E928AF">
        <w:rPr>
          <w:sz w:val="24"/>
        </w:rPr>
        <w:t xml:space="preserve">z 20. decembra 2005 </w:t>
      </w:r>
      <w:r w:rsidRPr="00C02E53">
        <w:rPr>
          <w:sz w:val="24"/>
        </w:rPr>
        <w:t>sa umožnilo slovenským výrobcom vedľajšie produkty odstrániť iným spôsobom ako povinnou destiláciou. V </w:t>
      </w:r>
      <w:r w:rsidRPr="00C02E53" w:rsidR="0057506D">
        <w:rPr>
          <w:sz w:val="24"/>
        </w:rPr>
        <w:t>danej</w:t>
      </w:r>
      <w:r w:rsidRPr="00C02E53">
        <w:rPr>
          <w:sz w:val="24"/>
        </w:rPr>
        <w:t xml:space="preserve"> súvi</w:t>
      </w:r>
      <w:r w:rsidRPr="00C02E53" w:rsidR="0057506D">
        <w:rPr>
          <w:sz w:val="24"/>
        </w:rPr>
        <w:t>slosti sa doplnil vzor formulára</w:t>
      </w:r>
      <w:r w:rsidRPr="00C02E53">
        <w:rPr>
          <w:sz w:val="24"/>
        </w:rPr>
        <w:t xml:space="preserve"> za účelom vedenia evidencie vedľajších produ</w:t>
      </w:r>
      <w:r w:rsidRPr="00C02E53">
        <w:rPr>
          <w:sz w:val="24"/>
        </w:rPr>
        <w:t xml:space="preserve">ktov. </w:t>
      </w:r>
      <w:r w:rsidRPr="00C02E53" w:rsidR="005F6E36">
        <w:rPr>
          <w:sz w:val="24"/>
        </w:rPr>
        <w:t>Vymedzili</w:t>
      </w:r>
      <w:r w:rsidRPr="00C02E53">
        <w:rPr>
          <w:sz w:val="24"/>
        </w:rPr>
        <w:t xml:space="preserve"> sa tiež parametre, ktoré sa sledujú pri chemickej analýze, nakoľko doteraz neboli presne špecifikované a</w:t>
      </w:r>
      <w:r w:rsidRPr="00C02E53" w:rsidR="0057506D">
        <w:rPr>
          <w:sz w:val="24"/>
        </w:rPr>
        <w:t> uskutočnila sa aj</w:t>
      </w:r>
      <w:r w:rsidRPr="00C02E53">
        <w:rPr>
          <w:sz w:val="24"/>
        </w:rPr>
        <w:t xml:space="preserve"> zmena v označovaní oxidu siričitého vzhľadom na prijatie nariadenia Komisie (ES) č. 1991/2004</w:t>
      </w:r>
      <w:r w:rsidRPr="00C02E53" w:rsidR="00476283">
        <w:rPr>
          <w:sz w:val="24"/>
        </w:rPr>
        <w:t xml:space="preserve"> z 19. novembra 2004</w:t>
      </w:r>
      <w:r w:rsidRPr="00C02E53">
        <w:rPr>
          <w:sz w:val="24"/>
        </w:rPr>
        <w:t xml:space="preserve">. </w:t>
      </w:r>
    </w:p>
    <w:p w:rsidR="002D364D" w:rsidRPr="00C02E53" w:rsidP="008D254B">
      <w:pPr>
        <w:jc w:val="both"/>
        <w:rPr>
          <w:sz w:val="24"/>
        </w:rPr>
      </w:pPr>
    </w:p>
    <w:p w:rsidR="008D254B" w:rsidRPr="00C02E53" w:rsidP="00FD60CB">
      <w:pPr>
        <w:pStyle w:val="nzovprvnehoaktuE"/>
        <w:spacing w:before="0"/>
        <w:ind w:firstLine="708"/>
        <w:jc w:val="both"/>
        <w:rPr>
          <w:b w:val="0"/>
        </w:rPr>
      </w:pPr>
      <w:r w:rsidRPr="00C02E53">
        <w:rPr>
          <w:b w:val="0"/>
        </w:rPr>
        <w:t>Predkladaný návrh vyhlášky je v súlade s Ústavou Slovenskej republiky, zákonmi Slovenskej republiky, medzinárodnými zmluvami a inými medzinárodnými dokumentmi, ktorými je Slovenská republika viazaná.</w:t>
      </w:r>
    </w:p>
    <w:p w:rsidR="008D254B" w:rsidRPr="00C02E53" w:rsidP="008D254B">
      <w:pPr>
        <w:pStyle w:val="nzovprvnehoaktuE"/>
        <w:tabs>
          <w:tab w:val="left" w:pos="284"/>
        </w:tabs>
        <w:spacing w:before="0"/>
        <w:jc w:val="both"/>
        <w:rPr>
          <w:b w:val="0"/>
        </w:rPr>
      </w:pPr>
    </w:p>
    <w:p w:rsidR="008D254B" w:rsidRPr="00C02E53" w:rsidP="00FD60CB">
      <w:pPr>
        <w:pStyle w:val="nzovprvnehoaktuE"/>
        <w:spacing w:before="0"/>
        <w:ind w:firstLine="708"/>
        <w:jc w:val="both"/>
        <w:rPr>
          <w:b w:val="0"/>
        </w:rPr>
      </w:pPr>
      <w:r w:rsidRPr="00C02E53">
        <w:rPr>
          <w:b w:val="0"/>
        </w:rPr>
        <w:t xml:space="preserve">Prijatie vyhlášky nepredpokladá negatívny finančný vplyv na štátny rozpočet, na rozpočty obcí, na rozpočty vyšších územných celkov ani na ostatné rozpočty patriace do okruhu verejných rozpočtov. Predložený návrh vyhlášky nebude mať žiaden vplyv na životné prostredie, nepredpokladajú sa negatívne ekonomické vplyvy, negatívne vplyvy na zamestnanosť ani na tvorbu pracovných miest. </w:t>
      </w:r>
    </w:p>
    <w:p w:rsidR="00BF5195" w:rsidRPr="00C02E53" w:rsidP="008D254B">
      <w:pPr>
        <w:pStyle w:val="nzovprvnehoaktuE"/>
        <w:tabs>
          <w:tab w:val="left" w:pos="284"/>
        </w:tabs>
        <w:rPr>
          <w:b w:val="0"/>
          <w:lang w:eastAsia="cs-CZ"/>
        </w:rPr>
      </w:pPr>
    </w:p>
    <w:p w:rsidR="004A26BB" w:rsidP="0057506D">
      <w:pPr>
        <w:pStyle w:val="nzovprvnehoaktuE"/>
        <w:tabs>
          <w:tab w:val="left" w:pos="284"/>
        </w:tabs>
        <w:spacing w:before="0"/>
        <w:rPr>
          <w:lang w:eastAsia="cs-CZ"/>
        </w:rPr>
      </w:pPr>
      <w:r w:rsidRPr="00C02E53">
        <w:rPr>
          <w:lang w:eastAsia="cs-CZ"/>
        </w:rPr>
        <w:t xml:space="preserve">DOLOŽKA ZLUČITEĽNOSTI </w:t>
      </w:r>
    </w:p>
    <w:p w:rsidR="006F1A70" w:rsidRPr="00C02E53" w:rsidP="0057506D">
      <w:pPr>
        <w:pStyle w:val="nzovprvnehoaktuE"/>
        <w:tabs>
          <w:tab w:val="left" w:pos="284"/>
        </w:tabs>
        <w:spacing w:before="0"/>
        <w:rPr>
          <w:lang w:eastAsia="cs-CZ"/>
        </w:rPr>
      </w:pPr>
      <w:r w:rsidRPr="00C02E53">
        <w:t xml:space="preserve">právneho predpisu </w:t>
      </w:r>
    </w:p>
    <w:p w:rsidR="006F1A70" w:rsidRPr="00C02E53" w:rsidP="0057506D">
      <w:pPr>
        <w:tabs>
          <w:tab w:val="left" w:pos="284"/>
        </w:tabs>
        <w:jc w:val="center"/>
        <w:rPr>
          <w:b/>
          <w:sz w:val="24"/>
        </w:rPr>
      </w:pPr>
      <w:r w:rsidRPr="00C02E53">
        <w:rPr>
          <w:b/>
          <w:sz w:val="24"/>
        </w:rPr>
        <w:t>s právom Európskych spoločenstiev a Európskej únie</w:t>
      </w:r>
    </w:p>
    <w:p w:rsidR="006F1A70" w:rsidRPr="00C02E53" w:rsidP="0057506D">
      <w:pPr>
        <w:tabs>
          <w:tab w:val="left" w:pos="284"/>
        </w:tabs>
        <w:rPr>
          <w:sz w:val="24"/>
        </w:rPr>
      </w:pPr>
    </w:p>
    <w:p w:rsidR="006F1A70" w:rsidRPr="00C02E53" w:rsidP="0057506D">
      <w:pPr>
        <w:numPr>
          <w:ilvl w:val="0"/>
          <w:numId w:val="1"/>
        </w:numPr>
        <w:tabs>
          <w:tab w:val="left" w:pos="284"/>
        </w:tabs>
        <w:ind w:left="0" w:firstLine="0"/>
        <w:jc w:val="both"/>
        <w:rPr>
          <w:sz w:val="24"/>
        </w:rPr>
      </w:pPr>
      <w:r w:rsidR="00332E9E">
        <w:rPr>
          <w:b/>
          <w:sz w:val="24"/>
        </w:rPr>
        <w:t>Predkladateľ</w:t>
      </w:r>
      <w:r w:rsidRPr="00C02E53">
        <w:rPr>
          <w:b/>
          <w:sz w:val="24"/>
        </w:rPr>
        <w:t xml:space="preserve"> právneho predpisu</w:t>
      </w:r>
      <w:r w:rsidRPr="00C02E53">
        <w:rPr>
          <w:sz w:val="24"/>
        </w:rPr>
        <w:t xml:space="preserve">: </w:t>
      </w:r>
      <w:r w:rsidR="0076706A">
        <w:rPr>
          <w:sz w:val="24"/>
        </w:rPr>
        <w:t>Ministerstvo pôdohospodárstva</w:t>
      </w:r>
      <w:r w:rsidRPr="00C02E53">
        <w:rPr>
          <w:sz w:val="24"/>
        </w:rPr>
        <w:t xml:space="preserve"> Slovenskej republiky</w:t>
      </w:r>
    </w:p>
    <w:p w:rsidR="006F1A70" w:rsidRPr="00C02E53" w:rsidP="0057506D">
      <w:pPr>
        <w:tabs>
          <w:tab w:val="left" w:pos="284"/>
        </w:tabs>
        <w:jc w:val="both"/>
        <w:rPr>
          <w:sz w:val="24"/>
        </w:rPr>
      </w:pPr>
    </w:p>
    <w:p w:rsidR="006F1A70" w:rsidRPr="00C02E53" w:rsidP="0057506D">
      <w:pPr>
        <w:pStyle w:val="Heading1"/>
        <w:jc w:val="both"/>
        <w:rPr>
          <w:b w:val="0"/>
        </w:rPr>
      </w:pPr>
      <w:r w:rsidRPr="00C02E53">
        <w:t>2. Náz</w:t>
      </w:r>
      <w:r w:rsidRPr="00C02E53">
        <w:t xml:space="preserve">ov návrhu právneho predpisu: </w:t>
      </w:r>
      <w:r w:rsidRPr="00C02E53">
        <w:rPr>
          <w:b w:val="0"/>
        </w:rPr>
        <w:t>Návrh vyhlášky Ministerstva pôdohospodárstva Slovenskej republiky,  ktorou sa mení a dopĺňa vyhláška Ministerstva pôdohospodárstva Slovenskej republiky č. 231/2005  Z. z., ktorou  sa vykonávajú niektoré ustanovenia zákona č. 18</w:t>
      </w:r>
      <w:r w:rsidRPr="00C02E53">
        <w:rPr>
          <w:b w:val="0"/>
        </w:rPr>
        <w:t>2/2005 Z. z. o vinohradníctve a vinárstve.</w:t>
      </w:r>
    </w:p>
    <w:p w:rsidR="006F1A70" w:rsidRPr="00C02E53" w:rsidP="0057506D">
      <w:pPr>
        <w:tabs>
          <w:tab w:val="left" w:pos="284"/>
        </w:tabs>
        <w:jc w:val="both"/>
        <w:rPr>
          <w:sz w:val="24"/>
        </w:rPr>
      </w:pPr>
    </w:p>
    <w:p w:rsidR="00FD60CB" w:rsidRPr="00C02E53" w:rsidP="00FD60CB">
      <w:pPr>
        <w:numPr>
          <w:ilvl w:val="0"/>
          <w:numId w:val="15"/>
        </w:numPr>
        <w:tabs>
          <w:tab w:val="left" w:pos="284"/>
          <w:tab w:val="num" w:pos="360"/>
          <w:tab w:val="clear" w:pos="720"/>
        </w:tabs>
        <w:ind w:left="360"/>
        <w:jc w:val="both"/>
        <w:rPr>
          <w:sz w:val="24"/>
        </w:rPr>
      </w:pPr>
      <w:r w:rsidRPr="00C02E53">
        <w:rPr>
          <w:b/>
          <w:sz w:val="24"/>
        </w:rPr>
        <w:t xml:space="preserve">Problematika návrhu právneho </w:t>
      </w:r>
      <w:r w:rsidRPr="00C02E53" w:rsidR="006F1A70">
        <w:rPr>
          <w:b/>
          <w:sz w:val="24"/>
        </w:rPr>
        <w:t>predpisu</w:t>
      </w:r>
      <w:r w:rsidRPr="00C02E53">
        <w:rPr>
          <w:b/>
          <w:sz w:val="24"/>
        </w:rPr>
        <w:t>:</w:t>
      </w:r>
    </w:p>
    <w:p w:rsidR="006003E5" w:rsidP="006003E5">
      <w:pPr>
        <w:numPr>
          <w:ilvl w:val="1"/>
          <w:numId w:val="15"/>
        </w:numPr>
        <w:tabs>
          <w:tab w:val="left" w:pos="284"/>
        </w:tabs>
        <w:jc w:val="both"/>
        <w:rPr>
          <w:sz w:val="24"/>
        </w:rPr>
      </w:pPr>
      <w:r w:rsidRPr="00C02E53" w:rsidR="008C4B37">
        <w:rPr>
          <w:sz w:val="24"/>
        </w:rPr>
        <w:t>je upravená v práve Európskych spoločenstiev</w:t>
      </w:r>
      <w:r w:rsidR="00EC00EA">
        <w:rPr>
          <w:sz w:val="24"/>
        </w:rPr>
        <w:t>:</w:t>
      </w:r>
    </w:p>
    <w:p w:rsidR="008C4B37" w:rsidP="006003E5">
      <w:pPr>
        <w:numPr>
          <w:ilvl w:val="0"/>
          <w:numId w:val="18"/>
        </w:numPr>
        <w:tabs>
          <w:tab w:val="left" w:pos="284"/>
        </w:tabs>
        <w:jc w:val="both"/>
        <w:rPr>
          <w:sz w:val="24"/>
        </w:rPr>
      </w:pPr>
      <w:r w:rsidR="006003E5">
        <w:rPr>
          <w:sz w:val="24"/>
        </w:rPr>
        <w:t>primárnom</w:t>
      </w:r>
      <w:r w:rsidRPr="00C02E53">
        <w:rPr>
          <w:sz w:val="24"/>
        </w:rPr>
        <w:t>:</w:t>
      </w:r>
    </w:p>
    <w:p w:rsidR="00523746" w:rsidP="00523746">
      <w:pPr>
        <w:tabs>
          <w:tab w:val="left" w:pos="284"/>
        </w:tabs>
        <w:jc w:val="both"/>
        <w:rPr>
          <w:sz w:val="24"/>
        </w:rPr>
      </w:pPr>
      <w:r>
        <w:rPr>
          <w:sz w:val="24"/>
        </w:rPr>
        <w:t>Hlava II (Poľnohospodárstvo) Zmluvy o založení Európskeho spoločenstva</w:t>
      </w:r>
    </w:p>
    <w:p w:rsidR="006003E5" w:rsidRPr="00C02E53" w:rsidP="006003E5">
      <w:pPr>
        <w:numPr>
          <w:ilvl w:val="0"/>
          <w:numId w:val="18"/>
        </w:numPr>
        <w:tabs>
          <w:tab w:val="left" w:pos="284"/>
        </w:tabs>
        <w:jc w:val="both"/>
        <w:rPr>
          <w:sz w:val="24"/>
        </w:rPr>
      </w:pPr>
      <w:r>
        <w:rPr>
          <w:sz w:val="24"/>
        </w:rPr>
        <w:t>sekundárnom:</w:t>
      </w:r>
    </w:p>
    <w:p w:rsidR="008C4B37" w:rsidRPr="00C02E53" w:rsidP="008C4B37">
      <w:pPr>
        <w:numPr>
          <w:ilvl w:val="0"/>
          <w:numId w:val="9"/>
        </w:numPr>
        <w:ind w:left="357" w:hanging="357"/>
        <w:jc w:val="both"/>
        <w:rPr>
          <w:sz w:val="24"/>
        </w:rPr>
      </w:pPr>
      <w:r w:rsidRPr="00C02E53">
        <w:rPr>
          <w:sz w:val="24"/>
        </w:rPr>
        <w:t xml:space="preserve">Nariadenie Rady (ES) č. 1493/1999 z 17. mája 1999 o spoločnej organizácii trhu s vínom (Mimoriadne vydanie Ú. v. EÚ, </w:t>
      </w:r>
      <w:r w:rsidR="00FE3F77">
        <w:rPr>
          <w:sz w:val="24"/>
        </w:rPr>
        <w:t xml:space="preserve">kap. </w:t>
      </w:r>
      <w:r w:rsidRPr="00C02E53">
        <w:rPr>
          <w:sz w:val="24"/>
        </w:rPr>
        <w:t>3/zv. 26</w:t>
      </w:r>
      <w:r w:rsidR="00DE57D0">
        <w:rPr>
          <w:sz w:val="24"/>
        </w:rPr>
        <w:t xml:space="preserve">) </w:t>
      </w:r>
      <w:r w:rsidRPr="00C02E53">
        <w:rPr>
          <w:sz w:val="24"/>
        </w:rPr>
        <w:t xml:space="preserve">platnom znení. </w:t>
      </w:r>
    </w:p>
    <w:p w:rsidR="008C4B37" w:rsidRPr="00C02E53" w:rsidP="008C4B37">
      <w:pPr>
        <w:numPr>
          <w:ilvl w:val="0"/>
          <w:numId w:val="13"/>
        </w:numPr>
        <w:ind w:left="357" w:hanging="357"/>
        <w:jc w:val="both"/>
        <w:rPr>
          <w:sz w:val="24"/>
        </w:rPr>
      </w:pPr>
      <w:r w:rsidRPr="00C02E53">
        <w:rPr>
          <w:sz w:val="24"/>
        </w:rPr>
        <w:t>Nariaden</w:t>
      </w:r>
      <w:r w:rsidRPr="00C02E53" w:rsidR="00EB3F74">
        <w:rPr>
          <w:sz w:val="24"/>
        </w:rPr>
        <w:t xml:space="preserve">ie Komisie (ES) č. 1622/2000 z </w:t>
      </w:r>
      <w:r w:rsidRPr="00C02E53">
        <w:rPr>
          <w:sz w:val="24"/>
        </w:rPr>
        <w:t xml:space="preserve">24. júla 2000 ustanovujúce niektoré podrobné pravidlá na uplatňovanie nariadenia (ES) č. 1493/1999 o spoločnej organizácii trhu s vínom a ustanovujúce Zákonník spoločenstva pre vinárske (oenologické) postupy a procesy (Mimoriadne vydanie Ú. v. EÚ, </w:t>
      </w:r>
      <w:r w:rsidR="00433173">
        <w:rPr>
          <w:sz w:val="24"/>
        </w:rPr>
        <w:t xml:space="preserve">kap. </w:t>
      </w:r>
      <w:r w:rsidRPr="00C02E53">
        <w:rPr>
          <w:sz w:val="24"/>
        </w:rPr>
        <w:t>3/zv. 30</w:t>
      </w:r>
      <w:r w:rsidR="003804BD">
        <w:rPr>
          <w:sz w:val="24"/>
        </w:rPr>
        <w:t>)</w:t>
      </w:r>
      <w:r w:rsidR="00912FAC">
        <w:rPr>
          <w:sz w:val="24"/>
        </w:rPr>
        <w:t xml:space="preserve"> v p</w:t>
      </w:r>
      <w:r w:rsidRPr="00C02E53">
        <w:rPr>
          <w:sz w:val="24"/>
        </w:rPr>
        <w:t xml:space="preserve">latnom znení. </w:t>
      </w:r>
    </w:p>
    <w:p w:rsidR="008C4B37" w:rsidRPr="00C02E53" w:rsidP="008C4B37">
      <w:pPr>
        <w:numPr>
          <w:ilvl w:val="0"/>
          <w:numId w:val="13"/>
        </w:numPr>
        <w:ind w:left="357" w:hanging="357"/>
        <w:jc w:val="both"/>
        <w:rPr>
          <w:sz w:val="24"/>
        </w:rPr>
      </w:pPr>
      <w:r w:rsidRPr="00C02E53">
        <w:rPr>
          <w:sz w:val="24"/>
        </w:rPr>
        <w:t xml:space="preserve">Nariadenie Komisie (ES) č. 1623/2000 z 25. júla 2000 stanovujúce podrobné pravidlá uplatňovania nariadenia (ES) č. 1493/1999 o spoločnej organizácii trhu s vínom vzhľadom na trhový mechanizmus (Mimoriadne vydanie Ú. v. EÚ, </w:t>
      </w:r>
      <w:r w:rsidR="00433173">
        <w:rPr>
          <w:sz w:val="24"/>
        </w:rPr>
        <w:t xml:space="preserve">kap. </w:t>
      </w:r>
      <w:r w:rsidRPr="00C02E53">
        <w:rPr>
          <w:sz w:val="24"/>
        </w:rPr>
        <w:t>3/zv. 30)  v platnom znení.</w:t>
      </w:r>
    </w:p>
    <w:p w:rsidR="008C4B37" w:rsidRPr="00C02E53" w:rsidP="008C4B37">
      <w:pPr>
        <w:pStyle w:val="NormalWeb"/>
        <w:numPr>
          <w:ilvl w:val="0"/>
          <w:numId w:val="14"/>
        </w:numPr>
        <w:tabs>
          <w:tab w:val="num" w:pos="360"/>
          <w:tab w:val="clear" w:pos="720"/>
        </w:tabs>
        <w:spacing w:before="0" w:after="0"/>
        <w:ind w:left="357" w:right="0" w:hanging="357"/>
        <w:jc w:val="both"/>
        <w:rPr>
          <w:sz w:val="24"/>
          <w:szCs w:val="20"/>
        </w:rPr>
      </w:pPr>
      <w:r w:rsidRPr="00C02E53">
        <w:rPr>
          <w:sz w:val="24"/>
          <w:szCs w:val="20"/>
        </w:rPr>
        <w:t xml:space="preserve">Nariadenie Komisie (ES) č. 1282/2001 z 28. júna 2001, ktoré stanovuje podrobné pravidlá pre uplatňovanie nariadenia </w:t>
      </w:r>
      <w:r w:rsidRPr="00C02E53" w:rsidR="00E14D72">
        <w:rPr>
          <w:sz w:val="24"/>
          <w:szCs w:val="20"/>
        </w:rPr>
        <w:t>R</w:t>
      </w:r>
      <w:r w:rsidRPr="00C02E53">
        <w:rPr>
          <w:sz w:val="24"/>
          <w:szCs w:val="20"/>
        </w:rPr>
        <w:t xml:space="preserve">ady (ES) </w:t>
      </w:r>
      <w:r w:rsidRPr="00C02E53" w:rsidR="00E14D72">
        <w:rPr>
          <w:sz w:val="24"/>
          <w:szCs w:val="20"/>
        </w:rPr>
        <w:t xml:space="preserve">č. </w:t>
      </w:r>
      <w:r w:rsidRPr="00C02E53">
        <w:rPr>
          <w:sz w:val="24"/>
          <w:szCs w:val="20"/>
        </w:rPr>
        <w:t xml:space="preserve">1493/1999, pokiaľ ide o zhromažďovanie informácií na identifikáciu výrobkov z vína a na monitorovanie trhu s vínom, a ktorým sa mení a dopĺňa nariadenie (ES) č. 1623/2000 (Mimoriadne vydanie Ú. v. EÚ, </w:t>
      </w:r>
      <w:r w:rsidR="00433173">
        <w:rPr>
          <w:sz w:val="24"/>
          <w:szCs w:val="20"/>
        </w:rPr>
        <w:t>ka</w:t>
      </w:r>
      <w:r w:rsidR="00433173">
        <w:rPr>
          <w:sz w:val="24"/>
          <w:szCs w:val="20"/>
        </w:rPr>
        <w:t xml:space="preserve">p. </w:t>
      </w:r>
      <w:r w:rsidRPr="00C02E53">
        <w:rPr>
          <w:sz w:val="24"/>
          <w:szCs w:val="20"/>
        </w:rPr>
        <w:t>3/zv. 32)  v platnom znení.</w:t>
      </w:r>
    </w:p>
    <w:p w:rsidR="008C4B37" w:rsidRPr="00C02E53" w:rsidP="008C4B37">
      <w:pPr>
        <w:pStyle w:val="NormalWeb"/>
        <w:numPr>
          <w:ilvl w:val="0"/>
          <w:numId w:val="14"/>
        </w:numPr>
        <w:tabs>
          <w:tab w:val="num" w:pos="360"/>
          <w:tab w:val="clear" w:pos="720"/>
        </w:tabs>
        <w:spacing w:before="0" w:after="0"/>
        <w:ind w:left="357" w:right="0" w:hanging="357"/>
        <w:jc w:val="both"/>
      </w:pPr>
      <w:r w:rsidRPr="00C02E53">
        <w:rPr>
          <w:sz w:val="24"/>
          <w:szCs w:val="20"/>
        </w:rPr>
        <w:t>Nariadenie Komisie (ES) č. 753/2002 z 29. apríla 2001, ktorým sa stanovujú určité pravidlá uplatňovania nariadenia Rady (ES) č. 1493/1999, pokiaľ ide o popis, označovanie, prezentáciu a ochranu určitých vinárskych výrobkov (M</w:t>
      </w:r>
      <w:r w:rsidRPr="00C02E53">
        <w:rPr>
          <w:sz w:val="24"/>
          <w:szCs w:val="20"/>
        </w:rPr>
        <w:t xml:space="preserve">imoriadne vydanie Ú. v. EÚ, </w:t>
      </w:r>
      <w:r w:rsidR="00433173">
        <w:rPr>
          <w:sz w:val="24"/>
          <w:szCs w:val="20"/>
        </w:rPr>
        <w:t xml:space="preserve">kap. </w:t>
      </w:r>
      <w:r w:rsidRPr="00C02E53">
        <w:rPr>
          <w:sz w:val="24"/>
          <w:szCs w:val="20"/>
        </w:rPr>
        <w:t>3/zv. 35)  v platnom znení.</w:t>
      </w:r>
    </w:p>
    <w:p w:rsidR="008C4B37" w:rsidRPr="00C02E53" w:rsidP="008C4B37">
      <w:pPr>
        <w:pStyle w:val="NormalWeb"/>
        <w:numPr>
          <w:ilvl w:val="0"/>
          <w:numId w:val="14"/>
        </w:numPr>
        <w:tabs>
          <w:tab w:val="num" w:pos="360"/>
          <w:tab w:val="clear" w:pos="720"/>
        </w:tabs>
        <w:spacing w:before="0" w:after="0"/>
        <w:ind w:left="357" w:right="0" w:hanging="357"/>
        <w:jc w:val="both"/>
        <w:rPr>
          <w:rStyle w:val="Strong"/>
          <w:b w:val="0"/>
          <w:sz w:val="24"/>
          <w:szCs w:val="24"/>
        </w:rPr>
      </w:pPr>
      <w:r w:rsidRPr="00C02E53">
        <w:rPr>
          <w:rStyle w:val="Strong"/>
          <w:b w:val="0"/>
          <w:sz w:val="24"/>
          <w:szCs w:val="24"/>
        </w:rPr>
        <w:t>Nariadenie Komisie (ES) č. 1991/2004 z 19. novembra 20</w:t>
      </w:r>
      <w:r w:rsidRPr="00C02E53">
        <w:rPr>
          <w:rStyle w:val="Strong"/>
          <w:b w:val="0"/>
          <w:sz w:val="24"/>
          <w:szCs w:val="24"/>
        </w:rPr>
        <w:t>04, ktorým sa mení a dopĺňa nariadenie (ES) č. 753/2002, ktoré ustanovuje určité pravidlá na uplatňovanie nariadenia Rady (ES) č. 1493/1999 o popise, označovaní, prezentácii a ochrane určitých vinárskych výrobkov (Ú. v. EÚ L 344, 20.11.2004).</w:t>
      </w:r>
    </w:p>
    <w:p w:rsidR="00731A1C" w:rsidRPr="00C02E53" w:rsidP="008C4B37">
      <w:pPr>
        <w:pStyle w:val="NormalWeb"/>
        <w:numPr>
          <w:ilvl w:val="0"/>
          <w:numId w:val="14"/>
        </w:numPr>
        <w:tabs>
          <w:tab w:val="num" w:pos="360"/>
          <w:tab w:val="clear" w:pos="720"/>
        </w:tabs>
        <w:spacing w:before="0" w:after="0"/>
        <w:ind w:left="357" w:right="0" w:hanging="357"/>
        <w:jc w:val="both"/>
        <w:rPr>
          <w:bCs/>
          <w:sz w:val="24"/>
          <w:szCs w:val="24"/>
        </w:rPr>
      </w:pPr>
      <w:r w:rsidRPr="00C02E53" w:rsidR="008C4B37">
        <w:rPr>
          <w:bCs/>
          <w:sz w:val="24"/>
          <w:szCs w:val="24"/>
        </w:rPr>
        <w:t>Nariadenie Rady (ES) č. 2165/2005 z 20. decembra 2005, ktorým sa mení a dopĺňa nariadenie (ES) č. 1493/1999 o spoločnej organizácii trhu s vín</w:t>
      </w:r>
      <w:r w:rsidRPr="00C02E53" w:rsidR="0066125D">
        <w:rPr>
          <w:bCs/>
          <w:sz w:val="24"/>
          <w:szCs w:val="24"/>
        </w:rPr>
        <w:t>om (Ú. v. EÚ L 345, 28.12.2005),</w:t>
      </w:r>
    </w:p>
    <w:p w:rsidR="008C4B37" w:rsidRPr="00C02E53" w:rsidP="008C4B37">
      <w:pPr>
        <w:tabs>
          <w:tab w:val="left" w:pos="540"/>
        </w:tabs>
        <w:jc w:val="both"/>
        <w:rPr>
          <w:sz w:val="24"/>
          <w:szCs w:val="24"/>
        </w:rPr>
      </w:pPr>
      <w:r w:rsidRPr="00C02E53">
        <w:rPr>
          <w:sz w:val="24"/>
          <w:szCs w:val="24"/>
        </w:rPr>
        <w:t>b) nie je upravená v práve Európskej únie,</w:t>
      </w:r>
    </w:p>
    <w:p w:rsidR="008C4B37" w:rsidRPr="00C02E53" w:rsidP="008C4B37">
      <w:pPr>
        <w:tabs>
          <w:tab w:val="left" w:pos="180"/>
        </w:tabs>
        <w:jc w:val="both"/>
        <w:rPr>
          <w:b/>
          <w:sz w:val="24"/>
          <w:szCs w:val="24"/>
        </w:rPr>
      </w:pPr>
      <w:r w:rsidRPr="00C02E53">
        <w:rPr>
          <w:sz w:val="24"/>
          <w:szCs w:val="24"/>
        </w:rPr>
        <w:t>c)</w:t>
      </w:r>
      <w:r w:rsidRPr="00C02E53">
        <w:rPr>
          <w:b/>
          <w:sz w:val="24"/>
          <w:szCs w:val="24"/>
        </w:rPr>
        <w:t xml:space="preserve"> </w:t>
      </w:r>
      <w:r w:rsidRPr="00C02E53">
        <w:rPr>
          <w:sz w:val="24"/>
          <w:szCs w:val="24"/>
        </w:rPr>
        <w:t>nie je obsiahnutá v judikatúre Súdneho dvora Európskych spoločenstiev ani Súdu prvého stupňa Európskych spoločenstiev.</w:t>
      </w:r>
    </w:p>
    <w:p w:rsidR="008C4B37" w:rsidRPr="00C02E53" w:rsidP="008C4B37">
      <w:pPr>
        <w:pStyle w:val="NormalWeb"/>
        <w:spacing w:before="0" w:after="0"/>
        <w:ind w:left="0" w:right="0"/>
        <w:jc w:val="both"/>
        <w:rPr>
          <w:bCs/>
          <w:sz w:val="24"/>
          <w:szCs w:val="24"/>
        </w:rPr>
      </w:pPr>
    </w:p>
    <w:p w:rsidR="00731A1C" w:rsidRPr="00C02E53" w:rsidP="003726A2">
      <w:pPr>
        <w:numPr>
          <w:ilvl w:val="0"/>
          <w:numId w:val="15"/>
        </w:numPr>
        <w:tabs>
          <w:tab w:val="left" w:pos="284"/>
          <w:tab w:val="num" w:pos="360"/>
          <w:tab w:val="clear" w:pos="720"/>
        </w:tabs>
        <w:ind w:left="360"/>
        <w:jc w:val="both"/>
        <w:rPr>
          <w:sz w:val="24"/>
        </w:rPr>
      </w:pPr>
      <w:r w:rsidRPr="00C02E53">
        <w:rPr>
          <w:b/>
          <w:sz w:val="24"/>
        </w:rPr>
        <w:t>Záväzky Slovenskej republiky vo vzťahu k Európskym spoločenstvám a Európskej únii</w:t>
      </w:r>
    </w:p>
    <w:p w:rsidR="008C4B37" w:rsidRPr="00C02E53" w:rsidP="003726A2">
      <w:pPr>
        <w:numPr>
          <w:ilvl w:val="1"/>
          <w:numId w:val="16"/>
        </w:numPr>
        <w:tabs>
          <w:tab w:val="left" w:pos="284"/>
        </w:tabs>
        <w:jc w:val="both"/>
        <w:rPr>
          <w:sz w:val="24"/>
          <w:szCs w:val="24"/>
        </w:rPr>
      </w:pPr>
      <w:r w:rsidRPr="00C02E53">
        <w:rPr>
          <w:sz w:val="24"/>
          <w:szCs w:val="24"/>
        </w:rPr>
        <w:t xml:space="preserve">Záväzky vyplývajú zo Zmluvy o pristúpení Slovenskej republiky k Európskej únii. Návrh </w:t>
      </w:r>
      <w:r w:rsidRPr="00C02E53" w:rsidR="003726A2">
        <w:rPr>
          <w:sz w:val="24"/>
          <w:szCs w:val="24"/>
        </w:rPr>
        <w:t xml:space="preserve">vyhlášky </w:t>
      </w:r>
      <w:r w:rsidRPr="00C02E53">
        <w:rPr>
          <w:sz w:val="24"/>
          <w:szCs w:val="24"/>
        </w:rPr>
        <w:t xml:space="preserve">sa svojou problematikou dotýka prílohy č. 2 Aktu o podmienkach pristúpenia, bod 6 – Poľnohospodárstvo. </w:t>
      </w:r>
    </w:p>
    <w:p w:rsidR="008C4B37" w:rsidRPr="00C02E53" w:rsidP="003726A2">
      <w:pPr>
        <w:numPr>
          <w:ilvl w:val="1"/>
          <w:numId w:val="16"/>
        </w:numPr>
        <w:tabs>
          <w:tab w:val="left" w:pos="284"/>
        </w:tabs>
        <w:jc w:val="both"/>
        <w:rPr>
          <w:sz w:val="24"/>
          <w:szCs w:val="24"/>
        </w:rPr>
      </w:pPr>
      <w:r w:rsidRPr="00C02E53">
        <w:rPr>
          <w:sz w:val="24"/>
          <w:szCs w:val="24"/>
        </w:rPr>
        <w:t>V rámci Aktu o podmienkach pristúpenia pripojenom k Zmluve o pristúpení Slovenskej republiky k Európskej únii nebolo v danej oblasti dohodnuté žiadne prechodné obdobie.</w:t>
      </w:r>
    </w:p>
    <w:p w:rsidR="008C4B37" w:rsidRPr="00C02E53" w:rsidP="003726A2">
      <w:pPr>
        <w:numPr>
          <w:ilvl w:val="1"/>
          <w:numId w:val="16"/>
        </w:numPr>
        <w:tabs>
          <w:tab w:val="left" w:pos="284"/>
        </w:tabs>
        <w:jc w:val="both"/>
        <w:rPr>
          <w:sz w:val="24"/>
          <w:szCs w:val="24"/>
        </w:rPr>
      </w:pPr>
      <w:r w:rsidRPr="00C02E53">
        <w:rPr>
          <w:sz w:val="24"/>
          <w:szCs w:val="24"/>
        </w:rPr>
        <w:t>Bezpredmetné.</w:t>
      </w:r>
    </w:p>
    <w:p w:rsidR="008C4B37" w:rsidRPr="00C02E53" w:rsidP="003726A2">
      <w:pPr>
        <w:numPr>
          <w:ilvl w:val="1"/>
          <w:numId w:val="16"/>
        </w:numPr>
        <w:tabs>
          <w:tab w:val="left" w:pos="284"/>
        </w:tabs>
        <w:jc w:val="both"/>
        <w:rPr>
          <w:sz w:val="24"/>
          <w:szCs w:val="24"/>
        </w:rPr>
      </w:pPr>
      <w:r w:rsidRPr="00C02E53">
        <w:rPr>
          <w:sz w:val="24"/>
          <w:szCs w:val="24"/>
        </w:rPr>
        <w:t>V danej oblasti nebolo začaté konanie proti Slovenskej republike o porušení Zmluvy o založení Európskych spoločenstiev podľa čl. 226 až 228 Zmluvy o založení Európskych spoločenstiev v platnom znení.</w:t>
      </w:r>
    </w:p>
    <w:p w:rsidR="006F1A70" w:rsidRPr="00C02E53" w:rsidP="003726A2">
      <w:pPr>
        <w:numPr>
          <w:ilvl w:val="1"/>
          <w:numId w:val="16"/>
        </w:numPr>
        <w:tabs>
          <w:tab w:val="left" w:pos="284"/>
        </w:tabs>
        <w:jc w:val="both"/>
        <w:rPr>
          <w:sz w:val="24"/>
          <w:szCs w:val="24"/>
        </w:rPr>
      </w:pPr>
      <w:r w:rsidRPr="00C02E53" w:rsidR="008C4B37">
        <w:rPr>
          <w:sz w:val="24"/>
          <w:szCs w:val="24"/>
        </w:rPr>
        <w:t>Bezpredmetné.</w:t>
      </w:r>
    </w:p>
    <w:p w:rsidR="008C4B37" w:rsidRPr="00C02E53" w:rsidP="003726A2">
      <w:pPr>
        <w:tabs>
          <w:tab w:val="left" w:pos="284"/>
        </w:tabs>
        <w:jc w:val="both"/>
        <w:rPr>
          <w:sz w:val="24"/>
          <w:szCs w:val="24"/>
        </w:rPr>
      </w:pPr>
    </w:p>
    <w:p w:rsidR="00F97C8F" w:rsidRPr="00C02E53" w:rsidP="00F97C8F">
      <w:pPr>
        <w:tabs>
          <w:tab w:val="left" w:pos="284"/>
        </w:tabs>
        <w:rPr>
          <w:b/>
          <w:sz w:val="24"/>
        </w:rPr>
      </w:pPr>
      <w:r w:rsidRPr="00C02E53">
        <w:rPr>
          <w:b/>
          <w:sz w:val="24"/>
        </w:rPr>
        <w:t>5. Stupeň zlučiteľnosti návrhu právneho predpisu s právom Európskych spoločenstiev a právom Európskej únie:</w:t>
      </w:r>
    </w:p>
    <w:p w:rsidR="00F97C8F" w:rsidRPr="00C02E53" w:rsidP="00F97C8F">
      <w:pPr>
        <w:tabs>
          <w:tab w:val="left" w:pos="284"/>
        </w:tabs>
        <w:rPr>
          <w:sz w:val="24"/>
        </w:rPr>
      </w:pPr>
      <w:r w:rsidRPr="00C02E53" w:rsidR="00FD60CB">
        <w:rPr>
          <w:sz w:val="24"/>
        </w:rPr>
        <w:tab/>
      </w:r>
      <w:r w:rsidRPr="00C02E53">
        <w:rPr>
          <w:sz w:val="24"/>
        </w:rPr>
        <w:t xml:space="preserve">Úplný. </w:t>
      </w:r>
    </w:p>
    <w:p w:rsidR="00F97C8F" w:rsidRPr="00C02E53" w:rsidP="00F97C8F">
      <w:pPr>
        <w:tabs>
          <w:tab w:val="left" w:pos="284"/>
        </w:tabs>
        <w:rPr>
          <w:b/>
          <w:sz w:val="24"/>
        </w:rPr>
      </w:pPr>
    </w:p>
    <w:p w:rsidR="00F97C8F" w:rsidRPr="00C02E53" w:rsidP="00F97C8F">
      <w:pPr>
        <w:tabs>
          <w:tab w:val="left" w:pos="284"/>
        </w:tabs>
        <w:rPr>
          <w:b/>
          <w:sz w:val="24"/>
        </w:rPr>
      </w:pPr>
      <w:r w:rsidRPr="00C02E53">
        <w:rPr>
          <w:b/>
          <w:sz w:val="24"/>
        </w:rPr>
        <w:t>6. Gestor a spolupracujúce rezorty:</w:t>
      </w:r>
    </w:p>
    <w:p w:rsidR="00F97C8F" w:rsidRPr="00C02E53" w:rsidP="00F97C8F">
      <w:pPr>
        <w:tabs>
          <w:tab w:val="left" w:pos="284"/>
        </w:tabs>
        <w:rPr>
          <w:sz w:val="24"/>
        </w:rPr>
      </w:pPr>
      <w:r w:rsidRPr="00C02E53" w:rsidR="00FD60CB">
        <w:rPr>
          <w:sz w:val="24"/>
        </w:rPr>
        <w:tab/>
        <w:t>M</w:t>
      </w:r>
      <w:r w:rsidRPr="00C02E53">
        <w:rPr>
          <w:sz w:val="24"/>
        </w:rPr>
        <w:t>inisterstvo pôdohospodárstva Slovenskej republiky.</w:t>
      </w:r>
    </w:p>
    <w:p w:rsidR="006F1A70" w:rsidRPr="00C02E53" w:rsidP="0057506D">
      <w:pPr>
        <w:tabs>
          <w:tab w:val="left" w:pos="284"/>
        </w:tabs>
        <w:rPr>
          <w:sz w:val="24"/>
        </w:rPr>
      </w:pPr>
    </w:p>
    <w:p w:rsidR="00083837" w:rsidRPr="00C02E53" w:rsidP="00083837">
      <w:pPr>
        <w:jc w:val="center"/>
        <w:rPr>
          <w:b/>
          <w:sz w:val="24"/>
          <w:szCs w:val="24"/>
        </w:rPr>
      </w:pPr>
    </w:p>
    <w:p w:rsidR="00083837" w:rsidRPr="00C02E53" w:rsidP="00083837">
      <w:pPr>
        <w:jc w:val="center"/>
        <w:rPr>
          <w:b/>
          <w:sz w:val="24"/>
          <w:szCs w:val="24"/>
        </w:rPr>
      </w:pPr>
    </w:p>
    <w:p w:rsidR="00083837" w:rsidRPr="00C02E53" w:rsidP="00083837">
      <w:pPr>
        <w:jc w:val="center"/>
        <w:rPr>
          <w:b/>
          <w:sz w:val="24"/>
          <w:szCs w:val="24"/>
        </w:rPr>
      </w:pPr>
    </w:p>
    <w:p w:rsidR="00083837" w:rsidRPr="00C02E53" w:rsidP="00083837">
      <w:pPr>
        <w:jc w:val="center"/>
        <w:rPr>
          <w:b/>
          <w:sz w:val="24"/>
          <w:szCs w:val="24"/>
        </w:rPr>
      </w:pPr>
      <w:r w:rsidRPr="00C02E53">
        <w:rPr>
          <w:b/>
          <w:sz w:val="24"/>
          <w:szCs w:val="24"/>
        </w:rPr>
        <w:t>Doložka finančných, ekonomických</w:t>
      </w:r>
      <w:r w:rsidR="00373D2A">
        <w:rPr>
          <w:b/>
          <w:sz w:val="24"/>
          <w:szCs w:val="24"/>
        </w:rPr>
        <w:t>,</w:t>
      </w:r>
      <w:r w:rsidRPr="00C02E53">
        <w:rPr>
          <w:b/>
          <w:sz w:val="24"/>
          <w:szCs w:val="24"/>
        </w:rPr>
        <w:t> environmentálnych vplyvov</w:t>
      </w:r>
      <w:r w:rsidR="00373D2A">
        <w:rPr>
          <w:b/>
          <w:sz w:val="24"/>
          <w:szCs w:val="24"/>
        </w:rPr>
        <w:t xml:space="preserve">, vplyvov na zamestnanosť </w:t>
      </w:r>
      <w:r w:rsidRPr="00C02E53">
        <w:rPr>
          <w:b/>
          <w:sz w:val="24"/>
          <w:szCs w:val="24"/>
        </w:rPr>
        <w:t>a</w:t>
      </w:r>
      <w:r w:rsidR="00367BE4">
        <w:rPr>
          <w:b/>
          <w:sz w:val="24"/>
          <w:szCs w:val="24"/>
        </w:rPr>
        <w:t xml:space="preserve"> na </w:t>
      </w:r>
      <w:r w:rsidRPr="00C02E53">
        <w:rPr>
          <w:b/>
          <w:sz w:val="24"/>
          <w:szCs w:val="24"/>
        </w:rPr>
        <w:t>podnikateľské prostredie</w:t>
      </w:r>
    </w:p>
    <w:p w:rsidR="00083837" w:rsidRPr="00C02E53" w:rsidP="00083837">
      <w:pPr>
        <w:tabs>
          <w:tab w:val="left" w:pos="200"/>
        </w:tabs>
        <w:jc w:val="both"/>
        <w:rPr>
          <w:sz w:val="24"/>
          <w:szCs w:val="24"/>
        </w:rPr>
      </w:pPr>
    </w:p>
    <w:p w:rsidR="00083837" w:rsidRPr="00C02E53" w:rsidP="00083837">
      <w:pPr>
        <w:tabs>
          <w:tab w:val="left" w:pos="200"/>
        </w:tabs>
        <w:jc w:val="both"/>
        <w:outlineLvl w:val="0"/>
        <w:rPr>
          <w:b/>
          <w:sz w:val="24"/>
          <w:szCs w:val="24"/>
        </w:rPr>
      </w:pPr>
      <w:r w:rsidRPr="00C02E53">
        <w:rPr>
          <w:b/>
          <w:sz w:val="24"/>
          <w:szCs w:val="24"/>
        </w:rPr>
        <w:t>Prvá časť: Od</w:t>
      </w:r>
      <w:r w:rsidRPr="00C02E53" w:rsidR="000E13C3">
        <w:rPr>
          <w:b/>
          <w:sz w:val="24"/>
          <w:szCs w:val="24"/>
        </w:rPr>
        <w:t>had dopadov na verejné financie</w:t>
      </w:r>
    </w:p>
    <w:p w:rsidR="00083837" w:rsidRPr="00C02E53" w:rsidP="00083837">
      <w:pPr>
        <w:tabs>
          <w:tab w:val="left" w:pos="200"/>
        </w:tabs>
        <w:jc w:val="both"/>
        <w:outlineLvl w:val="0"/>
        <w:rPr>
          <w:sz w:val="24"/>
          <w:szCs w:val="24"/>
        </w:rPr>
      </w:pPr>
      <w:r w:rsidRPr="00C02E53">
        <w:rPr>
          <w:sz w:val="24"/>
          <w:szCs w:val="24"/>
        </w:rPr>
        <w:tab/>
        <w:t xml:space="preserve">Návrh </w:t>
      </w:r>
      <w:r w:rsidRPr="00C02E53" w:rsidR="0066125D">
        <w:rPr>
          <w:sz w:val="24"/>
          <w:szCs w:val="24"/>
        </w:rPr>
        <w:t>vyhlášky</w:t>
      </w:r>
      <w:r w:rsidRPr="00C02E53">
        <w:rPr>
          <w:sz w:val="24"/>
          <w:szCs w:val="24"/>
        </w:rPr>
        <w:t xml:space="preserve"> nebude mať  negat</w:t>
      </w:r>
      <w:r w:rsidRPr="00C02E53" w:rsidR="000E13C3">
        <w:rPr>
          <w:sz w:val="24"/>
          <w:szCs w:val="24"/>
        </w:rPr>
        <w:t>ívny dopad na verejné financie.</w:t>
      </w:r>
    </w:p>
    <w:p w:rsidR="00083837" w:rsidRPr="00C02E53" w:rsidP="00083837">
      <w:pPr>
        <w:tabs>
          <w:tab w:val="left" w:pos="200"/>
        </w:tabs>
        <w:jc w:val="both"/>
        <w:rPr>
          <w:sz w:val="24"/>
          <w:szCs w:val="24"/>
        </w:rPr>
      </w:pPr>
    </w:p>
    <w:p w:rsidR="00083837" w:rsidRPr="00C02E53" w:rsidP="00083837">
      <w:pPr>
        <w:tabs>
          <w:tab w:val="left" w:pos="200"/>
        </w:tabs>
        <w:jc w:val="both"/>
        <w:rPr>
          <w:b/>
          <w:sz w:val="24"/>
          <w:szCs w:val="24"/>
        </w:rPr>
      </w:pPr>
      <w:r w:rsidRPr="00C02E53">
        <w:rPr>
          <w:b/>
          <w:sz w:val="24"/>
          <w:szCs w:val="24"/>
        </w:rPr>
        <w:t>Druhá časť: Odhad dopadov na obyvateľov, hospodárenie podnikateľskej sféry a iných právnických osôb</w:t>
      </w:r>
    </w:p>
    <w:p w:rsidR="00083837" w:rsidRPr="00C02E53" w:rsidP="00083837">
      <w:pPr>
        <w:tabs>
          <w:tab w:val="left" w:pos="200"/>
        </w:tabs>
        <w:jc w:val="both"/>
        <w:rPr>
          <w:sz w:val="24"/>
          <w:szCs w:val="24"/>
        </w:rPr>
      </w:pPr>
      <w:r w:rsidRPr="00C02E53">
        <w:rPr>
          <w:sz w:val="24"/>
          <w:szCs w:val="24"/>
        </w:rPr>
        <w:tab/>
        <w:t xml:space="preserve">Návrh </w:t>
      </w:r>
      <w:r w:rsidRPr="00C02E53" w:rsidR="00273F9A">
        <w:rPr>
          <w:sz w:val="24"/>
          <w:szCs w:val="24"/>
        </w:rPr>
        <w:t xml:space="preserve">vyhlášky  </w:t>
      </w:r>
      <w:r w:rsidRPr="00C02E53">
        <w:rPr>
          <w:sz w:val="24"/>
          <w:szCs w:val="24"/>
        </w:rPr>
        <w:t>nebude mať dopad na hospodárenie obyvateľov, ani na hospodárenie podnikateľskej sféry iných právnických osôb.</w:t>
      </w:r>
    </w:p>
    <w:p w:rsidR="00083837" w:rsidRPr="00C02E53" w:rsidP="00083837">
      <w:pPr>
        <w:tabs>
          <w:tab w:val="left" w:pos="200"/>
        </w:tabs>
        <w:jc w:val="both"/>
        <w:rPr>
          <w:sz w:val="24"/>
          <w:szCs w:val="24"/>
        </w:rPr>
      </w:pPr>
    </w:p>
    <w:p w:rsidR="00083837" w:rsidRPr="00C02E53" w:rsidP="00083837">
      <w:pPr>
        <w:tabs>
          <w:tab w:val="left" w:pos="200"/>
        </w:tabs>
        <w:jc w:val="both"/>
        <w:outlineLvl w:val="0"/>
        <w:rPr>
          <w:b/>
          <w:sz w:val="24"/>
          <w:szCs w:val="24"/>
        </w:rPr>
      </w:pPr>
      <w:r w:rsidRPr="00C02E53">
        <w:rPr>
          <w:b/>
          <w:sz w:val="24"/>
          <w:szCs w:val="24"/>
        </w:rPr>
        <w:t>Tretia časť: Odhad dopadov na životné prostredie</w:t>
      </w:r>
    </w:p>
    <w:p w:rsidR="00083837" w:rsidRPr="00C02E53" w:rsidP="00083837">
      <w:pPr>
        <w:tabs>
          <w:tab w:val="left" w:pos="200"/>
        </w:tabs>
        <w:jc w:val="both"/>
        <w:outlineLvl w:val="0"/>
        <w:rPr>
          <w:sz w:val="24"/>
          <w:szCs w:val="24"/>
        </w:rPr>
      </w:pPr>
      <w:r w:rsidRPr="00C02E53">
        <w:rPr>
          <w:sz w:val="24"/>
          <w:szCs w:val="24"/>
        </w:rPr>
        <w:tab/>
        <w:t xml:space="preserve">Návrh </w:t>
      </w:r>
      <w:r w:rsidRPr="00C02E53" w:rsidR="00273F9A">
        <w:rPr>
          <w:sz w:val="24"/>
          <w:szCs w:val="24"/>
        </w:rPr>
        <w:t>vyhlášky</w:t>
      </w:r>
      <w:r w:rsidRPr="00C02E53" w:rsidR="000E13C3">
        <w:rPr>
          <w:sz w:val="24"/>
          <w:szCs w:val="24"/>
        </w:rPr>
        <w:t xml:space="preserve"> </w:t>
      </w:r>
      <w:r w:rsidRPr="00C02E53">
        <w:rPr>
          <w:sz w:val="24"/>
          <w:szCs w:val="24"/>
        </w:rPr>
        <w:t>nebude mať dopad na životné prostredie.</w:t>
      </w:r>
    </w:p>
    <w:p w:rsidR="00083837" w:rsidRPr="00C02E53" w:rsidP="00083837">
      <w:pPr>
        <w:tabs>
          <w:tab w:val="left" w:pos="200"/>
        </w:tabs>
        <w:jc w:val="both"/>
        <w:rPr>
          <w:sz w:val="24"/>
          <w:szCs w:val="24"/>
        </w:rPr>
      </w:pPr>
    </w:p>
    <w:p w:rsidR="00083837" w:rsidRPr="00C02E53" w:rsidP="00083837">
      <w:pPr>
        <w:tabs>
          <w:tab w:val="left" w:pos="200"/>
        </w:tabs>
        <w:jc w:val="both"/>
        <w:outlineLvl w:val="0"/>
        <w:rPr>
          <w:b/>
          <w:sz w:val="24"/>
          <w:szCs w:val="24"/>
        </w:rPr>
      </w:pPr>
      <w:r w:rsidRPr="00C02E53">
        <w:rPr>
          <w:b/>
          <w:sz w:val="24"/>
          <w:szCs w:val="24"/>
        </w:rPr>
        <w:t xml:space="preserve">Štvrtá časť: Odhad dopadov na zamestnanosť </w:t>
      </w:r>
    </w:p>
    <w:p w:rsidR="00083837" w:rsidRPr="00C02E53" w:rsidP="00083837">
      <w:pPr>
        <w:tabs>
          <w:tab w:val="left" w:pos="200"/>
        </w:tabs>
        <w:jc w:val="both"/>
        <w:outlineLvl w:val="0"/>
        <w:rPr>
          <w:sz w:val="24"/>
          <w:szCs w:val="24"/>
        </w:rPr>
      </w:pPr>
      <w:r w:rsidRPr="00C02E53">
        <w:rPr>
          <w:b/>
          <w:sz w:val="24"/>
          <w:szCs w:val="24"/>
        </w:rPr>
        <w:tab/>
      </w:r>
      <w:r w:rsidRPr="00C02E53">
        <w:rPr>
          <w:sz w:val="24"/>
          <w:szCs w:val="24"/>
        </w:rPr>
        <w:t xml:space="preserve">Návrh </w:t>
      </w:r>
      <w:r w:rsidRPr="00C02E53" w:rsidR="00273F9A">
        <w:rPr>
          <w:sz w:val="24"/>
          <w:szCs w:val="24"/>
        </w:rPr>
        <w:t xml:space="preserve">vyhlášky </w:t>
      </w:r>
      <w:r w:rsidRPr="00C02E53">
        <w:rPr>
          <w:sz w:val="24"/>
          <w:szCs w:val="24"/>
        </w:rPr>
        <w:t>nebude mať dopad na tvorbu pracovných miest.</w:t>
      </w:r>
    </w:p>
    <w:p w:rsidR="00083837" w:rsidRPr="00C02E53" w:rsidP="00083837">
      <w:pPr>
        <w:tabs>
          <w:tab w:val="left" w:pos="200"/>
        </w:tabs>
        <w:jc w:val="both"/>
        <w:rPr>
          <w:sz w:val="24"/>
          <w:szCs w:val="24"/>
        </w:rPr>
      </w:pPr>
    </w:p>
    <w:p w:rsidR="00083837" w:rsidRPr="00C02E53" w:rsidP="00083837">
      <w:pPr>
        <w:tabs>
          <w:tab w:val="left" w:pos="200"/>
        </w:tabs>
        <w:jc w:val="both"/>
        <w:outlineLvl w:val="0"/>
        <w:rPr>
          <w:sz w:val="24"/>
          <w:szCs w:val="24"/>
        </w:rPr>
      </w:pPr>
      <w:r w:rsidRPr="00C02E53">
        <w:rPr>
          <w:b/>
          <w:sz w:val="24"/>
          <w:szCs w:val="24"/>
        </w:rPr>
        <w:t xml:space="preserve">Piata časť: Vplyv na podnikateľské prostredie </w:t>
      </w:r>
    </w:p>
    <w:p w:rsidR="00083837" w:rsidRPr="00C02E53" w:rsidP="00083837">
      <w:pPr>
        <w:tabs>
          <w:tab w:val="left" w:pos="200"/>
        </w:tabs>
        <w:jc w:val="both"/>
        <w:outlineLvl w:val="0"/>
        <w:rPr>
          <w:sz w:val="24"/>
          <w:szCs w:val="24"/>
        </w:rPr>
      </w:pPr>
      <w:r w:rsidRPr="00C02E53">
        <w:rPr>
          <w:sz w:val="24"/>
          <w:szCs w:val="24"/>
        </w:rPr>
        <w:tab/>
        <w:t xml:space="preserve">Návrh </w:t>
      </w:r>
      <w:r w:rsidRPr="00C02E53" w:rsidR="00273F9A">
        <w:rPr>
          <w:sz w:val="24"/>
          <w:szCs w:val="24"/>
        </w:rPr>
        <w:t xml:space="preserve">vyhlášky </w:t>
      </w:r>
      <w:r w:rsidRPr="00C02E53">
        <w:rPr>
          <w:sz w:val="24"/>
          <w:szCs w:val="24"/>
        </w:rPr>
        <w:t>nebude mať negatívny vplyv na podnikateľské prostredie.</w:t>
      </w:r>
    </w:p>
    <w:p w:rsidR="002D364D" w:rsidRPr="00C02E53" w:rsidP="0057506D">
      <w:pPr>
        <w:rPr>
          <w:b/>
          <w:sz w:val="24"/>
        </w:rPr>
      </w:pPr>
    </w:p>
    <w:p w:rsidR="00083837" w:rsidRPr="00C02E53" w:rsidP="0057506D">
      <w:pPr>
        <w:rPr>
          <w:b/>
          <w:sz w:val="24"/>
        </w:rPr>
      </w:pPr>
    </w:p>
    <w:p w:rsidR="002D364D" w:rsidRPr="00C02E53" w:rsidP="0057506D">
      <w:pPr>
        <w:jc w:val="both"/>
        <w:rPr>
          <w:b/>
          <w:sz w:val="24"/>
          <w:u w:val="single"/>
        </w:rPr>
      </w:pPr>
      <w:r w:rsidRPr="00C02E53">
        <w:rPr>
          <w:b/>
          <w:sz w:val="24"/>
          <w:u w:val="single"/>
        </w:rPr>
        <w:t>Osobitná časť</w:t>
      </w:r>
    </w:p>
    <w:p w:rsidR="002D364D" w:rsidRPr="00C02E53" w:rsidP="0057506D">
      <w:pPr>
        <w:jc w:val="both"/>
        <w:rPr>
          <w:sz w:val="24"/>
        </w:rPr>
      </w:pPr>
    </w:p>
    <w:p w:rsidR="002D364D" w:rsidRPr="00C02E53" w:rsidP="0057506D">
      <w:pPr>
        <w:jc w:val="both"/>
        <w:rPr>
          <w:b/>
          <w:sz w:val="24"/>
        </w:rPr>
      </w:pPr>
      <w:r w:rsidRPr="00C02E53" w:rsidR="00A71212">
        <w:rPr>
          <w:b/>
          <w:sz w:val="24"/>
        </w:rPr>
        <w:t>K bodu</w:t>
      </w:r>
      <w:r w:rsidRPr="00C02E53">
        <w:rPr>
          <w:b/>
          <w:sz w:val="24"/>
        </w:rPr>
        <w:t xml:space="preserve"> 1</w:t>
      </w:r>
    </w:p>
    <w:p w:rsidR="002D364D" w:rsidRPr="00C02E53" w:rsidP="00367BE4">
      <w:pPr>
        <w:ind w:firstLine="708"/>
        <w:jc w:val="both"/>
        <w:rPr>
          <w:sz w:val="24"/>
        </w:rPr>
      </w:pPr>
      <w:r w:rsidRPr="00C02E53" w:rsidR="00A71212">
        <w:rPr>
          <w:sz w:val="24"/>
        </w:rPr>
        <w:t xml:space="preserve">Ustanovujú sa spôsoby odstraňovania vedľajších produktov vznikajúcich pri spracovaní a výrobe vína alebo vinárskych produktov, ako aj spôsob vedenia ich evidencie. </w:t>
      </w:r>
    </w:p>
    <w:p w:rsidR="002D364D" w:rsidRPr="00C02E53" w:rsidP="0057506D">
      <w:pPr>
        <w:jc w:val="both"/>
        <w:rPr>
          <w:sz w:val="24"/>
        </w:rPr>
      </w:pPr>
    </w:p>
    <w:p w:rsidR="002D364D" w:rsidRPr="00C02E53" w:rsidP="0057506D">
      <w:pPr>
        <w:jc w:val="both"/>
        <w:rPr>
          <w:b/>
          <w:sz w:val="24"/>
        </w:rPr>
      </w:pPr>
      <w:r w:rsidRPr="00C02E53" w:rsidR="00A71212">
        <w:rPr>
          <w:b/>
          <w:sz w:val="24"/>
        </w:rPr>
        <w:t>K bodu</w:t>
      </w:r>
      <w:r w:rsidRPr="00C02E53">
        <w:rPr>
          <w:b/>
          <w:sz w:val="24"/>
        </w:rPr>
        <w:t xml:space="preserve"> 2</w:t>
      </w:r>
    </w:p>
    <w:p w:rsidR="002D364D" w:rsidRPr="00C02E53" w:rsidP="00367BE4">
      <w:pPr>
        <w:ind w:firstLine="708"/>
        <w:jc w:val="both"/>
        <w:rPr>
          <w:sz w:val="24"/>
        </w:rPr>
      </w:pPr>
      <w:r w:rsidRPr="00C02E53" w:rsidR="00526906">
        <w:rPr>
          <w:sz w:val="24"/>
        </w:rPr>
        <w:t>Podľa</w:t>
      </w:r>
      <w:r w:rsidRPr="00C02E53" w:rsidR="000821BC">
        <w:rPr>
          <w:sz w:val="24"/>
        </w:rPr>
        <w:t xml:space="preserve"> n</w:t>
      </w:r>
      <w:r w:rsidRPr="00C02E53" w:rsidR="00A71212">
        <w:rPr>
          <w:sz w:val="24"/>
        </w:rPr>
        <w:t>ariadeni</w:t>
      </w:r>
      <w:r w:rsidRPr="00C02E53" w:rsidR="000821BC">
        <w:rPr>
          <w:sz w:val="24"/>
        </w:rPr>
        <w:t>a</w:t>
      </w:r>
      <w:r w:rsidRPr="00C02E53" w:rsidR="00A71212">
        <w:rPr>
          <w:sz w:val="24"/>
        </w:rPr>
        <w:t xml:space="preserve"> Rady (ES) č. 1493/1999 </w:t>
      </w:r>
      <w:r w:rsidRPr="00C02E53" w:rsidR="00526906">
        <w:rPr>
          <w:sz w:val="24"/>
        </w:rPr>
        <w:t xml:space="preserve">zo 17. mája 1999 </w:t>
      </w:r>
      <w:r w:rsidRPr="00C02E53" w:rsidR="00A71212">
        <w:rPr>
          <w:sz w:val="24"/>
        </w:rPr>
        <w:t>o spoločnej organizácii trhu s</w:t>
      </w:r>
      <w:r w:rsidRPr="00C02E53" w:rsidR="000821BC">
        <w:rPr>
          <w:sz w:val="24"/>
        </w:rPr>
        <w:t> </w:t>
      </w:r>
      <w:r w:rsidRPr="00C02E53" w:rsidR="00A71212">
        <w:rPr>
          <w:sz w:val="24"/>
        </w:rPr>
        <w:t>vínom</w:t>
      </w:r>
      <w:r w:rsidRPr="00C02E53" w:rsidR="000821BC">
        <w:rPr>
          <w:sz w:val="24"/>
        </w:rPr>
        <w:t xml:space="preserve"> sa</w:t>
      </w:r>
      <w:r w:rsidRPr="00C02E53" w:rsidR="00A71212">
        <w:rPr>
          <w:sz w:val="24"/>
        </w:rPr>
        <w:t xml:space="preserve"> </w:t>
      </w:r>
      <w:r w:rsidRPr="00C02E53" w:rsidR="000821BC">
        <w:rPr>
          <w:sz w:val="24"/>
        </w:rPr>
        <w:t>presne špecifikujú</w:t>
      </w:r>
      <w:r w:rsidRPr="00C02E53" w:rsidR="00A71212">
        <w:rPr>
          <w:sz w:val="24"/>
        </w:rPr>
        <w:t xml:space="preserve"> parametre</w:t>
      </w:r>
      <w:r w:rsidRPr="00C02E53" w:rsidR="000821BC">
        <w:rPr>
          <w:sz w:val="24"/>
        </w:rPr>
        <w:t xml:space="preserve">, ktoré sa stanovujú chemickou analýzou </w:t>
      </w:r>
      <w:r w:rsidRPr="00C02E53" w:rsidR="00526906">
        <w:rPr>
          <w:sz w:val="24"/>
        </w:rPr>
        <w:t>na účely</w:t>
      </w:r>
      <w:r w:rsidRPr="00C02E53" w:rsidR="000821BC">
        <w:rPr>
          <w:sz w:val="24"/>
        </w:rPr>
        <w:t xml:space="preserve"> jednoznačnosti pri predkladaní analytických rozborov v rámci zatrieďovania vína.</w:t>
      </w:r>
      <w:r w:rsidRPr="00C02E53" w:rsidR="00A71212">
        <w:rPr>
          <w:sz w:val="24"/>
        </w:rPr>
        <w:t xml:space="preserve"> </w:t>
      </w:r>
    </w:p>
    <w:p w:rsidR="00731A1C" w:rsidRPr="00C02E53" w:rsidP="0057506D">
      <w:pPr>
        <w:jc w:val="both"/>
        <w:rPr>
          <w:b/>
          <w:sz w:val="24"/>
        </w:rPr>
      </w:pPr>
    </w:p>
    <w:p w:rsidR="002D364D" w:rsidP="0057506D">
      <w:pPr>
        <w:jc w:val="both"/>
        <w:rPr>
          <w:b/>
          <w:sz w:val="24"/>
        </w:rPr>
      </w:pPr>
      <w:r w:rsidRPr="00C02E53" w:rsidR="00A71212">
        <w:rPr>
          <w:b/>
          <w:sz w:val="24"/>
        </w:rPr>
        <w:t>K bodu</w:t>
      </w:r>
      <w:r w:rsidRPr="00C02E53">
        <w:rPr>
          <w:b/>
          <w:sz w:val="24"/>
        </w:rPr>
        <w:t xml:space="preserve"> 3</w:t>
      </w:r>
    </w:p>
    <w:p w:rsidR="00321A3F" w:rsidRPr="00321A3F" w:rsidP="00367BE4">
      <w:pPr>
        <w:ind w:firstLine="708"/>
        <w:jc w:val="both"/>
        <w:rPr>
          <w:sz w:val="24"/>
        </w:rPr>
      </w:pPr>
      <w:r w:rsidR="00D061DB">
        <w:rPr>
          <w:sz w:val="24"/>
        </w:rPr>
        <w:t>Predmetné</w:t>
      </w:r>
      <w:r w:rsidRPr="00321A3F">
        <w:rPr>
          <w:sz w:val="24"/>
        </w:rPr>
        <w:t xml:space="preserve"> označenie</w:t>
      </w:r>
      <w:r w:rsidR="00D061DB">
        <w:rPr>
          <w:sz w:val="24"/>
        </w:rPr>
        <w:t>, ktoré</w:t>
      </w:r>
      <w:r w:rsidRPr="00321A3F">
        <w:rPr>
          <w:sz w:val="24"/>
        </w:rPr>
        <w:t xml:space="preserve"> sa v </w:t>
      </w:r>
      <w:r w:rsidR="00D061DB">
        <w:rPr>
          <w:sz w:val="24"/>
        </w:rPr>
        <w:t>Slovenskej republike používa už asi päť rokov, sa dopĺňa v</w:t>
      </w:r>
      <w:r w:rsidRPr="00321A3F">
        <w:rPr>
          <w:sz w:val="24"/>
        </w:rPr>
        <w:t xml:space="preserve"> záujme </w:t>
      </w:r>
      <w:r w:rsidR="00D061DB">
        <w:rPr>
          <w:sz w:val="24"/>
        </w:rPr>
        <w:t>dosiahnutia budúcej možnej</w:t>
      </w:r>
      <w:r w:rsidRPr="00321A3F">
        <w:rPr>
          <w:sz w:val="24"/>
        </w:rPr>
        <w:t xml:space="preserve"> ochrany tradičného výrazu v rámci E</w:t>
      </w:r>
      <w:r w:rsidR="00D061DB">
        <w:rPr>
          <w:sz w:val="24"/>
        </w:rPr>
        <w:t>urópskej únie</w:t>
      </w:r>
      <w:r w:rsidRPr="00321A3F">
        <w:rPr>
          <w:sz w:val="24"/>
        </w:rPr>
        <w:t>.</w:t>
      </w:r>
    </w:p>
    <w:p w:rsidR="00321A3F" w:rsidP="0057506D">
      <w:pPr>
        <w:jc w:val="both"/>
        <w:rPr>
          <w:b/>
          <w:sz w:val="24"/>
        </w:rPr>
      </w:pPr>
    </w:p>
    <w:p w:rsidR="00321A3F" w:rsidRPr="00321A3F" w:rsidP="0057506D">
      <w:pPr>
        <w:jc w:val="both"/>
        <w:rPr>
          <w:b/>
          <w:sz w:val="24"/>
        </w:rPr>
      </w:pPr>
      <w:r>
        <w:rPr>
          <w:b/>
          <w:sz w:val="24"/>
        </w:rPr>
        <w:t>K bodu 4</w:t>
      </w:r>
    </w:p>
    <w:p w:rsidR="002D364D" w:rsidRPr="00C02E53" w:rsidP="00367BE4">
      <w:pPr>
        <w:ind w:firstLine="708"/>
        <w:jc w:val="both"/>
        <w:rPr>
          <w:sz w:val="24"/>
          <w:szCs w:val="24"/>
        </w:rPr>
      </w:pPr>
      <w:r w:rsidRPr="00C02E53" w:rsidR="00A71212">
        <w:rPr>
          <w:sz w:val="24"/>
        </w:rPr>
        <w:t xml:space="preserve">Prijatím nariadenia Komisie (ES) č. 1991/2004 </w:t>
      </w:r>
      <w:r w:rsidRPr="00C02E53" w:rsidR="00685912">
        <w:rPr>
          <w:sz w:val="24"/>
        </w:rPr>
        <w:t xml:space="preserve">z 19. novembra 2004 </w:t>
      </w:r>
      <w:r w:rsidRPr="00C02E53" w:rsidR="00A71212">
        <w:rPr>
          <w:sz w:val="24"/>
        </w:rPr>
        <w:t>sa upravilo označovanie alergénov v rámci E</w:t>
      </w:r>
      <w:r w:rsidRPr="00C02E53" w:rsidR="00685912">
        <w:rPr>
          <w:sz w:val="24"/>
        </w:rPr>
        <w:t>urópskej únie</w:t>
      </w:r>
      <w:r w:rsidRPr="00C02E53" w:rsidR="00A71212">
        <w:rPr>
          <w:sz w:val="24"/>
        </w:rPr>
        <w:t xml:space="preserve">. Pôvodná vyhláška bola v rozpore s týmto nariadením, nakoľko umožňovala označovanie „obsahuje </w:t>
      </w:r>
      <w:r w:rsidRPr="00C02E53" w:rsidR="00685912">
        <w:rPr>
          <w:sz w:val="24"/>
        </w:rPr>
        <w:t>„</w:t>
      </w:r>
      <w:r w:rsidRPr="00C02E53" w:rsidR="00A71212">
        <w:rPr>
          <w:sz w:val="24"/>
        </w:rPr>
        <w:t>SO</w:t>
      </w:r>
      <w:r w:rsidRPr="00C02E53" w:rsidR="00A71212">
        <w:rPr>
          <w:sz w:val="24"/>
          <w:szCs w:val="24"/>
          <w:vertAlign w:val="subscript"/>
        </w:rPr>
        <w:t>2</w:t>
      </w:r>
      <w:r w:rsidRPr="00C02E53" w:rsidR="00A71212">
        <w:rPr>
          <w:sz w:val="24"/>
          <w:szCs w:val="24"/>
        </w:rPr>
        <w:t>“, ktoré nie je povolené.</w:t>
      </w:r>
    </w:p>
    <w:p w:rsidR="00A71212" w:rsidRPr="00C02E53" w:rsidP="0057506D">
      <w:pPr>
        <w:jc w:val="both"/>
        <w:rPr>
          <w:sz w:val="24"/>
          <w:szCs w:val="24"/>
        </w:rPr>
      </w:pPr>
    </w:p>
    <w:p w:rsidR="002D364D" w:rsidRPr="00C02E53" w:rsidP="0057506D">
      <w:pPr>
        <w:jc w:val="both"/>
        <w:rPr>
          <w:b/>
          <w:sz w:val="24"/>
        </w:rPr>
      </w:pPr>
      <w:r w:rsidRPr="00C02E53">
        <w:rPr>
          <w:b/>
          <w:sz w:val="24"/>
        </w:rPr>
        <w:t xml:space="preserve">K </w:t>
      </w:r>
      <w:r w:rsidRPr="00C02E53" w:rsidR="00A71212">
        <w:rPr>
          <w:b/>
          <w:sz w:val="24"/>
        </w:rPr>
        <w:t>bodu</w:t>
      </w:r>
      <w:r w:rsidR="00321A3F">
        <w:rPr>
          <w:b/>
          <w:sz w:val="24"/>
        </w:rPr>
        <w:t xml:space="preserve"> 5</w:t>
      </w:r>
    </w:p>
    <w:p w:rsidR="002D364D" w:rsidRPr="00C02E53" w:rsidP="00367BE4">
      <w:pPr>
        <w:ind w:firstLine="708"/>
        <w:jc w:val="both"/>
        <w:rPr>
          <w:sz w:val="24"/>
        </w:rPr>
      </w:pPr>
      <w:r w:rsidRPr="00C02E53" w:rsidR="00A71212">
        <w:rPr>
          <w:sz w:val="24"/>
        </w:rPr>
        <w:t xml:space="preserve">Prikladá </w:t>
      </w:r>
      <w:r w:rsidRPr="00C02E53" w:rsidR="005F6E36">
        <w:rPr>
          <w:sz w:val="24"/>
        </w:rPr>
        <w:t xml:space="preserve">sa </w:t>
      </w:r>
      <w:r w:rsidRPr="00C02E53" w:rsidR="00A71212">
        <w:rPr>
          <w:sz w:val="24"/>
        </w:rPr>
        <w:t>nov</w:t>
      </w:r>
      <w:r w:rsidRPr="00C02E53" w:rsidR="005F6E36">
        <w:rPr>
          <w:sz w:val="24"/>
        </w:rPr>
        <w:t>á</w:t>
      </w:r>
      <w:r w:rsidRPr="00C02E53" w:rsidR="00A71212">
        <w:rPr>
          <w:sz w:val="24"/>
        </w:rPr>
        <w:t xml:space="preserve"> </w:t>
      </w:r>
      <w:r w:rsidRPr="00C02E53" w:rsidR="005A3847">
        <w:rPr>
          <w:sz w:val="24"/>
        </w:rPr>
        <w:t>p</w:t>
      </w:r>
      <w:r w:rsidRPr="00C02E53" w:rsidR="00A71212">
        <w:rPr>
          <w:sz w:val="24"/>
        </w:rPr>
        <w:t>ríloh</w:t>
      </w:r>
      <w:r w:rsidRPr="00C02E53" w:rsidR="005F6E36">
        <w:rPr>
          <w:sz w:val="24"/>
        </w:rPr>
        <w:t>a</w:t>
      </w:r>
      <w:r w:rsidRPr="00C02E53" w:rsidR="00A71212">
        <w:rPr>
          <w:sz w:val="24"/>
        </w:rPr>
        <w:t xml:space="preserve"> </w:t>
      </w:r>
      <w:r w:rsidRPr="00C02E53" w:rsidR="005A3847">
        <w:rPr>
          <w:sz w:val="24"/>
        </w:rPr>
        <w:t xml:space="preserve">č. </w:t>
      </w:r>
      <w:r w:rsidRPr="00C02E53" w:rsidR="00A71212">
        <w:rPr>
          <w:sz w:val="24"/>
        </w:rPr>
        <w:t>2a, ktorá obsahuje formulár na vedenie evidencie vedľajších produktov.</w:t>
      </w:r>
    </w:p>
    <w:p w:rsidR="00A71212" w:rsidRPr="00C02E53" w:rsidP="0057506D">
      <w:pPr>
        <w:jc w:val="both"/>
        <w:rPr>
          <w:sz w:val="24"/>
        </w:rPr>
      </w:pPr>
    </w:p>
    <w:p w:rsidR="00024CE3" w:rsidP="0057506D">
      <w:pPr>
        <w:jc w:val="both"/>
        <w:rPr>
          <w:b/>
          <w:sz w:val="24"/>
        </w:rPr>
      </w:pPr>
      <w:r w:rsidRPr="00C02E53" w:rsidR="002D364D">
        <w:rPr>
          <w:b/>
          <w:sz w:val="24"/>
        </w:rPr>
        <w:t xml:space="preserve">K </w:t>
      </w:r>
      <w:r>
        <w:rPr>
          <w:b/>
          <w:sz w:val="24"/>
        </w:rPr>
        <w:t>bodu</w:t>
      </w:r>
      <w:r w:rsidR="00321A3F">
        <w:rPr>
          <w:b/>
          <w:sz w:val="24"/>
        </w:rPr>
        <w:t xml:space="preserve"> 6</w:t>
      </w:r>
    </w:p>
    <w:p w:rsidR="00024CE3" w:rsidRPr="00024CE3" w:rsidP="00367BE4">
      <w:pPr>
        <w:ind w:firstLine="708"/>
        <w:jc w:val="both"/>
        <w:rPr>
          <w:sz w:val="24"/>
        </w:rPr>
      </w:pPr>
      <w:r w:rsidRPr="00024CE3">
        <w:rPr>
          <w:sz w:val="24"/>
        </w:rPr>
        <w:t>Legislatívno-technická úprava.</w:t>
      </w:r>
    </w:p>
    <w:p w:rsidR="00024CE3" w:rsidP="0057506D">
      <w:pPr>
        <w:jc w:val="both"/>
        <w:rPr>
          <w:b/>
          <w:sz w:val="24"/>
        </w:rPr>
      </w:pPr>
    </w:p>
    <w:p w:rsidR="003D472E" w:rsidP="0057506D">
      <w:pPr>
        <w:jc w:val="both"/>
        <w:rPr>
          <w:b/>
          <w:sz w:val="24"/>
        </w:rPr>
      </w:pPr>
    </w:p>
    <w:p w:rsidR="003D472E" w:rsidP="0057506D">
      <w:pPr>
        <w:jc w:val="both"/>
        <w:rPr>
          <w:b/>
          <w:sz w:val="24"/>
        </w:rPr>
      </w:pPr>
    </w:p>
    <w:p w:rsidR="002D364D" w:rsidRPr="00C02E53" w:rsidP="0057506D">
      <w:pPr>
        <w:jc w:val="both"/>
        <w:rPr>
          <w:b/>
          <w:sz w:val="24"/>
        </w:rPr>
      </w:pPr>
      <w:r w:rsidR="00024CE3">
        <w:rPr>
          <w:b/>
          <w:sz w:val="24"/>
        </w:rPr>
        <w:t>K bodu</w:t>
      </w:r>
      <w:r w:rsidR="00321A3F">
        <w:rPr>
          <w:b/>
          <w:sz w:val="24"/>
        </w:rPr>
        <w:t xml:space="preserve"> 7</w:t>
      </w:r>
    </w:p>
    <w:p w:rsidR="00024CE3" w:rsidRPr="00024CE3" w:rsidP="00367BE4">
      <w:pPr>
        <w:ind w:firstLine="708"/>
        <w:jc w:val="both"/>
        <w:rPr>
          <w:sz w:val="24"/>
        </w:rPr>
      </w:pPr>
      <w:r w:rsidRPr="00C02E53" w:rsidR="00731A1C">
        <w:rPr>
          <w:sz w:val="24"/>
        </w:rPr>
        <w:t xml:space="preserve">Vzhľadom </w:t>
      </w:r>
      <w:r w:rsidRPr="00C02E53" w:rsidR="00A021D0">
        <w:rPr>
          <w:sz w:val="24"/>
        </w:rPr>
        <w:t>na to</w:t>
      </w:r>
      <w:r w:rsidRPr="00C02E53" w:rsidR="00731A1C">
        <w:rPr>
          <w:sz w:val="24"/>
        </w:rPr>
        <w:t xml:space="preserve">, že </w:t>
      </w:r>
      <w:r w:rsidRPr="00C02E53" w:rsidR="00A021D0">
        <w:rPr>
          <w:sz w:val="24"/>
        </w:rPr>
        <w:t>podľa</w:t>
      </w:r>
      <w:r w:rsidRPr="00C02E53" w:rsidR="00731A1C">
        <w:rPr>
          <w:sz w:val="24"/>
        </w:rPr>
        <w:t xml:space="preserve"> nariadenia Komisie (ES) č. 1282/2001</w:t>
      </w:r>
      <w:r w:rsidRPr="00C02E53" w:rsidR="005A3847">
        <w:rPr>
          <w:sz w:val="24"/>
        </w:rPr>
        <w:t xml:space="preserve"> z 28. júna 2001</w:t>
      </w:r>
      <w:r w:rsidRPr="00C02E53" w:rsidR="00731A1C">
        <w:rPr>
          <w:sz w:val="24"/>
        </w:rPr>
        <w:t xml:space="preserve"> sa údaje o zásobách nahlasujú Komisii v hektolitroch, je potrebné, aby výrobcovia uvedené údaje nahlasovali v rovn</w:t>
      </w:r>
      <w:r w:rsidRPr="00C02E53" w:rsidR="003B0436">
        <w:rPr>
          <w:sz w:val="24"/>
        </w:rPr>
        <w:t>akých mier</w:t>
      </w:r>
      <w:r>
        <w:rPr>
          <w:sz w:val="24"/>
        </w:rPr>
        <w:t xml:space="preserve">ach. </w:t>
      </w:r>
      <w:r w:rsidR="00596FB0">
        <w:rPr>
          <w:sz w:val="24"/>
        </w:rPr>
        <w:t>Zároveň sa v súlade so zákonom uskutočňuje l</w:t>
      </w:r>
      <w:r w:rsidRPr="00024CE3">
        <w:rPr>
          <w:sz w:val="24"/>
        </w:rPr>
        <w:t>egislatívno-technická úprava.</w:t>
      </w:r>
    </w:p>
    <w:p w:rsidR="00731A1C" w:rsidRPr="00C02E53" w:rsidP="0057506D">
      <w:pPr>
        <w:jc w:val="both"/>
        <w:rPr>
          <w:sz w:val="24"/>
        </w:rPr>
      </w:pPr>
    </w:p>
    <w:p w:rsidR="00731A1C" w:rsidRPr="00C02E53" w:rsidP="0057506D">
      <w:pPr>
        <w:jc w:val="both"/>
        <w:rPr>
          <w:b/>
          <w:sz w:val="24"/>
        </w:rPr>
      </w:pPr>
      <w:r w:rsidRPr="00C02E53">
        <w:rPr>
          <w:b/>
          <w:sz w:val="24"/>
        </w:rPr>
        <w:t xml:space="preserve">K bodu </w:t>
      </w:r>
      <w:r w:rsidR="00321A3F">
        <w:rPr>
          <w:b/>
          <w:sz w:val="24"/>
        </w:rPr>
        <w:t>8</w:t>
      </w:r>
    </w:p>
    <w:p w:rsidR="002D364D" w:rsidP="00367BE4">
      <w:pPr>
        <w:ind w:firstLine="708"/>
        <w:jc w:val="both"/>
        <w:rPr>
          <w:sz w:val="24"/>
        </w:rPr>
      </w:pPr>
      <w:r w:rsidRPr="00C02E53" w:rsidR="00A71212">
        <w:rPr>
          <w:sz w:val="24"/>
        </w:rPr>
        <w:t>S</w:t>
      </w:r>
      <w:r w:rsidRPr="00C02E53" w:rsidR="005F6E36">
        <w:rPr>
          <w:sz w:val="24"/>
        </w:rPr>
        <w:t> </w:t>
      </w:r>
      <w:r w:rsidRPr="00C02E53" w:rsidR="00A71212">
        <w:rPr>
          <w:sz w:val="24"/>
        </w:rPr>
        <w:t>ohľadom</w:t>
      </w:r>
      <w:r w:rsidRPr="00C02E53" w:rsidR="005F6E36">
        <w:rPr>
          <w:sz w:val="24"/>
        </w:rPr>
        <w:t xml:space="preserve"> na </w:t>
      </w:r>
      <w:r w:rsidRPr="00C02E53" w:rsidR="000821BC">
        <w:rPr>
          <w:sz w:val="24"/>
        </w:rPr>
        <w:t>nariadenia E</w:t>
      </w:r>
      <w:r w:rsidRPr="00C02E53" w:rsidR="00A021D0">
        <w:rPr>
          <w:sz w:val="24"/>
        </w:rPr>
        <w:t xml:space="preserve">urópskych spoločenstiev </w:t>
      </w:r>
      <w:r w:rsidRPr="00C02E53" w:rsidR="000821BC">
        <w:rPr>
          <w:sz w:val="24"/>
        </w:rPr>
        <w:t xml:space="preserve">stanovujúce niektoré analytické parametre </w:t>
      </w:r>
      <w:r w:rsidRPr="00C02E53" w:rsidR="00732BEF">
        <w:rPr>
          <w:sz w:val="24"/>
        </w:rPr>
        <w:t>je potrebné</w:t>
      </w:r>
      <w:r w:rsidRPr="00C02E53" w:rsidR="005F6E36">
        <w:rPr>
          <w:sz w:val="24"/>
        </w:rPr>
        <w:t xml:space="preserve"> prepracova</w:t>
      </w:r>
      <w:r w:rsidRPr="00C02E53" w:rsidR="00732BEF">
        <w:rPr>
          <w:sz w:val="24"/>
        </w:rPr>
        <w:t>ť</w:t>
      </w:r>
      <w:r w:rsidRPr="00C02E53" w:rsidR="005F6E36">
        <w:rPr>
          <w:sz w:val="24"/>
        </w:rPr>
        <w:t xml:space="preserve"> pôvodn</w:t>
      </w:r>
      <w:r w:rsidRPr="00C02E53" w:rsidR="00732BEF">
        <w:rPr>
          <w:sz w:val="24"/>
        </w:rPr>
        <w:t>ú</w:t>
      </w:r>
      <w:r w:rsidRPr="00C02E53" w:rsidR="00A021D0">
        <w:rPr>
          <w:sz w:val="24"/>
        </w:rPr>
        <w:t xml:space="preserve"> p</w:t>
      </w:r>
      <w:r w:rsidRPr="00C02E53" w:rsidR="005F6E36">
        <w:rPr>
          <w:sz w:val="24"/>
        </w:rPr>
        <w:t>ríloh</w:t>
      </w:r>
      <w:r w:rsidRPr="00C02E53" w:rsidR="00732BEF">
        <w:rPr>
          <w:sz w:val="24"/>
        </w:rPr>
        <w:t>u</w:t>
      </w:r>
      <w:r w:rsidRPr="00C02E53" w:rsidR="005F6E36">
        <w:rPr>
          <w:sz w:val="24"/>
        </w:rPr>
        <w:t xml:space="preserve"> </w:t>
      </w:r>
      <w:r w:rsidRPr="00C02E53" w:rsidR="00A021D0">
        <w:rPr>
          <w:sz w:val="24"/>
        </w:rPr>
        <w:t xml:space="preserve">č. </w:t>
      </w:r>
      <w:r w:rsidRPr="00C02E53" w:rsidR="005F6E36">
        <w:rPr>
          <w:sz w:val="24"/>
        </w:rPr>
        <w:t>19</w:t>
      </w:r>
      <w:r w:rsidRPr="00C02E53" w:rsidR="000821BC">
        <w:rPr>
          <w:sz w:val="24"/>
        </w:rPr>
        <w:t xml:space="preserve">, aby sa neopakovali údaje </w:t>
      </w:r>
      <w:r w:rsidRPr="00C02E53" w:rsidR="0094787A">
        <w:rPr>
          <w:sz w:val="24"/>
        </w:rPr>
        <w:t>vyžadované podľa</w:t>
      </w:r>
      <w:r w:rsidRPr="00C02E53" w:rsidR="000821BC">
        <w:rPr>
          <w:sz w:val="24"/>
        </w:rPr>
        <w:t> </w:t>
      </w:r>
      <w:r w:rsidRPr="00C02E53" w:rsidR="0094787A">
        <w:rPr>
          <w:sz w:val="24"/>
        </w:rPr>
        <w:t xml:space="preserve">príslušných </w:t>
      </w:r>
      <w:r w:rsidRPr="00C02E53" w:rsidR="000821BC">
        <w:rPr>
          <w:sz w:val="24"/>
        </w:rPr>
        <w:t>nariaden</w:t>
      </w:r>
      <w:r w:rsidRPr="00C02E53" w:rsidR="0094787A">
        <w:rPr>
          <w:sz w:val="24"/>
        </w:rPr>
        <w:t>í</w:t>
      </w:r>
      <w:r w:rsidRPr="00C02E53" w:rsidR="000821BC">
        <w:rPr>
          <w:sz w:val="24"/>
        </w:rPr>
        <w:t>.</w:t>
      </w:r>
    </w:p>
    <w:p w:rsidR="00024CE3" w:rsidP="0057506D">
      <w:pPr>
        <w:jc w:val="both"/>
        <w:rPr>
          <w:sz w:val="24"/>
        </w:rPr>
      </w:pPr>
    </w:p>
    <w:p w:rsidR="00367BE4" w:rsidRPr="00C02E53" w:rsidP="0057506D">
      <w:pPr>
        <w:jc w:val="both"/>
        <w:rPr>
          <w:sz w:val="24"/>
        </w:rPr>
      </w:pPr>
    </w:p>
    <w:p w:rsidR="002D364D" w:rsidRPr="00C02E53" w:rsidP="0057506D">
      <w:pPr>
        <w:jc w:val="both"/>
        <w:rPr>
          <w:b/>
          <w:sz w:val="24"/>
        </w:rPr>
      </w:pPr>
      <w:r w:rsidRPr="00C02E53" w:rsidR="005F6E36">
        <w:rPr>
          <w:b/>
          <w:sz w:val="24"/>
        </w:rPr>
        <w:t>K </w:t>
      </w:r>
      <w:r w:rsidRPr="00C02E53" w:rsidR="0094787A">
        <w:rPr>
          <w:b/>
          <w:sz w:val="24"/>
        </w:rPr>
        <w:t>č</w:t>
      </w:r>
      <w:r w:rsidRPr="00C02E53" w:rsidR="005F6E36">
        <w:rPr>
          <w:b/>
          <w:sz w:val="24"/>
        </w:rPr>
        <w:t>l. II</w:t>
      </w:r>
    </w:p>
    <w:p w:rsidR="002D364D" w:rsidRPr="00C02E53" w:rsidP="00367BE4">
      <w:pPr>
        <w:ind w:firstLine="708"/>
        <w:jc w:val="both"/>
        <w:rPr>
          <w:sz w:val="24"/>
        </w:rPr>
      </w:pPr>
      <w:r w:rsidRPr="00C02E53" w:rsidR="0094787A">
        <w:rPr>
          <w:sz w:val="24"/>
        </w:rPr>
        <w:t>Ú</w:t>
      </w:r>
      <w:r w:rsidRPr="00C02E53">
        <w:rPr>
          <w:sz w:val="24"/>
        </w:rPr>
        <w:t>činnosť</w:t>
      </w:r>
      <w:r w:rsidRPr="00C02E53" w:rsidR="0094787A">
        <w:rPr>
          <w:sz w:val="24"/>
        </w:rPr>
        <w:t xml:space="preserve"> vyhlášky sa</w:t>
      </w:r>
      <w:r w:rsidRPr="00C02E53">
        <w:rPr>
          <w:sz w:val="24"/>
        </w:rPr>
        <w:t xml:space="preserve"> </w:t>
      </w:r>
      <w:r w:rsidRPr="00C02E53" w:rsidR="0094787A">
        <w:rPr>
          <w:sz w:val="24"/>
        </w:rPr>
        <w:t xml:space="preserve">navrhuje </w:t>
      </w:r>
      <w:r w:rsidRPr="00C02E53">
        <w:rPr>
          <w:sz w:val="24"/>
        </w:rPr>
        <w:t xml:space="preserve">1. </w:t>
      </w:r>
      <w:r w:rsidR="00694437">
        <w:rPr>
          <w:sz w:val="24"/>
        </w:rPr>
        <w:t>júna</w:t>
      </w:r>
      <w:r w:rsidR="002B3127">
        <w:rPr>
          <w:sz w:val="24"/>
        </w:rPr>
        <w:t xml:space="preserve"> </w:t>
      </w:r>
      <w:r w:rsidRPr="00C02E53">
        <w:rPr>
          <w:sz w:val="24"/>
        </w:rPr>
        <w:t>200</w:t>
      </w:r>
      <w:r w:rsidRPr="00C02E53" w:rsidR="00B200BE">
        <w:rPr>
          <w:sz w:val="24"/>
        </w:rPr>
        <w:t>7</w:t>
      </w:r>
      <w:r w:rsidRPr="00C02E53">
        <w:rPr>
          <w:sz w:val="24"/>
        </w:rPr>
        <w:t>.</w:t>
      </w:r>
    </w:p>
    <w:p w:rsidR="002D364D" w:rsidRPr="00C02E53" w:rsidP="0057506D">
      <w:pPr>
        <w:jc w:val="both"/>
        <w:rPr>
          <w:sz w:val="24"/>
        </w:rPr>
      </w:pPr>
    </w:p>
    <w:p w:rsidR="002D364D" w:rsidRPr="00C02E53" w:rsidP="0057506D">
      <w:pPr>
        <w:jc w:val="both"/>
        <w:rPr>
          <w:b/>
          <w:sz w:val="24"/>
        </w:rPr>
      </w:pPr>
      <w:r w:rsidRPr="00C02E53">
        <w:rPr>
          <w:b/>
          <w:sz w:val="24"/>
        </w:rPr>
        <w:t xml:space="preserve"> </w:t>
      </w:r>
    </w:p>
    <w:p w:rsidR="002D364D" w:rsidRPr="00C02E53" w:rsidP="0057506D"/>
    <w:sectPr>
      <w:footerReference w:type="even" r:id="rId4"/>
      <w:footerReference w:type="default" r:id="rId5"/>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3A87" w:usb1="00000000" w:usb2="00000000" w:usb3="00000000" w:csb0="000001FF" w:csb1="00000000"/>
  </w:font>
  <w:font w:name="Tahoma">
    <w:panose1 w:val="020B0604030504040204"/>
    <w:charset w:val="EE"/>
    <w:family w:val="swiss"/>
    <w:pitch w:val="variable"/>
    <w:sig w:usb0="61007A87" w:usb1="80000000" w:usb2="00000008" w:usb3="00000000" w:csb0="000101FF" w:csb1="00000000"/>
  </w:font>
  <w:font w:name="Courier New">
    <w:panose1 w:val="02070309020205020404"/>
    <w:charset w:val="EE"/>
    <w:family w:val="modern"/>
    <w:pitch w:val="fixed"/>
    <w:sig w:usb0="20003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72E" w:rsidP="00F93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D47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72E" w:rsidP="00F93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4437">
      <w:rPr>
        <w:rStyle w:val="PageNumber"/>
        <w:noProof/>
      </w:rPr>
      <w:t>4</w:t>
    </w:r>
    <w:r>
      <w:rPr>
        <w:rStyle w:val="PageNumber"/>
      </w:rPr>
      <w:fldChar w:fldCharType="end"/>
    </w:r>
  </w:p>
  <w:p w:rsidR="003D472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87B"/>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
    <w:nsid w:val="14802538"/>
    <w:multiLevelType w:val="multilevel"/>
    <w:tmpl w:val="1B58705A"/>
    <w:lvl w:ilvl="0">
      <w:start w:val="1"/>
      <w:numFmt w:val="lowerLetter"/>
      <w:lvlText w:val="%1)"/>
      <w:lvlJc w:val="left"/>
      <w:pPr>
        <w:tabs>
          <w:tab w:val="num" w:pos="0"/>
        </w:tabs>
        <w:ind w:left="0" w:firstLine="34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2A1F32"/>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3">
    <w:nsid w:val="1C2D2488"/>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4">
    <w:nsid w:val="1CF1044C"/>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5">
    <w:nsid w:val="1E73677E"/>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6">
    <w:nsid w:val="1F943B80"/>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7">
    <w:nsid w:val="20AE5ABD"/>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8">
    <w:nsid w:val="261A772A"/>
    <w:multiLevelType w:val="singleLevel"/>
    <w:tmpl w:val="041B0001"/>
    <w:lvl w:ilvl="0">
      <w:start w:val="1"/>
      <w:numFmt w:val="bullet"/>
      <w:lvlText w:val=""/>
      <w:lvlJc w:val="left"/>
      <w:pPr>
        <w:tabs>
          <w:tab w:val="num" w:pos="720"/>
        </w:tabs>
        <w:ind w:left="720" w:hanging="360"/>
      </w:pPr>
      <w:rPr>
        <w:rFonts w:ascii="Symbol" w:hAnsi="Symbol" w:hint="default"/>
      </w:rPr>
    </w:lvl>
  </w:abstractNum>
  <w:abstractNum w:abstractNumId="9">
    <w:nsid w:val="3AF878AD"/>
    <w:multiLevelType w:val="hybridMultilevel"/>
    <w:tmpl w:val="4C02721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C3579EE"/>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1">
    <w:nsid w:val="3EA6213A"/>
    <w:multiLevelType w:val="multilevel"/>
    <w:tmpl w:val="2D0ECDC0"/>
    <w:lvl w:ilvl="0">
      <w:start w:val="1"/>
      <w:numFmt w:val="decimal"/>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B082762"/>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3">
    <w:nsid w:val="5D63705D"/>
    <w:multiLevelType w:val="hybridMultilevel"/>
    <w:tmpl w:val="AC5CF1E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FEC30B0"/>
    <w:multiLevelType w:val="hybridMultilevel"/>
    <w:tmpl w:val="0BA2C63E"/>
    <w:lvl w:ilvl="0">
      <w:start w:val="1"/>
      <w:numFmt w:val="lowerLetter"/>
      <w:lvlText w:val="%1)"/>
      <w:lvlJc w:val="left"/>
      <w:pPr>
        <w:tabs>
          <w:tab w:val="num" w:pos="0"/>
        </w:tabs>
        <w:ind w:left="0" w:firstLine="340"/>
      </w:pPr>
      <w:rPr>
        <w:rFonts w:hint="default"/>
        <w:b w:val="0"/>
      </w:rPr>
    </w:lvl>
    <w:lvl w:ilvl="1">
      <w:start w:val="1"/>
      <w:numFmt w:val="lowerLetter"/>
      <w:lvlText w:val="%2)"/>
      <w:lvlJc w:val="left"/>
      <w:pPr>
        <w:tabs>
          <w:tab w:val="num" w:pos="0"/>
        </w:tabs>
        <w:ind w:left="0" w:firstLine="340"/>
      </w:pPr>
      <w:rPr>
        <w:rFonts w:ascii="Times New Roman" w:eastAsia="Times New Roman" w:hAnsi="Times New Roman" w:cs="Times New Roman"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BA84C73"/>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6">
    <w:nsid w:val="6CB4105E"/>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7">
    <w:nsid w:val="72AB6BE2"/>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5"/>
  </w:num>
  <w:num w:numId="3">
    <w:abstractNumId w:val="3"/>
  </w:num>
  <w:num w:numId="4">
    <w:abstractNumId w:val="7"/>
  </w:num>
  <w:num w:numId="5">
    <w:abstractNumId w:val="10"/>
  </w:num>
  <w:num w:numId="6">
    <w:abstractNumId w:val="17"/>
  </w:num>
  <w:num w:numId="7">
    <w:abstractNumId w:val="2"/>
  </w:num>
  <w:num w:numId="8">
    <w:abstractNumId w:val="0"/>
  </w:num>
  <w:num w:numId="9">
    <w:abstractNumId w:val="12"/>
  </w:num>
  <w:num w:numId="10">
    <w:abstractNumId w:val="6"/>
  </w:num>
  <w:num w:numId="11">
    <w:abstractNumId w:val="16"/>
  </w:num>
  <w:num w:numId="12">
    <w:abstractNumId w:val="4"/>
  </w:num>
  <w:num w:numId="13">
    <w:abstractNumId w:val="15"/>
  </w:num>
  <w:num w:numId="14">
    <w:abstractNumId w:val="8"/>
  </w:num>
  <w:num w:numId="15">
    <w:abstractNumId w:val="13"/>
  </w:num>
  <w:num w:numId="16">
    <w:abstractNumId w:val="14"/>
  </w:num>
  <w:num w:numId="17">
    <w:abstractNumId w:val="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64D"/>
    <w:rsid w:val="00024CE3"/>
    <w:rsid w:val="000821BC"/>
    <w:rsid w:val="00083837"/>
    <w:rsid w:val="000E13C3"/>
    <w:rsid w:val="0012390A"/>
    <w:rsid w:val="001679AD"/>
    <w:rsid w:val="001719EE"/>
    <w:rsid w:val="001744E6"/>
    <w:rsid w:val="001C65C0"/>
    <w:rsid w:val="00235B5B"/>
    <w:rsid w:val="00273F9A"/>
    <w:rsid w:val="00285A50"/>
    <w:rsid w:val="002903B2"/>
    <w:rsid w:val="002B3127"/>
    <w:rsid w:val="002D364D"/>
    <w:rsid w:val="002F5E31"/>
    <w:rsid w:val="002F5FAA"/>
    <w:rsid w:val="00321A3F"/>
    <w:rsid w:val="00332E9E"/>
    <w:rsid w:val="00366FC1"/>
    <w:rsid w:val="00367BE4"/>
    <w:rsid w:val="003726A2"/>
    <w:rsid w:val="00373D2A"/>
    <w:rsid w:val="003804BD"/>
    <w:rsid w:val="003B0436"/>
    <w:rsid w:val="003B4AA2"/>
    <w:rsid w:val="003B5C37"/>
    <w:rsid w:val="003D472E"/>
    <w:rsid w:val="00404F8F"/>
    <w:rsid w:val="00417861"/>
    <w:rsid w:val="00433173"/>
    <w:rsid w:val="00476283"/>
    <w:rsid w:val="004A26BB"/>
    <w:rsid w:val="00505169"/>
    <w:rsid w:val="00523746"/>
    <w:rsid w:val="00526906"/>
    <w:rsid w:val="00532294"/>
    <w:rsid w:val="0057506D"/>
    <w:rsid w:val="00596FB0"/>
    <w:rsid w:val="005A3847"/>
    <w:rsid w:val="005B09C0"/>
    <w:rsid w:val="005B1AB1"/>
    <w:rsid w:val="005D026F"/>
    <w:rsid w:val="005F6E36"/>
    <w:rsid w:val="006003E5"/>
    <w:rsid w:val="0066125D"/>
    <w:rsid w:val="00685912"/>
    <w:rsid w:val="00694437"/>
    <w:rsid w:val="006C197A"/>
    <w:rsid w:val="006F1A70"/>
    <w:rsid w:val="00731A1C"/>
    <w:rsid w:val="00732BEF"/>
    <w:rsid w:val="0076706A"/>
    <w:rsid w:val="007C2201"/>
    <w:rsid w:val="008C4B37"/>
    <w:rsid w:val="008C637B"/>
    <w:rsid w:val="008D254B"/>
    <w:rsid w:val="00912FAC"/>
    <w:rsid w:val="00915828"/>
    <w:rsid w:val="0094787A"/>
    <w:rsid w:val="009E5BFB"/>
    <w:rsid w:val="00A021D0"/>
    <w:rsid w:val="00A468F4"/>
    <w:rsid w:val="00A71212"/>
    <w:rsid w:val="00A71F01"/>
    <w:rsid w:val="00AE6F52"/>
    <w:rsid w:val="00B151B0"/>
    <w:rsid w:val="00B200BE"/>
    <w:rsid w:val="00B212E5"/>
    <w:rsid w:val="00B3500C"/>
    <w:rsid w:val="00B73539"/>
    <w:rsid w:val="00BF5195"/>
    <w:rsid w:val="00C02E53"/>
    <w:rsid w:val="00C8137F"/>
    <w:rsid w:val="00D061DB"/>
    <w:rsid w:val="00D07F59"/>
    <w:rsid w:val="00D9752D"/>
    <w:rsid w:val="00DA1E45"/>
    <w:rsid w:val="00DE57D0"/>
    <w:rsid w:val="00E14D72"/>
    <w:rsid w:val="00E928AF"/>
    <w:rsid w:val="00EB3F74"/>
    <w:rsid w:val="00EC00EA"/>
    <w:rsid w:val="00EC1190"/>
    <w:rsid w:val="00F93565"/>
    <w:rsid w:val="00F97C8F"/>
    <w:rsid w:val="00FD60CB"/>
    <w:rsid w:val="00FE3F7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64D"/>
    <w:rPr>
      <w:lang w:val="sk-SK" w:eastAsia="sk-SK" w:bidi="ar-SA"/>
    </w:rPr>
  </w:style>
  <w:style w:type="paragraph" w:styleId="Heading1">
    <w:name w:val="heading 1"/>
    <w:basedOn w:val="Normal"/>
    <w:next w:val="Normal"/>
    <w:uiPriority w:val="9"/>
    <w:qFormat/>
    <w:rsid w:val="006F1A70"/>
    <w:pPr>
      <w:keepNext/>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zovprvnehoaktuE">
    <w:name w:val="názov právneho aktu EÚ"/>
    <w:basedOn w:val="Normal"/>
    <w:rsid w:val="006F1A70"/>
    <w:pPr>
      <w:spacing w:before="120"/>
      <w:jc w:val="center"/>
    </w:pPr>
    <w:rPr>
      <w:b/>
      <w:sz w:val="24"/>
    </w:rPr>
  </w:style>
  <w:style w:type="character" w:styleId="Emphasis">
    <w:name w:val="Emphasis"/>
    <w:basedOn w:val="DefaultParagraphFont"/>
    <w:uiPriority w:val="20"/>
    <w:qFormat/>
    <w:rsid w:val="00915828"/>
    <w:rPr>
      <w:i/>
      <w:iCs/>
    </w:rPr>
  </w:style>
  <w:style w:type="paragraph" w:styleId="NormalWeb">
    <w:name w:val="Normal (Web)"/>
    <w:basedOn w:val="Normal"/>
    <w:rsid w:val="00915828"/>
    <w:pPr>
      <w:spacing w:before="150" w:after="150"/>
      <w:ind w:left="675" w:right="525"/>
    </w:pPr>
    <w:rPr>
      <w:sz w:val="19"/>
      <w:szCs w:val="19"/>
    </w:rPr>
  </w:style>
  <w:style w:type="character" w:styleId="Strong">
    <w:name w:val="Strong"/>
    <w:basedOn w:val="DefaultParagraphFont"/>
    <w:uiPriority w:val="22"/>
    <w:qFormat/>
    <w:rsid w:val="00915828"/>
    <w:rPr>
      <w:b/>
      <w:bCs/>
    </w:rPr>
  </w:style>
  <w:style w:type="paragraph" w:styleId="Footer">
    <w:name w:val="footer"/>
    <w:basedOn w:val="Normal"/>
    <w:rsid w:val="00417861"/>
    <w:pPr>
      <w:tabs>
        <w:tab w:val="center" w:pos="4536"/>
        <w:tab w:val="right" w:pos="9072"/>
      </w:tabs>
    </w:pPr>
  </w:style>
  <w:style w:type="character" w:styleId="PageNumber">
    <w:name w:val="page number"/>
    <w:basedOn w:val="DefaultParagraphFont"/>
    <w:rsid w:val="00417861"/>
  </w:style>
  <w:style w:type="paragraph" w:styleId="BalloonText">
    <w:name w:val="Balloon Text"/>
    <w:basedOn w:val="Normal"/>
    <w:semiHidden/>
    <w:rsid w:val="00C02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162</TotalTime>
  <Pages>1</Pages>
  <Words>1130</Words>
  <Characters>6443</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Sona.Lehocka</dc:creator>
  <cp:lastModifiedBy>Vaše meno</cp:lastModifiedBy>
  <cp:revision>63</cp:revision>
  <cp:lastPrinted>2006-11-28T09:15:00Z</cp:lastPrinted>
  <dcterms:created xsi:type="dcterms:W3CDTF">2006-01-24T12:25:00Z</dcterms:created>
  <dcterms:modified xsi:type="dcterms:W3CDTF">2007-01-31T12:53:00Z</dcterms:modified>
</cp:coreProperties>
</file>