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Dôvodová správa</w:t>
      </w:r>
    </w:p>
    <w:p>
      <w:pPr>
        <w:pStyle w:val="Title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Všeobecná časť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>
      <w:pPr>
        <w:spacing w:line="360" w:lineRule="auto"/>
        <w:ind w:firstLine="600"/>
        <w:jc w:val="both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Cieľom predkladaného návrhu zákona, ktorým sa mení a dopĺňa zákon č. 469/2003 Z. z. o označeniach pôvodu výrobkov a zemepisných označeniach výrobkov a o zmene a doplnení niektorých zákonov a o doplnení zákona Národnej rady Slovenskej republiky č. 145/1995 Z. z. o správnych poplatkoch v znení neskorších predpisov je zosúladenie právnej úpravy označení pôvodu a zemepisných označení v právnom poriadku Slovenskej republiky s novou komunitárnou právnou úpravou označení pôvodu výrobkov a zemepisných označení týkajúcich sa poľnohospodárskych výrobkov a potravín obsiahnutou v nariadení</w:t>
      </w:r>
      <w:r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Rady (ES) č. 510/2006 zo dňa 20. marca 2006 o ochrane zemepisných označení a označení pôvodu poľnohospodárskych výrobkov a potravín, ktorým bola nahradená doposiaľ platná právna úprava označení pôvodu a zemepisných označení na komunitárnej úrovni.</w:t>
      </w:r>
    </w:p>
    <w:p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Uvedené nariadenie v článku 5 ods. 8 predpokladá, že členské štáty Európskej únie príjmu právne predpisy, ktoré sú potrebné na zabezpečenie súladu právneho poriadku členského štátu s nariadením do 31.marca 2007.</w:t>
      </w:r>
    </w:p>
    <w:p>
      <w:pPr>
        <w:pStyle w:val="BodyTextIndent3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Predkladaný návrh zákona v súlade s nariadením upravuje postup príslušných orgánov Slovenskej republiky v konaní o žiadosti o ochranu označenia pôvodu alebo zemepisného označenia pre poľnohospodárske výrobky alebo potraviny podľa nariadenia, ktoré sú vyrobené, spracované alebo pripravené v Slovenskej republike na komunitárnej úrovni.</w:t>
      </w:r>
    </w:p>
    <w:p>
      <w:pPr>
        <w:spacing w:line="360" w:lineRule="auto"/>
        <w:ind w:firstLine="600"/>
        <w:jc w:val="both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Predmetom úpravy je tiež konanie o námietkach proti žiadosti o zápis označenia pôvodu alebo zemepisného označenia iného členského štátu do registra Komisie, konanie o zrušení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zápisu označenia pôvodu alebo zemepisného označenia v registri chránených označení pôvodu a zemepisných označení, konanie o zmene a doplnení špecifikácie a úprava inštitútov prechodnej </w:t>
      </w:r>
      <w:r>
        <w:rPr>
          <w:rFonts w:ascii="Times New Roman" w:hAnsi="Times New Roman" w:cs="Times New Roman"/>
          <w:sz w:val="24"/>
          <w:szCs w:val="24"/>
          <w:lang w:val="sk-SK"/>
        </w:rPr>
        <w:t>ochrany a doby na prispôsobenie.</w:t>
      </w:r>
    </w:p>
    <w:p>
      <w:pPr>
        <w:spacing w:line="360" w:lineRule="auto"/>
        <w:ind w:firstLine="600"/>
        <w:jc w:val="both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Účelom návrhu zákona je aj odstránenie viacerých problémov aplikačnej praxe ako aj odstránenie legislatívno-technických nedostatkov, ktoré súvisia s existenciou zákona č. 469/2003 Z. z. o označeniach pôvodu výrobkov a zemepisných označeniach výrobkov a o zmene a doplnení niektorých zákonov</w:t>
      </w:r>
      <w:r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. </w:t>
      </w:r>
    </w:p>
    <w:p>
      <w:pPr>
        <w:pStyle w:val="BodyText2"/>
        <w:spacing w:line="360" w:lineRule="auto"/>
        <w:ind w:firstLine="600"/>
        <w:jc w:val="both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</w:p>
    <w:p>
      <w:pPr>
        <w:pStyle w:val="BodyText2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Navrhovaná úprava nebude mať dopad na štátny rozpočet, rozpočty obcí alebo rozpočty vyšších územných celkov, nebude mať vplyv na zamestnanosť, ani na tvorbu pracovných miest.</w:t>
      </w:r>
    </w:p>
    <w:p>
      <w:pPr>
        <w:pStyle w:val="BodyText2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  <w:t>Ministerstvo financií SR listom č. MF/25842/2006-81 z 24. novembra 2006 vzalo na vedomie, že návrh zákona nezakladá nároky na štátny rozpočet, nemá vplyv na rozpočet obcí a rozpočty vyšších územných celkov a nemá vplyv na zamestnanosť a na životné prostredie ani na podnikateľské prostredie.</w:t>
      </w:r>
    </w:p>
    <w:p>
      <w:pPr>
        <w:pStyle w:val="BodyText2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Návrh zákona je v súlade s Ústavou Slovenskej republiky, s medzinárodnými zmluvami, ktorými je Slovenská republika viazaná, s právom Európskej únie a s právom Európskych spoločenstiev.</w:t>
      </w:r>
    </w:p>
    <w:p>
      <w:pPr>
        <w:pStyle w:val="BodyText2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ind w:left="420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 w:type="page"/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B. Osobitná časť</w:t>
      </w:r>
    </w:p>
    <w:p>
      <w:pPr>
        <w:pStyle w:val="BodyText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>
      <w:pPr>
        <w:pStyle w:val="BodyText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Článok I:</w:t>
      </w:r>
    </w:p>
    <w:p>
      <w:pPr>
        <w:pStyle w:val="BodyText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>
      <w:pPr>
        <w:pStyle w:val="BodyText2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 bodu 1 </w:t>
      </w:r>
    </w:p>
    <w:p>
      <w:pPr>
        <w:pStyle w:val="BodyText2"/>
        <w:jc w:val="both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Podľa článku 5 odsek 8 nariadenia sú členské štáty povinné prijať všeobecne záväzné právne predpisy nevyhnutné na dosiahnutie súladu s nariadením, a to v transpozičnom termíne do 31. marca 2007. Predmet zákona vymedzený v § 1 sa preto dopĺňa o úpravu postupu získania práva na ochranu označenia pôvodu výrobku alebo zemepisného označenia výrobku pre poľnohospodárske výrobky a potraviny na území Európskych spoločenstiev v súlade s právnou úpravou obsiahnutou v nariadení. </w:t>
      </w:r>
    </w:p>
    <w:p>
      <w:pPr>
        <w:pStyle w:val="BodyText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>
      <w:pPr>
        <w:pStyle w:val="BodyText2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 bodu 2 </w:t>
      </w:r>
    </w:p>
    <w:p>
      <w:pPr>
        <w:pStyle w:val="BodyText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Navrhuje sa vypustiť z doterajšieho znenia § 2 zákona odsek 2, ktorý je vzhľadom na osobitnú právnu úpravu obsiahnutú v nariadení prebytočný. </w:t>
      </w:r>
    </w:p>
    <w:p>
      <w:pPr>
        <w:pStyle w:val="BodyText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2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 bodu 3 </w:t>
      </w:r>
    </w:p>
    <w:p>
      <w:pPr>
        <w:pStyle w:val="BodyText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Podmienky ochrany označení pôvodu výrobkov alebo zemepisných označení, ktoré sa zapisujú do registra úradu na národnej úrovni upravuje len zákon č. 469/2003 Z. z. o označeniach pôvodu výrobkov a zemepisných označeniach.</w:t>
      </w:r>
    </w:p>
    <w:p>
      <w:pPr>
        <w:pStyle w:val="BodyText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 bodom 4 a 5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Ide o zmeny náležitostí prihlášky v súvislosti s osobitnou právnou úpravou o ochrane zemepisných označení a označení pôvodu poľnohospodárskych výrobkov a potravín obsiahnutou v sekundárnom práve Európskych spoločenstiev.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bodu 6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Zmena predmetného odkazu pod čiarou súvisí s novou právnou úpravou zavedenou zákonom č. 344/2004 Z. z. o patentových zástupcoch, o zmene zákona č. 444/2002 Z. z. o dizajnoch a zákona č. 55/1997 Z. z. o ochranných známkach v znení zákona č. 577/2001 Z. z. a zákona č. 14/2004 Z. z.. Ide o zosúladenie platného právneho stavu. Zmena má iba legislatívno-technický charakter.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 bodu 7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Ide o doplnenie povinnej súčasti vymedzenia výrobku vymedzenou v § 15 v súlade s čl. 4 ods. 2 písm. e) nariadenia.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 bodu 8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Ide o pojmové zosúladenie textu zákona s existujúcou všeobecnou právnou úpravou v Slovenskej republike.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ab/>
        <w:tab/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bodom 9, 13 a 14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Ide o vypustenie právnej úpravy špecifikácie poľnohospodárskeho výrobku a potraviny, ktorá je bližšie obsiahnutá v čl. 4 ods. 2 Nariadenia.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 bodu 10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Aktualizuje sa odkaz na použitie ustanovenia zákona v súvislosti s vypustením § 16 zákona.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 bodu 11 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Uvedeným ustanovením sa zabezpečuje súčinnosť príslušných odborných orgánov kontroly. V praxi pôjde najmä o prípady, ak je na posúdenie vecného obsahu prihlášky v zložitých prípadoch potrebné zaujať odborné stanovisko orgánu, ktorý je na to príslušný a vystupuje ako garant odbornosti pre danú oblasť. Súčasne sa vkladá odkaz na osobitné právne predpisy, ktoré ustanovujú o ktoré kontrolné orgány ide.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 bodu 12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Ustanovenie sa vypúšťa z dôvodu novej nadradenej právnej úpravy týkajúcej sa konania o zápise označení pôvodu pre poľnohospodárske výrobky a potraviny.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bodu 15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Novonavrhnuté znenia § 20 a 21 reflektujú požiadavky vyplývajúce z nariadenia a tiež upresňujú pôvodný text z pojmového hľadiska.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bodom 16 a 17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Ide o legislatívne upresnenie momentu od ktorého je možné podať na úrad žiadosť o pokračovanie v konaní. Použitie inštitútu pokračovania v konaní  prichádza do úvahy len po uplynutí úradom zmeškanej lehoty na vykonanie úkonu.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Ide o legislatívno-technickú úpravu textu.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 bodu 18</w:t>
      </w: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Ustanovenie § 24 odsek 3 sa vypúšťa z dôvodu, že úrad nemôže vyhovieť žiadosti o pokračovanie v konaní v prípade zmeškania lehoty na podanie tejto žiadosti alebo žiadosti o uvedenie do predošlého stavu podľa § 25 odseku 1, nakoľko sa jedná v oboch prípadoch o lehoty zákonné a inštitút pokračovania v konaní je možné podľa § 24 odsek 1 použiť len v prípade zmeškania úradom určených lehôt.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Heading1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K bodom 19 a 20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súvislosti so zavedením nových lehôt v konaní podľa § 33 sa dopĺňajú ďalšie výnimky, v prípade ktorých úrad nevyhovie žiadosti o pokračovanie v konaní, resp. žiadosti o uvedenie do predošlého stavu z dôvodov ochrany právnej istoty a zamedzenia ďalšieho predlžovania konania.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 bodu 21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Zavádzajú sa dve výnimky, v prípade ktorých úrad nie je viazaný rozsahom podaného rozkladu v súvislosti so zosúladením právnej úpravy rozkladového konania upravenú v ostatných priemyselno-právnych predpisoch Slovenskej republiky.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bodu 22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Ustanovenie § 28 v súlade s § 23 správneho poriadku priznáva účastníkom konania právo na nazeranie do spisov, právo robiť si zo spisov odpisy a výpisy, ako aj právo na vyhotovenie kópií za primeranú náhradu nevyhnutných nákladov.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 zápise označenia pôvodu alebo zemepisného označenia do registra alebo zverejnení žiadosti podľa § 32 odsek 6 zákona sa priznáva právo na nazeranie do spisu aj tretím osobám.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Výnimku z práva na nazeranie do spisu predstavuje odsek 4. Úrad má možnosť obmedziť prístup k spisu v častiach spisu, obsahujúcich informácie dôverného charakteru, s ktorými nemusia byť tretie osoby alebo účastníci konania nevyhnutne oboznámení, v častiach spisu obsahujúcich obchodné tajomstvo, ak o to požiadal prihlasovateľ alebo držiteľ osvedčenia a v častiach spisov obsahujúcich zápisnice o hlasovaní, pomocné poznámky alebo návrhy rozhodnutí, výmerov či stanovísk úradu.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bodu 23</w:t>
      </w:r>
    </w:p>
    <w:p>
      <w:pPr>
        <w:pStyle w:val="BodyText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súvislosti s doplnením povinnej súčasti vymedzenia výrobku vymedzenou v § 15 (bod 6 návrhu) sa mení zoznam údajov, ktoré sa zapisujú do registra označení pôvodu a zemepisných označení vedeného úradom.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Heading1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K bodu 24</w:t>
      </w:r>
    </w:p>
    <w:p>
      <w:pPr>
        <w:pStyle w:val="Textodstavce"/>
        <w:numPr>
          <w:numId w:val="0"/>
        </w:numPr>
        <w:tabs>
          <w:tab w:val="clear" w:pos="782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§ 32</w:t>
      </w:r>
    </w:p>
    <w:p>
      <w:pPr>
        <w:pStyle w:val="Textodstavce"/>
        <w:numPr>
          <w:numId w:val="0"/>
        </w:numPr>
        <w:tabs>
          <w:tab w:val="clear" w:pos="782"/>
        </w:tabs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Nový § 32 zákona upravuje v súlade s článkom 5 nariadenia konanie o žiadosti o ochranu označenia pôvodu alebo zemepisného označenia na komunitárnej úrovni pre poľnohospodárske výrobky alebo potraviny,  ktoré sú vyrobené, spracované alebo pripravené v Slovenskej republike.  </w:t>
      </w:r>
    </w:p>
    <w:p>
      <w:pPr>
        <w:pStyle w:val="Textodstavce"/>
        <w:numPr>
          <w:numId w:val="0"/>
        </w:numPr>
        <w:tabs>
          <w:tab w:val="clear" w:pos="782"/>
        </w:tabs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Požiadať o priznanie takejto ochrany na komunitárnej úrovni sú oprávnené len osoby uvedené v § 14 zákona, po splnení podmienky, že majú na území Slovenskej republiky trvalý pobyt alebo sídlo.</w:t>
      </w:r>
    </w:p>
    <w:p>
      <w:pPr>
        <w:pStyle w:val="Textodstavce"/>
        <w:numPr>
          <w:numId w:val="0"/>
        </w:numPr>
        <w:tabs>
          <w:tab w:val="clear" w:pos="782"/>
        </w:tabs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Konanie sa začína podaním žiadosti na úrad v súlade s článkom 5 odsek 4 nariadenia a to v troch vyhotoveniach. Úrad žiadosť preskúma, či je dôvodná a spĺňa náležitosti ustanovené nariadením, resp. či označenie nie je súčasťou výluk podľa článku 3 nariadenia. Podľa výsledku tohto prieskumu úrad svojim rozhodnutím žiadosť buď zamietne alebo jej podstatné náležitosti zverejní vo vestníku úradu. </w:t>
      </w:r>
    </w:p>
    <w:p>
      <w:pPr>
        <w:pStyle w:val="Textodstavce"/>
        <w:numPr>
          <w:numId w:val="0"/>
        </w:numPr>
        <w:tabs>
          <w:tab w:val="clear" w:pos="782"/>
        </w:tabs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Úrad si pred rozhodnutím o žiadosti vyžiada vyjadrenie Ministerstva pôdohospodárstva Slovenskej republiky, ktoré prostredníctvom príslušného výboru zistí, či špecifikácia poľnohospodárskeho výrobku alebo potraviny spĺňa ustanovené náležitosti.</w:t>
      </w:r>
    </w:p>
    <w:p>
      <w:pPr>
        <w:pStyle w:val="Textodstavce"/>
        <w:numPr>
          <w:numId w:val="0"/>
        </w:numPr>
        <w:tabs>
          <w:tab w:val="clear" w:pos="782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§ 33</w:t>
      </w:r>
    </w:p>
    <w:p>
      <w:pPr>
        <w:pStyle w:val="Textodstavce"/>
        <w:numPr>
          <w:numId w:val="0"/>
        </w:numPr>
        <w:tabs>
          <w:tab w:val="clear" w:pos="782"/>
        </w:tabs>
        <w:ind w:left="0" w:firstLine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33 zákona sa v súlade s článkom 5 odsek 5 nariadenia zavádza vnútroštátne námietkové konanie pred úradom. Zákon umožňuje, aby ktorákoľvek fyzická osoba alebo právnická osoba, ktorá preukáže oprávnený záujem, a má trvalý pobyt alebo sídlo na území Slovenskej republiky, mohla podať na úrade námietky proti žiadosti, a to v zákonom stanovenej lehote troch mesiacov od tohto zverejnenia úradu.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Námietky musia byť pritom odôvodnené a musia v nich byť označené dôkazy, z ktorých vyplýva, že prihlasované označenie pôvodu alebo zemepisné označenie nespĺňa podmienky ustanovené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nariadením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na zápis do registra chránených označení pôvodu a zemepisných označení vedeného Komisiou. </w:t>
      </w:r>
    </w:p>
    <w:p>
      <w:pPr>
        <w:pStyle w:val="BodyTextIndent2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ak podané námietky niektorú z týchto podmienok nespĺňajú, úrad konanie o nich zastaví a zároveň zabezpečí doručenie r</w:t>
      </w:r>
      <w:r>
        <w:rPr>
          <w:rFonts w:ascii="Times New Roman" w:hAnsi="Times New Roman" w:cs="Times New Roman"/>
          <w:sz w:val="24"/>
          <w:szCs w:val="24"/>
        </w:rPr>
        <w:t>ozhodnutia o zastavení konania o námietkach žiadateľovi a namietateľovi. V opačnom prípade zašle námietky žiadateľovi na vyjadrenie a zároveň vyzve žiadateľa a namietateľa, aby zmiernym konaním rozpor odstránili, a to v úradom určenej primeranej lehote.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Ak ku zmieru v určenej lehote nedôjde, rozhodne o námietkach úrad, a to tak, že po preskúmaní splnenia podmienok podľa § 32 odsek 3 zákona zamietne buď žiadosť alebo zamietne námietky. Pred rozhodnutím o námietkach úrad požiada Ministerstvo pôdohospodárstva Slovenskej republiky o vyjadrenie, či sú námietky oprávnené, a to v prípade, že sa námietky týkajú špecifikácie výrobku alebo vymedzenia zvláštnosti zemepisného prostredia, v ktorom je výrobok vyrábaný.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bodu 25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§ 33a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súlade s článkom 5 odsek 5 nariadenia vydá úrad o žiadosti, ktorá spĺňa podmienky podľa § 32 a 33, kladné rozhodnutie, ktorým sa konanie o žiadosti na úrade končí a zašle Komisii dokumenty uvedené v článku 5 odseku 7 nariadenia. Úrad je povinný kladné rozhodnutie doručiť žiadateľovi, oznámiť jeho vydanie vo vestníku úradu a oznámiť tiež elektronickú adresu, na ktorej sa špecifikácia výrobku nachádza na internete.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§ 33b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Podľa článku 5 ods. 6 nariadenia členský štát môže prechodne na vnútroštátnej úrovni poskytnúť ochranu názvu a dobu na prispôsobenie s účinnosťou od dátumu podania žiadosti Komisii za podmienok stanovených v nariadení. Navrhované ustanovenie a zavedenie inštitútov prechodnej ochrany a doby na prispôsobenie je uplatnením článku 5 ods. 6 nariadenia, podľa ktorého prechodná ochrana slúži na zabezpečenie ochrany práv a oprávnených záujmov žiadateľov na vnútroštátnej úrovni až do prijatia rozhodnutia o zápise do registra podľa tohto nariadenia.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Doba na prispôsobenie slúži na splnenie podmienok stanovených v špecifikácii a zabezpečenie ochrany práv a oprávnených záujmov žiadateľov, ktorí v čase podania žiadosti nespĺňajú niektoré z podmienok stanovených v špecifikácii, ale predmetné výrobky legálne uvádzali na trh a používali príslušné názvy nepretržite počas najmenej piatich predchádzajúcich rokov a uviedli túto skutočnosť počas vnútroštátneho námietkového konania. Doba na prispôsobenie zaniká uplynutím dvoch rokov od dátumu podania žiadosti Komisii.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bodu 26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Zavádza sa nadpis nad § 34 z dôvodu odlíšenia úpravy vnútroštátneho námietkového konania od konania o námietkach proti zápisu označenia do registra Komisie.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 bodu 27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§ 34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súlade s čl. 7 ods. 1 a 2 nariadenia sa v § 34 zákona upravuje konanie o námietkach, podaných proti zápisu označenia pôvodu alebo zemepisného označenia, ktoré majú svoj pôvod na území iného členského štátu do registra vedeného Komisiou alebo proti zmene špecifikácie poľnohospodárskeho výrobku alebo potraviny k označeniu pôvodu alebo k zemepisnému označeniu iného členského štátu.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Aktívne legitimovaným subjektom na podanie takýchto námietok je úrad z vlastného podnetu a fyzická alebo právnická osoba s trvalým pobytom, resp. sídlom na území Slovenskej republiky, ktorá však musí preukázať oprávnený záujem na ich prejednaní úradom.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Podľa článku 7 odsek 1 nariadenia musia byť tieto námietky predložené orgánom Európskej únie do šiestich mesiacov odo dňa, keď Komisia v Úradnom vestníku Európskej únie zverejnila  podstatné náležitosti žiadosti alebo zmenu špecifikácie poľnohospodárskeho výrobku alebo potraviny.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Nakoľko sa za doručenie pokladá okamih, keď podanie dôjde do podateľne príslušného orgánu Európskej únie, je potrebné z tohto dôvodu upraviť lehotu na podanie riadne odôvodnených námietok tak, aby úrad fyzicky stihol dodržať lehotu stanovenú nariadením.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34 odsek 3 sa zavádza požiadavka podať námietky podľa § 34 odsek 1 v štátnom jazyku v súlade so zákonom o štátnom jazyku.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súlade s článkom 7 odsek 1 nariadenia sa v § 34 odsek 4 dopĺňa povinnosť úradu postúpiť podané námietky Komisii v lehote stanovenej priamo v nariadení.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odseku 5 sú vymenované dôvody, pre ktoré je úrad povinný odmietnuť postúpiť Komisii podané námietky.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35 </w:t>
      </w: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Zavádza sa právna úprava postupu úradu v konaní o námietkach v súlade s čl. 7 ods. 5 nariadenia.Vzhľadom na skutočnosť, že v konaní o námietkach bude súčinným orgánom pre Komisiu úrad, navrhuje sa prechod príslušnosti na prerokovanie dohody v konaní o námietkach z výboru zriadeného Ministerstvom pôdohospodárstva na úrad.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§ 36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pStyle w:val="BodyTex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Zavádza sa nová úprava postupu úradu pri schvaľovaní zmien a doplnení špecifikácie v súlade s čl. 9 ods. 2 nariadenia.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 bodu 28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súlade s článkom 12 nariadenia sa upravuje možnosť podania žiadosti </w:t>
      </w:r>
      <w:r>
        <w:rPr>
          <w:rFonts w:ascii="Times New Roman" w:hAnsi="Times New Roman" w:cs="Times New Roman"/>
          <w:sz w:val="24"/>
          <w:szCs w:val="24"/>
          <w:lang w:val="sk-SK"/>
        </w:rPr>
        <w:t>o zrušenie zápisu označenia pôvodu alebo zemepisného označenia v registri chránených označení pôvodu a zemepisných označení vedeného Komisiou z dôvodu, že poľnohospodársky výrobok alebo potravina už nespĺňa podmienky špecifikácie podľa nariadenia. Na konanie o tejto žiadosti sa použijú ustanovenia § 33 a 33a.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bodom 29 a 30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Viď bod 8. Zmeny majú iba legislatívno-technický charakter.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K bodu 31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Zmeny v predmetných ustanoveniach súvisia s novou právnou úpravou povinného zastúpenia účastníkov v konaní pred úradom zavedenou zákonom č. 344/2004 Z. z. o patentových zástupcoch, o zmene zákona č. 444/2002 Z. z. o dizajnoch a zákona č. 55/1997 Z. z. o ochranných známkach v znení zákona č. 577/2001 Z. z. a zákona č.14/2004 Z. z. Ide o zosúladenie platného právneho stavu.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Článok II: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súvislosti so zmenou zákona č. 469/2003 Z. z. o označeniach pôvodu výrobkov a zemepisných označeniach výrobkov a o zmene a doplnení niektorých zákonov sa navrhuje zaviesť nový správny poplatok za  podanie žiadosti o zápis označenia pôvodu alebo zemepisného označenia do registra Komisie podľa § 32 ods. 1 tohto zákona vo výške 2000 Sk a poplatok za podanie námietok proti žiadosti o zápis označenia pôvodu alebo zemepisného označenia do registra Komisie podľa § 34 odsek 1 tohto zákona vo výške 1000 Sk, a to za účelom nahradenia nákladov spojených s týmito konaniami.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Navrhnutá výška správnych poplatkov zodpovedá administratívnej náročnosti týchto konaní, ktorá vyplýva z analogických druhov konaní pred úradom.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Článok III: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Účinnosť zákona sa navrhuje na 1. júna 2007 . 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Schválené na rokovaní vlády Slovenskej republiky dňa 31. 01. 2007.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Robert Fico v. r.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predseda vlády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Slovenskej republiky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Darina Kyliánová v. r.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predsedníčka Úradu priemyselného vlastníctva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Slovenskej republiky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8</w:t>
    </w:r>
    <w:r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26E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1">
    <w:nsid w:val="6AAF1A1F"/>
    <w:multiLevelType w:val="multilevel"/>
    <w:tmpl w:val="DB40E7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hanging="425"/>
      </w:pPr>
      <w:rPr>
        <w:rFonts w:hint="default"/>
      </w:rPr>
    </w:lvl>
    <w:lvl w:ilvl="3">
      <w:start w:val="1"/>
      <w:numFmt w:val="none"/>
      <w:pStyle w:val="Heading4"/>
      <w:suff w:val="nothing"/>
      <w:lvlJc w:val="left"/>
      <w:rPr>
        <w:rFonts w:hint="default"/>
      </w:rPr>
    </w:lvl>
    <w:lvl w:ilvl="4">
      <w:start w:val="1"/>
      <w:numFmt w:val="none"/>
      <w:pStyle w:val="Heading5"/>
      <w:suff w:val="nothing"/>
      <w:lvlJc w:val="left"/>
      <w:rPr>
        <w:rFonts w:hint="default"/>
      </w:rPr>
    </w:lvl>
    <w:lvl w:ilvl="5">
      <w:start w:val="1"/>
      <w:numFmt w:val="none"/>
      <w:pStyle w:val="Heading6"/>
      <w:suff w:val="nothing"/>
      <w:lvlJc w:val="left"/>
      <w:rPr>
        <w:rFonts w:hint="default"/>
      </w:rPr>
    </w:lvl>
    <w:lvl w:ilvl="6">
      <w:start w:val="1"/>
      <w:numFmt w:val="none"/>
      <w:pStyle w:val="Heading7"/>
      <w:suff w:val="nothing"/>
      <w:lvlJc w:val="left"/>
      <w:rPr>
        <w:rFonts w:hint="default"/>
      </w:rPr>
    </w:lvl>
    <w:lvl w:ilvl="7">
      <w:start w:val="1"/>
      <w:numFmt w:val="none"/>
      <w:pStyle w:val="Heading8"/>
      <w:suff w:val="nothing"/>
      <w:lvlJc w:val="left"/>
      <w:rPr>
        <w:rFonts w:hint="default"/>
      </w:rPr>
    </w:lvl>
    <w:lvl w:ilvl="8">
      <w:start w:val="1"/>
      <w:numFmt w:val="none"/>
      <w:pStyle w:val="Heading9"/>
      <w:suff w:val="nothing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oNotHyphenateCaps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</w:pPr>
    <w:rPr>
      <w:sz w:val="20"/>
    </w:rPr>
  </w:style>
  <w:style w:type="paragraph" w:styleId="Heading1">
    <w:name w:val="heading 1"/>
    <w:basedOn w:val="Normal"/>
    <w:next w:val="Normal"/>
    <w:uiPriority w:val="99"/>
    <w:pPr>
      <w:keepNext/>
      <w:jc w:val="both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uiPriority w:val="99"/>
    <w:pPr>
      <w:keepNext/>
      <w:outlineLvl w:val="1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uiPriority w:val="99"/>
    <w:pPr>
      <w:keepNext/>
      <w:numPr>
        <w:ilvl w:val="3"/>
        <w:numId w:val="1"/>
      </w:numPr>
      <w:spacing w:before="240" w:after="60"/>
      <w:jc w:val="both"/>
      <w:outlineLvl w:val="3"/>
    </w:pPr>
    <w:rPr>
      <w:b/>
      <w:sz w:val="28"/>
      <w:lang w:val="cs-CZ"/>
    </w:rPr>
  </w:style>
  <w:style w:type="paragraph" w:styleId="Heading5">
    <w:name w:val="heading 5"/>
    <w:basedOn w:val="Normal"/>
    <w:next w:val="Normal"/>
    <w:uiPriority w:val="99"/>
    <w:pPr>
      <w:numPr>
        <w:ilvl w:val="4"/>
        <w:numId w:val="1"/>
      </w:numPr>
      <w:spacing w:before="240" w:after="60"/>
      <w:jc w:val="both"/>
      <w:outlineLvl w:val="4"/>
    </w:pPr>
    <w:rPr>
      <w:b/>
      <w:i/>
      <w:sz w:val="26"/>
      <w:lang w:val="cs-CZ"/>
    </w:rPr>
  </w:style>
  <w:style w:type="paragraph" w:styleId="Heading6">
    <w:name w:val="heading 6"/>
    <w:basedOn w:val="Normal"/>
    <w:next w:val="Normal"/>
    <w:uiPriority w:val="99"/>
    <w:pPr>
      <w:numPr>
        <w:ilvl w:val="5"/>
        <w:numId w:val="1"/>
      </w:numPr>
      <w:spacing w:before="240" w:after="60"/>
      <w:jc w:val="both"/>
      <w:outlineLvl w:val="5"/>
    </w:pPr>
    <w:rPr>
      <w:b/>
      <w:sz w:val="22"/>
      <w:lang w:val="cs-CZ"/>
    </w:rPr>
  </w:style>
  <w:style w:type="paragraph" w:styleId="Heading7">
    <w:name w:val="heading 7"/>
    <w:basedOn w:val="Normal"/>
    <w:next w:val="Normal"/>
    <w:uiPriority w:val="99"/>
    <w:pPr>
      <w:numPr>
        <w:ilvl w:val="6"/>
        <w:numId w:val="1"/>
      </w:numPr>
      <w:spacing w:before="240" w:after="60"/>
      <w:jc w:val="both"/>
      <w:outlineLvl w:val="6"/>
    </w:pPr>
    <w:rPr>
      <w:sz w:val="20"/>
      <w:lang w:val="cs-CZ"/>
    </w:rPr>
  </w:style>
  <w:style w:type="paragraph" w:styleId="Heading8">
    <w:name w:val="heading 8"/>
    <w:basedOn w:val="Normal"/>
    <w:next w:val="Normal"/>
    <w:uiPriority w:val="99"/>
    <w:pPr>
      <w:numPr>
        <w:ilvl w:val="7"/>
        <w:numId w:val="1"/>
      </w:numPr>
      <w:spacing w:before="240" w:after="60"/>
      <w:jc w:val="both"/>
      <w:outlineLvl w:val="7"/>
    </w:pPr>
    <w:rPr>
      <w:i/>
      <w:sz w:val="20"/>
      <w:lang w:val="cs-CZ"/>
    </w:rPr>
  </w:style>
  <w:style w:type="paragraph" w:styleId="Heading9">
    <w:name w:val="heading 9"/>
    <w:basedOn w:val="Normal"/>
    <w:next w:val="Normal"/>
    <w:uiPriority w:val="9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lang w:val="cs-CZ"/>
    </w:rPr>
  </w:style>
  <w:style w:type="character" w:default="1" w:styleId="DefaultParagraphFont">
    <w:name w:val="Default Paragraph Font"/>
    <w:uiPriority w:val="99"/>
  </w:style>
  <w:style w:type="paragraph" w:styleId="BodyText2">
    <w:name w:val="Body Text 2"/>
    <w:basedOn w:val="Normal"/>
    <w:uiPriority w:val="99"/>
    <w:rPr>
      <w:rFonts w:ascii="Arial" w:hAnsi="Arial" w:cs="Arial"/>
      <w:sz w:val="22"/>
    </w:rPr>
  </w:style>
  <w:style w:type="paragraph" w:styleId="Title">
    <w:name w:val="Title"/>
    <w:basedOn w:val="Normal"/>
    <w:uiPriority w:val="99"/>
    <w:pPr>
      <w:jc w:val="center"/>
    </w:pPr>
    <w:rPr>
      <w:b/>
      <w:sz w:val="20"/>
      <w:lang w:val="sk-SK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</w:pPr>
    <w:rPr>
      <w:sz w:val="20"/>
      <w:lang w:val="sk-SK"/>
    </w:rPr>
  </w:style>
  <w:style w:type="character" w:styleId="PageNumber">
    <w:name w:val="page number"/>
    <w:basedOn w:val="DefaultParagraphFont"/>
    <w:uiPriority w:val="99"/>
  </w:style>
  <w:style w:type="paragraph" w:styleId="BodyText">
    <w:name w:val="Body Text"/>
    <w:basedOn w:val="Normal"/>
    <w:uiPriority w:val="99"/>
    <w:pPr>
      <w:jc w:val="both"/>
    </w:pPr>
    <w:rPr>
      <w:rFonts w:ascii="Arial" w:hAnsi="Arial" w:cs="Arial"/>
    </w:rPr>
  </w:style>
  <w:style w:type="paragraph" w:customStyle="1" w:styleId="Textbodu">
    <w:name w:val="Text bodu"/>
    <w:basedOn w:val="Normal"/>
    <w:uiPriority w:val="99"/>
    <w:pPr>
      <w:numPr>
        <w:ilvl w:val="2"/>
        <w:numId w:val="1"/>
      </w:numPr>
      <w:tabs>
        <w:tab w:val="num" w:pos="850"/>
      </w:tabs>
      <w:ind w:left="850" w:hanging="425"/>
      <w:jc w:val="both"/>
      <w:outlineLvl w:val="8"/>
    </w:pPr>
    <w:rPr>
      <w:sz w:val="20"/>
      <w:lang w:val="cs-CZ"/>
    </w:rPr>
  </w:style>
  <w:style w:type="paragraph" w:customStyle="1" w:styleId="Textpsmene">
    <w:name w:val="Text písmene"/>
    <w:basedOn w:val="Normal"/>
    <w:uiPriority w:val="99"/>
    <w:pPr>
      <w:numPr>
        <w:ilvl w:val="1"/>
        <w:numId w:val="1"/>
      </w:numPr>
      <w:tabs>
        <w:tab w:val="num" w:pos="425"/>
      </w:tabs>
      <w:ind w:left="425" w:hanging="425"/>
      <w:jc w:val="both"/>
      <w:outlineLvl w:val="7"/>
    </w:pPr>
    <w:rPr>
      <w:sz w:val="20"/>
      <w:lang w:val="cs-CZ"/>
    </w:rPr>
  </w:style>
  <w:style w:type="paragraph" w:customStyle="1" w:styleId="Textodstavce">
    <w:name w:val="Text odstavce"/>
    <w:basedOn w:val="Normal"/>
    <w:uiPriority w:val="99"/>
    <w:pPr>
      <w:numPr>
        <w:numId w:val="1"/>
      </w:num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 w:val="20"/>
      <w:lang w:val="cs-CZ"/>
    </w:rPr>
  </w:style>
  <w:style w:type="paragraph" w:styleId="BodyTextIndent2">
    <w:name w:val="Body Text Indent 2"/>
    <w:basedOn w:val="Normal"/>
    <w:uiPriority w:val="99"/>
    <w:pPr>
      <w:ind w:firstLine="851"/>
    </w:pPr>
    <w:rPr>
      <w:sz w:val="20"/>
      <w:lang w:val="sk-SK"/>
    </w:rPr>
  </w:style>
  <w:style w:type="paragraph" w:styleId="BodyTextIndent3">
    <w:name w:val="Body Text Indent 3"/>
    <w:basedOn w:val="Normal"/>
    <w:uiPriority w:val="99"/>
    <w:pPr>
      <w:spacing w:line="360" w:lineRule="auto"/>
      <w:ind w:firstLine="600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8</Pages>
  <Words>2391</Words>
  <Characters>13630</Characters>
  <Application>Microsoft Office Word</Application>
  <DocSecurity>0</DocSecurity>
  <Lines>0</Lines>
  <Paragraphs>0</Paragraphs>
  <ScaleCrop>false</ScaleCrop>
  <Company>Upv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Ica1</dc:creator>
  <cp:lastModifiedBy>Ica1</cp:lastModifiedBy>
  <cp:revision>18</cp:revision>
  <cp:lastPrinted>2007-02-01T15:47:00Z</cp:lastPrinted>
  <dcterms:created xsi:type="dcterms:W3CDTF">2007-01-25T12:04:00Z</dcterms:created>
  <dcterms:modified xsi:type="dcterms:W3CDTF">2007-02-01T15:47:00Z</dcterms:modified>
</cp:coreProperties>
</file>