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439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FF3A85">
      <w:pPr>
        <w:jc w:val="center"/>
        <w:rPr>
          <w:rFonts w:ascii="Arial" w:hAnsi="Arial" w:cs="Arial"/>
          <w:b/>
          <w:bCs/>
          <w:color w:val="000000"/>
          <w:szCs w:val="20"/>
        </w:rPr>
      </w:pPr>
    </w:p>
    <w:p w:rsidR="006F4395">
      <w:pPr>
        <w:jc w:val="center"/>
        <w:rPr>
          <w:rFonts w:ascii="Arial" w:hAnsi="Arial" w:cs="Arial"/>
          <w:b/>
          <w:bCs/>
          <w:color w:val="000000"/>
          <w:szCs w:val="20"/>
        </w:rPr>
      </w:pPr>
      <w:r w:rsidR="00B43923">
        <w:rPr>
          <w:rFonts w:ascii="Arial" w:hAnsi="Arial" w:cs="Arial"/>
          <w:b/>
          <w:bCs/>
          <w:color w:val="000000"/>
          <w:szCs w:val="20"/>
        </w:rPr>
        <w:t>zo 6. decembra</w:t>
      </w:r>
      <w:r w:rsidR="00FF3A85">
        <w:rPr>
          <w:rFonts w:ascii="Arial" w:hAnsi="Arial" w:cs="Arial"/>
          <w:b/>
          <w:bCs/>
          <w:color w:val="000000"/>
          <w:szCs w:val="20"/>
        </w:rPr>
        <w:t xml:space="preserve"> </w:t>
      </w:r>
      <w:r>
        <w:rPr>
          <w:rFonts w:ascii="Arial" w:hAnsi="Arial" w:cs="Arial"/>
          <w:b/>
          <w:bCs/>
          <w:color w:val="000000"/>
          <w:szCs w:val="20"/>
        </w:rPr>
        <w:t xml:space="preserve">2006, </w:t>
      </w:r>
    </w:p>
    <w:p w:rsidR="006F4395">
      <w:pPr>
        <w:jc w:val="center"/>
        <w:rPr>
          <w:rFonts w:ascii="Arial" w:hAnsi="Arial" w:cs="Arial"/>
          <w:b/>
          <w:bCs/>
          <w:color w:val="000000"/>
          <w:szCs w:val="20"/>
        </w:rPr>
      </w:pPr>
    </w:p>
    <w:p w:rsidR="006F4395" w:rsidP="00FF3A85">
      <w:pPr>
        <w:pStyle w:val="BodyText2"/>
        <w:spacing w:line="240" w:lineRule="auto"/>
      </w:pPr>
      <w:r>
        <w:t>ktorým sa mení a dopĺňa zákon č. 599/2003 Z. z. o pomoci v hmotnej núdzi a o zmene a doplnení niektorých zákonov v znení neskorších predpisov</w:t>
      </w:r>
    </w:p>
    <w:p w:rsidR="006F4395" w:rsidP="00FF3A85">
      <w:pPr>
        <w:jc w:val="center"/>
        <w:rPr>
          <w:rFonts w:ascii="Arial" w:hAnsi="Arial" w:cs="Arial"/>
          <w:b/>
          <w:bCs/>
          <w:color w:val="000000"/>
          <w:szCs w:val="20"/>
        </w:rPr>
      </w:pPr>
    </w:p>
    <w:p w:rsidR="006F4395" w:rsidP="00FF3A85">
      <w:pPr>
        <w:jc w:val="both"/>
        <w:rPr>
          <w:rFonts w:ascii="Arial" w:hAnsi="Arial" w:cs="Arial"/>
          <w:color w:val="000000"/>
          <w:szCs w:val="20"/>
        </w:rPr>
      </w:pPr>
    </w:p>
    <w:p w:rsidR="006F4395" w:rsidP="00FF3A85">
      <w:pPr>
        <w:jc w:val="both"/>
        <w:rPr>
          <w:rFonts w:ascii="Arial" w:hAnsi="Arial" w:cs="Arial"/>
          <w:color w:val="000000"/>
          <w:szCs w:val="20"/>
        </w:rPr>
      </w:pPr>
      <w:r>
        <w:rPr>
          <w:rFonts w:ascii="Arial" w:hAnsi="Arial" w:cs="Arial"/>
          <w:color w:val="000000"/>
          <w:szCs w:val="20"/>
        </w:rPr>
        <w:t>Národná rada Slovenskej republiky sa uzniesla na tomto zákone:</w:t>
      </w:r>
    </w:p>
    <w:p w:rsidR="006F4395" w:rsidP="00FF3A85">
      <w:pPr>
        <w:jc w:val="center"/>
        <w:rPr>
          <w:rFonts w:ascii="Arial" w:hAnsi="Arial" w:cs="Arial"/>
          <w:b/>
          <w:bCs/>
          <w:color w:val="000000"/>
          <w:szCs w:val="20"/>
        </w:rPr>
      </w:pPr>
    </w:p>
    <w:p w:rsidR="006F4395" w:rsidRPr="00FF3A85" w:rsidP="00FF3A85">
      <w:pPr>
        <w:jc w:val="center"/>
        <w:rPr>
          <w:rFonts w:ascii="Arial" w:hAnsi="Arial" w:cs="Arial"/>
          <w:b/>
          <w:bCs/>
          <w:color w:val="000000"/>
          <w:szCs w:val="20"/>
        </w:rPr>
      </w:pPr>
      <w:r>
        <w:rPr>
          <w:rFonts w:ascii="Arial" w:hAnsi="Arial" w:cs="Arial"/>
          <w:b/>
          <w:bCs/>
          <w:color w:val="000000"/>
          <w:szCs w:val="20"/>
        </w:rPr>
        <w:t>Čl. I</w:t>
      </w:r>
    </w:p>
    <w:p w:rsidR="006F4395" w:rsidP="00FF3A85">
      <w:pPr>
        <w:jc w:val="both"/>
        <w:rPr>
          <w:rFonts w:ascii="Arial" w:hAnsi="Arial" w:cs="Arial"/>
          <w:color w:val="000000"/>
          <w:szCs w:val="20"/>
        </w:rPr>
      </w:pPr>
    </w:p>
    <w:p w:rsidR="006F4395" w:rsidP="00FF3A85">
      <w:pPr>
        <w:ind w:firstLine="708"/>
        <w:jc w:val="both"/>
        <w:rPr>
          <w:rFonts w:ascii="Arial" w:hAnsi="Arial" w:cs="Arial"/>
        </w:rPr>
      </w:pPr>
      <w:r>
        <w:rPr>
          <w:rFonts w:ascii="Arial" w:hAnsi="Arial" w:cs="Arial"/>
          <w:color w:val="000000"/>
          <w:szCs w:val="20"/>
        </w:rPr>
        <w:t>Zákon č. 599/2003 Z. z. o pomoci v hmotnej núdzi a o zmene a doplnení niektorých</w:t>
      </w:r>
      <w:r>
        <w:rPr>
          <w:rFonts w:ascii="Arial" w:hAnsi="Arial" w:cs="Arial"/>
          <w:color w:val="000000"/>
          <w:szCs w:val="20"/>
        </w:rPr>
        <w:t xml:space="preserve"> </w:t>
      </w:r>
      <w:r>
        <w:rPr>
          <w:rFonts w:ascii="Arial" w:hAnsi="Arial" w:cs="Arial"/>
          <w:color w:val="000000"/>
          <w:szCs w:val="20"/>
        </w:rPr>
        <w:t>zákonov v znení zákona č. 5/2004 Z. z., zákona č. 191/2004 Z. z., zákona č.</w:t>
      </w:r>
      <w:r>
        <w:rPr>
          <w:rFonts w:ascii="Arial" w:hAnsi="Arial" w:cs="Arial"/>
          <w:color w:val="000000"/>
          <w:szCs w:val="20"/>
        </w:rPr>
        <w:t xml:space="preserve"> </w:t>
      </w:r>
      <w:r>
        <w:rPr>
          <w:rFonts w:ascii="Arial" w:hAnsi="Arial" w:cs="Arial"/>
          <w:color w:val="000000"/>
          <w:szCs w:val="20"/>
        </w:rPr>
        <w:t>453/2004 Z. z., zákona č. 577/2004 Z. z., zákona č. 613/2004 Z. z., zákona č.</w:t>
      </w:r>
      <w:r>
        <w:rPr>
          <w:rFonts w:ascii="Arial" w:hAnsi="Arial" w:cs="Arial"/>
          <w:color w:val="000000"/>
          <w:szCs w:val="20"/>
        </w:rPr>
        <w:t xml:space="preserve"> </w:t>
      </w:r>
      <w:r>
        <w:rPr>
          <w:rFonts w:ascii="Arial" w:hAnsi="Arial" w:cs="Arial"/>
          <w:color w:val="000000"/>
          <w:szCs w:val="20"/>
        </w:rPr>
        <w:t>614/2004 Z. z., zákona č. 721/2004 Z. z., zákona č. 305/2005 Z. z., zákona č.</w:t>
      </w:r>
      <w:r>
        <w:rPr>
          <w:rFonts w:ascii="Arial" w:hAnsi="Arial" w:cs="Arial"/>
          <w:color w:val="000000"/>
          <w:szCs w:val="20"/>
        </w:rPr>
        <w:t xml:space="preserve"> </w:t>
      </w:r>
      <w:r>
        <w:rPr>
          <w:rFonts w:ascii="Arial" w:hAnsi="Arial" w:cs="Arial"/>
          <w:color w:val="000000"/>
          <w:szCs w:val="20"/>
        </w:rPr>
        <w:t>471/2005 Z. z., zákona č. 573/2005 Z. z.</w:t>
      </w:r>
      <w:r>
        <w:rPr>
          <w:rFonts w:ascii="Arial" w:hAnsi="Arial" w:cs="Arial"/>
          <w:color w:val="000000"/>
          <w:szCs w:val="20"/>
        </w:rPr>
        <w:t xml:space="preserve"> a zákona č. 310/2006 Z. z.</w:t>
      </w:r>
      <w:r>
        <w:rPr>
          <w:rFonts w:ascii="Arial" w:hAnsi="Arial" w:cs="Arial"/>
          <w:color w:val="000000"/>
          <w:szCs w:val="20"/>
        </w:rPr>
        <w:t xml:space="preserve"> sa </w:t>
      </w:r>
      <w:r>
        <w:rPr>
          <w:rFonts w:ascii="Arial" w:hAnsi="Arial" w:cs="Arial"/>
          <w:color w:val="000000"/>
          <w:szCs w:val="20"/>
        </w:rPr>
        <w:t xml:space="preserve">mení a </w:t>
      </w:r>
      <w:r>
        <w:rPr>
          <w:rFonts w:ascii="Arial" w:hAnsi="Arial" w:cs="Arial"/>
          <w:color w:val="000000"/>
          <w:szCs w:val="20"/>
        </w:rPr>
        <w:t>dopĺňa takto:</w:t>
      </w:r>
    </w:p>
    <w:p w:rsidR="00FF3A85" w:rsidP="00FF3A85">
      <w:pPr>
        <w:rPr>
          <w:rFonts w:ascii="Arial" w:hAnsi="Arial" w:cs="Arial"/>
        </w:rPr>
      </w:pPr>
    </w:p>
    <w:p w:rsidR="00FF3A85" w:rsidP="00FF3A85">
      <w:pPr>
        <w:ind w:left="360" w:hanging="360"/>
        <w:jc w:val="both"/>
        <w:rPr>
          <w:rFonts w:ascii="Arial" w:hAnsi="Arial" w:cs="Arial"/>
        </w:rPr>
      </w:pPr>
      <w:r>
        <w:rPr>
          <w:rFonts w:ascii="Arial" w:hAnsi="Arial" w:cs="Arial"/>
        </w:rPr>
        <w:t>1.  V § 3 sa za slovo „azylant,“ vkladajú slová „cudzinec, ktorému sa poskytla doplnková ochrana“.</w:t>
      </w:r>
    </w:p>
    <w:p w:rsidR="006F4395" w:rsidP="00FF3A85">
      <w:pPr>
        <w:ind w:left="360"/>
        <w:jc w:val="center"/>
        <w:rPr>
          <w:rFonts w:ascii="Arial" w:hAnsi="Arial" w:cs="Arial"/>
        </w:rPr>
      </w:pPr>
    </w:p>
    <w:p w:rsidR="006F4395" w:rsidP="00FF3A85">
      <w:pPr>
        <w:jc w:val="both"/>
        <w:rPr>
          <w:rFonts w:ascii="Arial" w:hAnsi="Arial" w:cs="Arial"/>
          <w:bCs/>
        </w:rPr>
      </w:pPr>
      <w:r w:rsidR="00FF3A85">
        <w:rPr>
          <w:rFonts w:ascii="Arial" w:hAnsi="Arial" w:cs="Arial"/>
          <w:bCs/>
        </w:rPr>
        <w:t>2</w:t>
      </w:r>
      <w:r>
        <w:rPr>
          <w:rFonts w:ascii="Arial" w:hAnsi="Arial" w:cs="Arial"/>
          <w:bCs/>
        </w:rPr>
        <w:t xml:space="preserve">. </w:t>
      </w:r>
      <w:r w:rsidR="00FF3A85">
        <w:rPr>
          <w:rFonts w:ascii="Arial" w:hAnsi="Arial" w:cs="Arial"/>
          <w:bCs/>
        </w:rPr>
        <w:t xml:space="preserve"> </w:t>
      </w:r>
      <w:r>
        <w:rPr>
          <w:rFonts w:ascii="Arial" w:hAnsi="Arial" w:cs="Arial"/>
          <w:bCs/>
        </w:rPr>
        <w:t>V § 13</w:t>
      </w:r>
      <w:r>
        <w:rPr>
          <w:rFonts w:ascii="Arial" w:hAnsi="Arial" w:cs="Arial"/>
          <w:bCs/>
        </w:rPr>
        <w:t xml:space="preserve"> odsek 4 znie:</w:t>
      </w:r>
    </w:p>
    <w:p w:rsidR="006F4395" w:rsidP="00FF3A85">
      <w:pPr>
        <w:ind w:left="360" w:firstLine="348"/>
        <w:jc w:val="both"/>
        <w:rPr>
          <w:rFonts w:ascii="Arial" w:hAnsi="Arial" w:cs="Arial"/>
          <w:bCs/>
        </w:rPr>
      </w:pPr>
      <w:r>
        <w:rPr>
          <w:rFonts w:ascii="Arial" w:hAnsi="Arial" w:cs="Arial"/>
          <w:bCs/>
        </w:rPr>
        <w:t>„(4) Za bývanie sa na účely príspevku na bývanie považuje aj bývanie spojené s poskytovaním starostlivosti  v zariadení sociálnych služieb celoročne.“.</w:t>
      </w:r>
    </w:p>
    <w:p w:rsidR="006F4395" w:rsidP="00FF3A85">
      <w:pPr>
        <w:ind w:left="360"/>
        <w:jc w:val="both"/>
        <w:rPr>
          <w:rFonts w:ascii="Arial" w:hAnsi="Arial" w:cs="Arial"/>
          <w:bCs/>
        </w:rPr>
      </w:pPr>
    </w:p>
    <w:p w:rsidR="006F4395" w:rsidP="00FF3A85">
      <w:pPr>
        <w:pStyle w:val="BodyText"/>
        <w:spacing w:line="240" w:lineRule="auto"/>
        <w:rPr>
          <w:bCs/>
        </w:rPr>
      </w:pPr>
      <w:r w:rsidR="00FF3A85">
        <w:rPr>
          <w:bCs/>
        </w:rPr>
        <w:t>3</w:t>
      </w:r>
      <w:r>
        <w:rPr>
          <w:bCs/>
        </w:rPr>
        <w:t xml:space="preserve">. </w:t>
      </w:r>
      <w:r w:rsidR="00FF3A85">
        <w:rPr>
          <w:bCs/>
        </w:rPr>
        <w:t xml:space="preserve"> </w:t>
      </w:r>
      <w:r>
        <w:rPr>
          <w:bCs/>
        </w:rPr>
        <w:t xml:space="preserve">V § 13 ods. 7 sa slová „odseky 3 až 6“ nahrádzajú slovami „odseky 3, </w:t>
      </w:r>
      <w:smartTag w:uri="urn:schemas-microsoft-com:office:smarttags" w:element="metricconverter">
        <w:smartTagPr>
          <w:attr w:name="ProductID" w:val="5 a"/>
        </w:smartTagPr>
        <w:r>
          <w:rPr>
            <w:bCs/>
          </w:rPr>
          <w:t>5 a</w:t>
        </w:r>
      </w:smartTag>
      <w:r>
        <w:rPr>
          <w:bCs/>
        </w:rPr>
        <w:t xml:space="preserve"> 6“.</w:t>
      </w:r>
    </w:p>
    <w:p w:rsidR="00FF3A85" w:rsidP="00FF3A85">
      <w:pPr>
        <w:ind w:left="360"/>
        <w:jc w:val="both"/>
        <w:rPr>
          <w:rFonts w:ascii="Arial" w:hAnsi="Arial" w:cs="Arial"/>
          <w:bCs/>
        </w:rPr>
      </w:pPr>
    </w:p>
    <w:p w:rsidR="006F4395" w:rsidRPr="00FF3A85" w:rsidP="00FF3A85">
      <w:pPr>
        <w:pStyle w:val="BodyText"/>
        <w:spacing w:line="240" w:lineRule="auto"/>
        <w:rPr>
          <w:bCs/>
        </w:rPr>
      </w:pPr>
      <w:r w:rsidR="00FF3A85">
        <w:t>4</w:t>
      </w:r>
      <w:r>
        <w:t>.</w:t>
      </w:r>
      <w:r w:rsidR="00FF3A85">
        <w:t xml:space="preserve"> </w:t>
      </w:r>
      <w:r>
        <w:t xml:space="preserve"> V </w:t>
      </w:r>
      <w:r>
        <w:t>§ 13 odsek 8 znie:</w:t>
      </w:r>
    </w:p>
    <w:p w:rsidR="006F4395" w:rsidP="00FF3A85">
      <w:pPr>
        <w:pStyle w:val="BodyTextIndent"/>
        <w:spacing w:line="240" w:lineRule="auto"/>
        <w:ind w:left="0"/>
      </w:pPr>
      <w:r>
        <w:t xml:space="preserve"> „(8) Odseky 3, </w:t>
      </w:r>
      <w:smartTag w:uri="urn:schemas-microsoft-com:office:smarttags" w:element="metricconverter">
        <w:smartTagPr>
          <w:attr w:name="ProductID" w:val="5 a"/>
        </w:smartTagPr>
        <w:r>
          <w:t>5 a</w:t>
        </w:r>
      </w:smartTag>
      <w:r>
        <w:t xml:space="preserve"> 6 sa nepoužijú, ak občanovi </w:t>
      </w:r>
      <w:r>
        <w:t>v hmotnej núdzi alebo niektorej z fyzických osôb, ktorá sa s občanom v hmotnej núdzi spoločne posudzuje, sa poskytuje starostlivosť v zariadení sociálnych služieb celoročne s poskytovaním bývania.“.</w:t>
      </w:r>
    </w:p>
    <w:p w:rsidR="00FF3A85" w:rsidP="00FF3A85">
      <w:pPr>
        <w:pStyle w:val="BodyTextIndent"/>
        <w:spacing w:line="240" w:lineRule="auto"/>
        <w:ind w:left="0" w:firstLine="0"/>
      </w:pPr>
    </w:p>
    <w:p w:rsidR="00FF3A85" w:rsidP="00FF3A85">
      <w:pPr>
        <w:pStyle w:val="BodyTextIndent"/>
        <w:spacing w:line="240" w:lineRule="auto"/>
        <w:ind w:hanging="360"/>
      </w:pPr>
      <w:r>
        <w:t>5.  V § 19 ods. 9 sa slová „od 1. januára 2008“ nahrádzajú slovami „od 1. januára 2009“.</w:t>
      </w:r>
    </w:p>
    <w:p w:rsidR="00FF3A85" w:rsidP="00FF3A85">
      <w:pPr>
        <w:pStyle w:val="BodyTextIndent"/>
        <w:spacing w:line="240" w:lineRule="auto"/>
        <w:ind w:hanging="360"/>
      </w:pPr>
    </w:p>
    <w:p w:rsidR="00FF3A85" w:rsidP="00FF3A85">
      <w:pPr>
        <w:pStyle w:val="BodyTextIndent"/>
        <w:spacing w:line="240" w:lineRule="auto"/>
        <w:ind w:hanging="360"/>
      </w:pPr>
      <w:r>
        <w:t>6.  V § 33d sa slová „pred 1. januárom 2008“ nahrádzajú slovami „pred 1. januárom 2009“, slová „k 31. decembru 2007“ sa nahrádzajú slovami „k 31. decembru 2008“, slová „dňom 31. decembra 2007“ sa nahrádzajú slovami „dňom 31. decembra 2008“ a slová „od 1. januára 2008“ sa nahrádzajú slovami „od 1. januára 2009“.</w:t>
      </w:r>
    </w:p>
    <w:p w:rsidR="006F4395" w:rsidP="00FF3A85">
      <w:pPr>
        <w:pStyle w:val="BodyTextIndent"/>
        <w:spacing w:line="240" w:lineRule="auto"/>
        <w:ind w:left="0"/>
      </w:pPr>
    </w:p>
    <w:p w:rsidR="006F4395" w:rsidP="00FF3A85">
      <w:pPr>
        <w:pStyle w:val="BodyTextIndent2"/>
        <w:spacing w:line="240" w:lineRule="auto"/>
        <w:ind w:left="0"/>
        <w:rPr>
          <w:bCs w:val="0"/>
        </w:rPr>
      </w:pPr>
      <w:r w:rsidR="00FF3A85">
        <w:t xml:space="preserve">7.  </w:t>
      </w:r>
      <w:r>
        <w:rPr>
          <w:bCs w:val="0"/>
        </w:rPr>
        <w:t xml:space="preserve">Za § </w:t>
      </w:r>
      <w:smartTag w:uri="urn:schemas-microsoft-com:office:smarttags" w:element="metricconverter">
        <w:smartTagPr>
          <w:attr w:name="ProductID" w:val="33f"/>
        </w:smartTagPr>
        <w:r>
          <w:rPr>
            <w:bCs w:val="0"/>
          </w:rPr>
          <w:t>33f</w:t>
        </w:r>
      </w:smartTag>
      <w:r>
        <w:rPr>
          <w:bCs w:val="0"/>
        </w:rPr>
        <w:t xml:space="preserve"> sa vkladá § 33g, ktorý znie:</w:t>
      </w:r>
    </w:p>
    <w:p w:rsidR="006F4395" w:rsidP="00FF3A85">
      <w:pPr>
        <w:pStyle w:val="BodyTextIndent2"/>
        <w:spacing w:line="240" w:lineRule="auto"/>
        <w:jc w:val="center"/>
        <w:rPr>
          <w:bCs w:val="0"/>
        </w:rPr>
      </w:pPr>
      <w:r>
        <w:rPr>
          <w:bCs w:val="0"/>
        </w:rPr>
        <w:t>„§ 33g</w:t>
      </w:r>
    </w:p>
    <w:p w:rsidR="006F4395" w:rsidP="00FF3A85">
      <w:pPr>
        <w:pStyle w:val="BodyTextIndent2"/>
        <w:spacing w:line="240" w:lineRule="auto"/>
        <w:jc w:val="center"/>
        <w:rPr>
          <w:bCs w:val="0"/>
        </w:rPr>
      </w:pPr>
    </w:p>
    <w:p w:rsidR="006F4395" w:rsidP="00FF3A85">
      <w:pPr>
        <w:pStyle w:val="BodyTextIndent2"/>
        <w:spacing w:line="240" w:lineRule="auto"/>
        <w:rPr>
          <w:bCs w:val="0"/>
        </w:rPr>
      </w:pPr>
      <w:r>
        <w:rPr>
          <w:bCs w:val="0"/>
        </w:rPr>
        <w:tab/>
        <w:tab/>
        <w:t xml:space="preserve">Ak nárok na príspevok na bývanie vznikol v období od 1. augusta 2006 do 31. decembra 2006, § </w:t>
      </w:r>
      <w:smartTag w:uri="urn:schemas-microsoft-com:office:smarttags" w:element="metricconverter">
        <w:smartTagPr>
          <w:attr w:name="ProductID" w:val="33f"/>
        </w:smartTagPr>
        <w:r>
          <w:rPr>
            <w:bCs w:val="0"/>
          </w:rPr>
          <w:t>33f</w:t>
        </w:r>
      </w:smartTag>
      <w:r>
        <w:rPr>
          <w:bCs w:val="0"/>
        </w:rPr>
        <w:t xml:space="preserve"> sa po 31. decembri 2006 nepoužije. To platí aj vtedy, ak nárok na príspevok na bývanie vznikne v období od 1. januára 2007 do 31. júla 2007.“.</w:t>
      </w:r>
    </w:p>
    <w:p w:rsidR="006F4395" w:rsidP="004A5E71">
      <w:pPr>
        <w:pStyle w:val="BodyTextIndent2"/>
        <w:spacing w:line="240" w:lineRule="auto"/>
        <w:ind w:left="0"/>
        <w:rPr>
          <w:bCs w:val="0"/>
        </w:rPr>
      </w:pPr>
    </w:p>
    <w:p w:rsidR="006F4395" w:rsidP="004A5E71">
      <w:pPr>
        <w:pStyle w:val="BodyTextIndent2"/>
        <w:spacing w:line="240" w:lineRule="auto"/>
        <w:ind w:left="0"/>
        <w:jc w:val="center"/>
        <w:rPr>
          <w:b/>
          <w:bCs w:val="0"/>
        </w:rPr>
      </w:pPr>
      <w:r>
        <w:rPr>
          <w:b/>
          <w:bCs w:val="0"/>
        </w:rPr>
        <w:t>Čl. II</w:t>
      </w:r>
    </w:p>
    <w:p w:rsidR="006F4395" w:rsidP="004A5E71">
      <w:pPr>
        <w:pStyle w:val="BodyTextIndent2"/>
        <w:spacing w:line="240" w:lineRule="auto"/>
        <w:ind w:left="0"/>
        <w:jc w:val="center"/>
        <w:rPr>
          <w:b/>
          <w:bCs w:val="0"/>
        </w:rPr>
      </w:pPr>
      <w:r>
        <w:rPr>
          <w:b/>
          <w:bCs w:val="0"/>
        </w:rPr>
        <w:t>Účinnosť</w:t>
      </w:r>
    </w:p>
    <w:p w:rsidR="006F4395" w:rsidP="00FF3A85">
      <w:pPr>
        <w:pStyle w:val="BodyTextIndent2"/>
        <w:spacing w:line="240" w:lineRule="auto"/>
        <w:ind w:firstLine="348"/>
        <w:jc w:val="center"/>
        <w:rPr>
          <w:b/>
          <w:bCs w:val="0"/>
        </w:rPr>
      </w:pPr>
    </w:p>
    <w:p w:rsidR="006F4395" w:rsidP="004A5E71">
      <w:pPr>
        <w:pStyle w:val="BodyTextIndent2"/>
        <w:spacing w:line="240" w:lineRule="auto"/>
        <w:ind w:left="0"/>
        <w:jc w:val="center"/>
      </w:pPr>
      <w:r>
        <w:t>Tento zákon nadobúda účinnosť 1. januára 2007.</w:t>
      </w: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0"/>
        <w:jc w:val="center"/>
      </w:pPr>
      <w:r>
        <w:t>prezident Slovenskej republiky</w:t>
      </w: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0"/>
        <w:jc w:val="center"/>
      </w:pPr>
      <w:r>
        <w:t>predseda Národnej rady Slovenskej republiky</w:t>
      </w: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708" w:firstLine="708"/>
        <w:jc w:val="center"/>
      </w:pPr>
    </w:p>
    <w:p w:rsidR="004A5E71" w:rsidP="004A5E71">
      <w:pPr>
        <w:pStyle w:val="BodyTextIndent2"/>
        <w:spacing w:line="240" w:lineRule="auto"/>
        <w:ind w:left="0"/>
        <w:jc w:val="center"/>
      </w:pPr>
      <w:r>
        <w:t>predseda vlády Slovenskej republiky</w:t>
      </w:r>
    </w:p>
    <w:p w:rsidR="004A5E71" w:rsidP="004A5E71">
      <w:pPr>
        <w:pStyle w:val="BodyTextIndent2"/>
        <w:spacing w:line="240" w:lineRule="auto"/>
        <w:ind w:left="708" w:firstLine="708"/>
        <w:jc w:val="center"/>
      </w:pPr>
    </w:p>
    <w:p w:rsidR="001815B0" w:rsidP="00FF3A85">
      <w:pPr>
        <w:pStyle w:val="BodyTextIndent2"/>
        <w:spacing w:line="240" w:lineRule="auto"/>
        <w:ind w:left="708" w:firstLine="708"/>
      </w:pPr>
    </w:p>
    <w:p w:rsidR="001815B0" w:rsidP="00FF3A85">
      <w:pPr>
        <w:pStyle w:val="BodyTextIndent2"/>
        <w:spacing w:line="240" w:lineRule="auto"/>
        <w:ind w:left="708" w:firstLine="708"/>
      </w:pPr>
    </w:p>
    <w:p w:rsidR="001815B0" w:rsidP="00FF3A85">
      <w:pPr>
        <w:pStyle w:val="BodyTextIndent2"/>
        <w:spacing w:line="240" w:lineRule="auto"/>
        <w:ind w:left="708" w:firstLine="708"/>
      </w:pPr>
    </w:p>
    <w:p w:rsidR="001815B0" w:rsidP="00FF3A85">
      <w:pPr>
        <w:pStyle w:val="BodyTextIndent2"/>
        <w:spacing w:line="240" w:lineRule="auto"/>
        <w:ind w:left="708" w:firstLine="708"/>
      </w:pPr>
    </w:p>
    <w:p w:rsidR="001815B0" w:rsidP="00FF3A85">
      <w:pPr>
        <w:pStyle w:val="BodyTextIndent2"/>
        <w:spacing w:line="240" w:lineRule="auto"/>
        <w:ind w:left="708" w:firstLine="708"/>
      </w:pPr>
    </w:p>
    <w:p w:rsidR="001815B0" w:rsidP="00FF3A85">
      <w:pPr>
        <w:pStyle w:val="BodyTextIndent2"/>
        <w:spacing w:line="240" w:lineRule="auto"/>
        <w:ind w:left="708" w:firstLine="708"/>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71" w:rsidP="009D279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A5E7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71" w:rsidP="009D279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43923">
      <w:rPr>
        <w:rStyle w:val="PageNumber"/>
        <w:rFonts w:ascii="Times New Roman" w:hAnsi="Times New Roman" w:cs="Times New Roman"/>
        <w:noProof/>
      </w:rPr>
      <w:t>1</w:t>
    </w:r>
    <w:r>
      <w:rPr>
        <w:rStyle w:val="PageNumber"/>
        <w:rFonts w:ascii="Times New Roman" w:hAnsi="Times New Roman" w:cs="Times New Roman"/>
      </w:rPr>
      <w:fldChar w:fldCharType="end"/>
    </w:r>
  </w:p>
  <w:p w:rsidR="004A5E71">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6455"/>
    <w:multiLevelType w:val="hybridMultilevel"/>
    <w:tmpl w:val="FF58A010"/>
    <w:lvl w:ilvl="0">
      <w:start w:val="1"/>
      <w:numFmt w:val="decimal"/>
      <w:lvlText w:val="(%1)"/>
      <w:lvlJc w:val="left"/>
      <w:pPr>
        <w:tabs>
          <w:tab w:val="num" w:pos="1848"/>
        </w:tabs>
        <w:ind w:left="1848" w:hanging="114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18D43E41"/>
    <w:multiLevelType w:val="hybridMultilevel"/>
    <w:tmpl w:val="032E68C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C5299F"/>
    <w:multiLevelType w:val="hybridMultilevel"/>
    <w:tmpl w:val="2D86F682"/>
    <w:lvl w:ilvl="0">
      <w:start w:val="2"/>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F7F499C"/>
    <w:multiLevelType w:val="hybridMultilevel"/>
    <w:tmpl w:val="003C3718"/>
    <w:lvl w:ilvl="0">
      <w:start w:val="1"/>
      <w:numFmt w:val="decimal"/>
      <w:lvlText w:val="%1."/>
      <w:lvlJc w:val="left"/>
      <w:pPr>
        <w:tabs>
          <w:tab w:val="num" w:pos="720"/>
        </w:tabs>
        <w:ind w:left="720" w:hanging="360"/>
      </w:pPr>
      <w:rPr>
        <w:b/>
        <w:rtl w:val="0"/>
      </w:rPr>
    </w:lvl>
    <w:lvl w:ilvl="1">
      <w:start w:val="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302B20"/>
    <w:multiLevelType w:val="hybridMultilevel"/>
    <w:tmpl w:val="CF406AAA"/>
    <w:lvl w:ilvl="0">
      <w:start w:val="2"/>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62645445"/>
    <w:multiLevelType w:val="hybridMultilevel"/>
    <w:tmpl w:val="E2568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E34779"/>
    <w:multiLevelType w:val="hybridMultilevel"/>
    <w:tmpl w:val="5D3071F0"/>
    <w:lvl w:ilvl="0">
      <w:start w:val="4"/>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815B0"/>
    <w:rsid w:val="004A5E71"/>
    <w:rsid w:val="006F4395"/>
    <w:rsid w:val="009D2793"/>
    <w:rsid w:val="00B43923"/>
    <w:rsid w:val="00FF3A8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rFonts w:ascii="Arial" w:hAnsi="Arial" w:cs="Arial"/>
      <w:b/>
      <w:bCs/>
      <w:color w:val="000000"/>
      <w:szCs w:val="20"/>
    </w:rPr>
  </w:style>
  <w:style w:type="paragraph" w:styleId="Heading2">
    <w:name w:val="heading 2"/>
    <w:basedOn w:val="Normal"/>
    <w:next w:val="Normal"/>
    <w:qFormat/>
    <w:rsid w:val="009807EF"/>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9807EF"/>
    <w:pPr>
      <w:keepNext/>
      <w:spacing w:before="240" w:after="60"/>
      <w:jc w:val="left"/>
      <w:outlineLvl w:val="2"/>
    </w:pPr>
    <w:rPr>
      <w:rFonts w:ascii="Arial" w:hAnsi="Arial" w:cs="Arial"/>
      <w:b/>
      <w:bCs/>
      <w:sz w:val="26"/>
      <w:szCs w:val="26"/>
    </w:rPr>
  </w:style>
  <w:style w:type="paragraph" w:styleId="Heading4">
    <w:name w:val="heading 4"/>
    <w:basedOn w:val="Normal"/>
    <w:next w:val="Normal"/>
    <w:qFormat/>
    <w:rsid w:val="009807EF"/>
    <w:pPr>
      <w:keepNext/>
      <w:spacing w:before="240" w:after="60"/>
      <w:jc w:val="left"/>
      <w:outlineLvl w:val="3"/>
    </w:pPr>
    <w:rPr>
      <w:b/>
      <w:bCs/>
      <w:sz w:val="28"/>
      <w:szCs w:val="28"/>
    </w:rPr>
  </w:style>
  <w:style w:type="character" w:default="1" w:styleId="DefaultParagraphFont">
    <w:name w:val="Default Paragraph Font"/>
    <w:semiHidden/>
  </w:style>
  <w:style w:type="paragraph" w:styleId="BodyText">
    <w:name w:val="Body Text"/>
    <w:basedOn w:val="Normal"/>
    <w:pPr>
      <w:spacing w:line="360" w:lineRule="auto"/>
      <w:jc w:val="both"/>
    </w:pPr>
    <w:rPr>
      <w:rFonts w:ascii="Arial" w:hAnsi="Arial" w:cs="Arial"/>
    </w:rPr>
  </w:style>
  <w:style w:type="paragraph" w:styleId="BodyTextIndent">
    <w:name w:val="Body Text Indent"/>
    <w:basedOn w:val="Normal"/>
    <w:pPr>
      <w:spacing w:line="360" w:lineRule="auto"/>
      <w:ind w:left="360" w:firstLine="360"/>
      <w:jc w:val="both"/>
    </w:pPr>
    <w:rPr>
      <w:rFonts w:ascii="Arial" w:hAnsi="Arial" w:cs="Arial"/>
      <w:bCs/>
    </w:rPr>
  </w:style>
  <w:style w:type="paragraph" w:styleId="BodyTextIndent2">
    <w:name w:val="Body Text Indent 2"/>
    <w:basedOn w:val="Normal"/>
    <w:pPr>
      <w:spacing w:line="360" w:lineRule="auto"/>
      <w:ind w:left="360"/>
      <w:jc w:val="both"/>
    </w:pPr>
    <w:rPr>
      <w:rFonts w:ascii="Arial" w:hAnsi="Arial" w:cs="Arial"/>
      <w:bCs/>
    </w:rPr>
  </w:style>
  <w:style w:type="paragraph" w:styleId="BodyText2">
    <w:name w:val="Body Text 2"/>
    <w:basedOn w:val="Normal"/>
    <w:pPr>
      <w:spacing w:line="360" w:lineRule="auto"/>
      <w:jc w:val="center"/>
    </w:pPr>
    <w:rPr>
      <w:rFonts w:ascii="Arial" w:hAnsi="Arial" w:cs="Arial"/>
      <w:b/>
      <w:bCs/>
      <w:color w:val="000000"/>
      <w:szCs w:val="20"/>
    </w:rPr>
  </w:style>
  <w:style w:type="paragraph" w:styleId="Title">
    <w:name w:val="Title"/>
    <w:basedOn w:val="Normal"/>
    <w:qFormat/>
    <w:rsid w:val="009807EF"/>
    <w:pPr>
      <w:jc w:val="center"/>
    </w:pPr>
    <w:rPr>
      <w:rFonts w:ascii="Arial" w:hAnsi="Arial" w:cs="Arial"/>
      <w:sz w:val="28"/>
    </w:rPr>
  </w:style>
  <w:style w:type="paragraph" w:styleId="BodyTextIndent3">
    <w:name w:val="Body Text Indent 3"/>
    <w:basedOn w:val="Normal"/>
    <w:rsid w:val="00045CFA"/>
    <w:pPr>
      <w:spacing w:after="120"/>
      <w:ind w:left="283"/>
      <w:jc w:val="left"/>
    </w:pPr>
    <w:rPr>
      <w:sz w:val="16"/>
      <w:szCs w:val="16"/>
    </w:rPr>
  </w:style>
  <w:style w:type="paragraph" w:styleId="Footer">
    <w:name w:val="footer"/>
    <w:basedOn w:val="Normal"/>
    <w:rsid w:val="004A5E71"/>
    <w:pPr>
      <w:tabs>
        <w:tab w:val="center" w:pos="4536"/>
        <w:tab w:val="right" w:pos="9072"/>
      </w:tabs>
      <w:jc w:val="left"/>
    </w:pPr>
  </w:style>
  <w:style w:type="character" w:styleId="PageNumber">
    <w:name w:val="page number"/>
    <w:basedOn w:val="DefaultParagraphFont"/>
    <w:rsid w:val="004A5E7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1</Pages>
  <Words>326</Words>
  <Characters>1863</Characters>
  <Application>Microsoft Office Word</Application>
  <DocSecurity>0</DocSecurity>
  <Lines>0</Lines>
  <Paragraphs>0</Paragraphs>
  <ScaleCrop>false</ScaleCrop>
  <Company>mpsvr</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janikova</dc:creator>
  <cp:lastModifiedBy>Administrator</cp:lastModifiedBy>
  <cp:revision>4</cp:revision>
  <cp:lastPrinted>2006-09-26T16:27:00Z</cp:lastPrinted>
  <dcterms:created xsi:type="dcterms:W3CDTF">2006-12-05T14:40:00Z</dcterms:created>
  <dcterms:modified xsi:type="dcterms:W3CDTF">2006-12-06T17:45:00Z</dcterms:modified>
</cp:coreProperties>
</file>