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both"/>
        <w:rPr>
          <w:rFonts w:ascii="Times New Roman" w:hAnsi="Times New Roman" w:cs="Times New Roman"/>
          <w:b/>
        </w:rPr>
      </w:pPr>
    </w:p>
    <w:p>
      <w:pPr>
        <w:jc w:val="center"/>
        <w:rPr>
          <w:rFonts w:ascii="Times New Roman" w:hAnsi="Times New Roman" w:cs="Times New Roman"/>
          <w:b/>
        </w:rPr>
      </w:pPr>
      <w:r>
        <w:rPr>
          <w:rFonts w:ascii="Times New Roman" w:hAnsi="Times New Roman" w:cs="Times New Roman"/>
          <w:b/>
        </w:rPr>
        <w:t>ODÔVODNENIE</w:t>
      </w:r>
    </w:p>
    <w:p>
      <w:pPr>
        <w:jc w:val="both"/>
        <w:rPr>
          <w:rFonts w:ascii="Times New Roman" w:hAnsi="Times New Roman" w:cs="Times New Roman"/>
          <w:b/>
        </w:rPr>
      </w:pPr>
    </w:p>
    <w:p>
      <w:pPr>
        <w:jc w:val="both"/>
        <w:rPr>
          <w:rFonts w:ascii="Times New Roman" w:hAnsi="Times New Roman" w:cs="Times New Roman"/>
          <w:b/>
        </w:rPr>
      </w:pPr>
      <w:r>
        <w:rPr>
          <w:rFonts w:ascii="Times New Roman" w:hAnsi="Times New Roman" w:cs="Times New Roman"/>
          <w:b/>
        </w:rPr>
        <w:t>Všeobecná časť</w:t>
      </w:r>
    </w:p>
    <w:p>
      <w:pPr>
        <w:jc w:val="both"/>
        <w:rPr>
          <w:rFonts w:ascii="Times New Roman" w:hAnsi="Times New Roman" w:cs="Times New Roman"/>
          <w:b/>
        </w:rPr>
      </w:pPr>
    </w:p>
    <w:p>
      <w:pPr>
        <w:pStyle w:val="BodyText"/>
        <w:rPr>
          <w:rFonts w:ascii="Times New Roman" w:hAnsi="Times New Roman" w:cs="Times New Roman"/>
        </w:rPr>
      </w:pPr>
      <w:r>
        <w:rPr>
          <w:rFonts w:ascii="Times New Roman" w:hAnsi="Times New Roman" w:cs="Times New Roman"/>
        </w:rPr>
        <w:tab/>
        <w:t>Návrh  vyhlášky upravuje postup pri klasifikácii jatočných ošípaných s cieľom vytvoriť legislatívne predpoklady pre riadny obchod s mäsom a jasné obchodné vzťahy s mäsom jatočných ošípaných. Túto klasifikáciu musia vykonávať na to odborne spôsobilé osoby. Preto sa v súlade so splnomocnením uvedeným v § 7 ods. 7 zákona č. 491/2001 Z. z. o organizovaní trhu s vybranými poľnohospodárskymi výrobkami v znení zákona č. .../2006 Z. z. ustanovujú aj podrobnosti o vydávaní osvedčenia o</w:t>
      </w:r>
      <w:r>
        <w:rPr>
          <w:rFonts w:ascii="Times New Roman" w:hAnsi="Times New Roman" w:cs="Times New Roman"/>
        </w:rPr>
        <w:t> odbornej spôsobilosti klasifikátorov.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Vyhláška nahradí v súčasnosti platnú vyhlášku Ministerstva pôdohospodárstva Slovenskej republiky č. 464/2004 Z. z. o klasifikácii jatočných ošípaných a o vydaní osvedčenia o odbornej spôsobilosti. </w:t>
      </w:r>
    </w:p>
    <w:p>
      <w:pPr>
        <w:jc w:val="both"/>
        <w:rPr>
          <w:rFonts w:ascii="Times New Roman" w:hAnsi="Times New Roman" w:cs="Times New Roman"/>
        </w:rPr>
      </w:pPr>
      <w:r>
        <w:rPr>
          <w:rFonts w:ascii="Times New Roman" w:hAnsi="Times New Roman" w:cs="Times New Roman"/>
        </w:rPr>
        <w:tab/>
      </w:r>
    </w:p>
    <w:p>
      <w:pPr>
        <w:ind w:firstLine="708"/>
        <w:jc w:val="both"/>
        <w:rPr>
          <w:rFonts w:ascii="Times New Roman" w:hAnsi="Times New Roman" w:cs="Times New Roman"/>
        </w:rPr>
      </w:pPr>
      <w:r>
        <w:rPr>
          <w:rFonts w:ascii="Times New Roman" w:hAnsi="Times New Roman" w:cs="Times New Roman"/>
        </w:rPr>
        <w:t xml:space="preserve">Návrh vyhlášky je zosúladený s vecne príslušnou legislatívou Európskych spoločenstiev a Európskej únie a je v súlade s Ústavou Slovenskej republiky, všeobecne záväznými právnymi predpismi, ako aj s medzinárodnými zmluvami, ktorými je Slovenská republika viazaná. </w:t>
      </w:r>
    </w:p>
    <w:p>
      <w:pPr>
        <w:jc w:val="both"/>
        <w:rPr>
          <w:rFonts w:ascii="Times New Roman" w:hAnsi="Times New Roman" w:cs="Times New Roman"/>
        </w:rPr>
      </w:pPr>
      <w:r>
        <w:rPr>
          <w:rFonts w:ascii="Times New Roman" w:hAnsi="Times New Roman" w:cs="Times New Roman"/>
        </w:rPr>
        <w:t xml:space="preserve"> </w:t>
      </w:r>
    </w:p>
    <w:p>
      <w:pPr>
        <w:ind w:firstLine="708"/>
        <w:jc w:val="both"/>
        <w:rPr>
          <w:rFonts w:ascii="Times New Roman" w:hAnsi="Times New Roman" w:cs="Times New Roman"/>
        </w:rPr>
      </w:pPr>
      <w:r>
        <w:rPr>
          <w:rFonts w:ascii="Times New Roman" w:hAnsi="Times New Roman" w:cs="Times New Roman"/>
        </w:rPr>
        <w:t xml:space="preserve">Predložený návrh vyhlášky nemá dopad na štátny rozpočet, rozpočty vyšších územných celkov, rozpočty obcí, nebude mať vplyv na zamestnanosť, životné prostredie a na podnikateľské prostredie. </w:t>
      </w:r>
    </w:p>
    <w:p>
      <w:pPr>
        <w:rPr>
          <w:rFonts w:ascii="Times New Roman" w:hAnsi="Times New Roman" w:cs="Times New Roman"/>
        </w:rPr>
      </w:pPr>
    </w:p>
    <w:p>
      <w:pPr>
        <w:rPr>
          <w:rFonts w:ascii="Times New Roman" w:hAnsi="Times New Roman" w:cs="Times New Roman"/>
          <w:b/>
        </w:rPr>
      </w:pPr>
      <w:r>
        <w:rPr>
          <w:rFonts w:ascii="Times New Roman" w:hAnsi="Times New Roman" w:cs="Times New Roman"/>
        </w:rPr>
        <w:tab/>
      </w:r>
    </w:p>
    <w:p>
      <w:pPr>
        <w:pStyle w:val="nzovlnok"/>
        <w:spacing w:line="240" w:lineRule="auto"/>
        <w:rPr>
          <w:rFonts w:ascii="Times New Roman" w:hAnsi="Times New Roman" w:cs="Times New Roman"/>
          <w:sz w:val="24"/>
          <w:szCs w:val="24"/>
        </w:rPr>
      </w:pPr>
      <w:r>
        <w:rPr>
          <w:rFonts w:ascii="Times New Roman" w:hAnsi="Times New Roman" w:cs="Times New Roman"/>
          <w:sz w:val="24"/>
          <w:szCs w:val="24"/>
        </w:rPr>
        <w:t>DOLOŽKA  ZLUČITEĽNOSTI</w:t>
      </w:r>
    </w:p>
    <w:p>
      <w:pPr>
        <w:jc w:val="center"/>
        <w:rPr>
          <w:rFonts w:ascii="Times New Roman" w:hAnsi="Times New Roman" w:cs="Times New Roman"/>
          <w:b/>
        </w:rPr>
      </w:pPr>
      <w:r>
        <w:rPr>
          <w:rFonts w:ascii="Times New Roman" w:hAnsi="Times New Roman" w:cs="Times New Roman"/>
          <w:b/>
        </w:rPr>
        <w:t>právneho predpisu</w:t>
      </w:r>
    </w:p>
    <w:p>
      <w:pPr>
        <w:pStyle w:val="nzovlnok"/>
        <w:spacing w:line="240" w:lineRule="auto"/>
        <w:rPr>
          <w:rFonts w:ascii="Times New Roman" w:hAnsi="Times New Roman" w:cs="Times New Roman"/>
          <w:sz w:val="24"/>
          <w:szCs w:val="24"/>
        </w:rPr>
      </w:pPr>
      <w:r>
        <w:rPr>
          <w:rFonts w:ascii="Times New Roman" w:hAnsi="Times New Roman" w:cs="Times New Roman"/>
          <w:sz w:val="24"/>
          <w:szCs w:val="24"/>
        </w:rPr>
        <w:t>s právom Európskych spoločenstiev a právom Európskej únie</w:t>
      </w:r>
    </w:p>
    <w:p>
      <w:pPr>
        <w:rPr>
          <w:rFonts w:ascii="Times New Roman" w:hAnsi="Times New Roman" w:cs="Times New Roman"/>
        </w:rPr>
      </w:pPr>
    </w:p>
    <w:p>
      <w:pPr>
        <w:pStyle w:val="odrkaa"/>
        <w:tabs>
          <w:tab w:val="left" w:pos="284"/>
        </w:tabs>
        <w:spacing w:line="240" w:lineRule="auto"/>
        <w:rPr>
          <w:rFonts w:ascii="Times New Roman" w:hAnsi="Times New Roman" w:cs="Times New Roman"/>
          <w:szCs w:val="24"/>
        </w:rPr>
      </w:pPr>
    </w:p>
    <w:p>
      <w:pPr>
        <w:pStyle w:val="odrkaa"/>
        <w:numPr>
          <w:ilvl w:val="0"/>
          <w:numId w:val="1"/>
        </w:numPr>
        <w:tabs>
          <w:tab w:val="left" w:pos="284"/>
          <w:tab w:val="left" w:pos="360"/>
        </w:tabs>
        <w:spacing w:line="240" w:lineRule="auto"/>
        <w:rPr>
          <w:rFonts w:ascii="Times New Roman" w:hAnsi="Times New Roman" w:cs="Times New Roman"/>
          <w:szCs w:val="24"/>
        </w:rPr>
      </w:pPr>
      <w:r>
        <w:rPr>
          <w:rFonts w:ascii="Times New Roman" w:hAnsi="Times New Roman" w:cs="Times New Roman"/>
          <w:szCs w:val="24"/>
        </w:rPr>
        <w:t xml:space="preserve">Navrhovateľ právneho predpisu: Ministerstvo pôdohospodárstva Slovenskej republiky </w:t>
      </w:r>
    </w:p>
    <w:p>
      <w:pPr>
        <w:pStyle w:val="odrkaa"/>
        <w:tabs>
          <w:tab w:val="left" w:pos="284"/>
        </w:tabs>
        <w:spacing w:line="240" w:lineRule="auto"/>
        <w:rPr>
          <w:rFonts w:ascii="Times New Roman" w:hAnsi="Times New Roman" w:cs="Times New Roman"/>
          <w:szCs w:val="24"/>
        </w:rPr>
      </w:pPr>
    </w:p>
    <w:p>
      <w:pPr>
        <w:pStyle w:val="odrkaa"/>
        <w:numPr>
          <w:ilvl w:val="0"/>
          <w:numId w:val="1"/>
        </w:numPr>
        <w:tabs>
          <w:tab w:val="left" w:pos="284"/>
          <w:tab w:val="left" w:pos="360"/>
        </w:tabs>
        <w:spacing w:line="240" w:lineRule="auto"/>
        <w:ind w:left="284" w:hanging="284"/>
        <w:rPr>
          <w:rFonts w:ascii="Times New Roman" w:hAnsi="Times New Roman" w:cs="Times New Roman"/>
        </w:rPr>
      </w:pPr>
      <w:r>
        <w:rPr>
          <w:rFonts w:ascii="Times New Roman" w:hAnsi="Times New Roman" w:cs="Times New Roman"/>
          <w:szCs w:val="24"/>
        </w:rPr>
        <w:t xml:space="preserve">Názov návrhu právneho predpisu: Návrh vyhlášky Ministerstva pôdohospodárstva Slovenskej republiky, ktorou sa ustanovujú podrobnosti </w:t>
      </w:r>
      <w:r>
        <w:rPr>
          <w:rFonts w:ascii="Times New Roman" w:hAnsi="Times New Roman" w:cs="Times New Roman"/>
        </w:rPr>
        <w:t>o klasifikácii jatočných ošípaných a o odbornej príprave a osvedčení o odbornej spôsobilosti</w:t>
      </w:r>
    </w:p>
    <w:p>
      <w:pPr>
        <w:jc w:val="both"/>
        <w:rPr>
          <w:rFonts w:ascii="Times New Roman" w:hAnsi="Times New Roman" w:cs="Times New Roman"/>
        </w:rPr>
      </w:pPr>
    </w:p>
    <w:p>
      <w:pPr>
        <w:pStyle w:val="odrkaa"/>
        <w:numPr>
          <w:ilvl w:val="0"/>
          <w:numId w:val="1"/>
        </w:numPr>
        <w:tabs>
          <w:tab w:val="left" w:pos="284"/>
          <w:tab w:val="left" w:pos="360"/>
        </w:tabs>
        <w:spacing w:line="240" w:lineRule="auto"/>
        <w:rPr>
          <w:rFonts w:ascii="Times New Roman" w:hAnsi="Times New Roman" w:cs="Times New Roman"/>
          <w:szCs w:val="24"/>
        </w:rPr>
      </w:pPr>
      <w:r>
        <w:rPr>
          <w:rFonts w:ascii="Times New Roman" w:hAnsi="Times New Roman" w:cs="Times New Roman"/>
          <w:szCs w:val="24"/>
        </w:rPr>
        <w:t>Záväzky Slovenskej republiky vo vzťahu k Európskym spoločenstvám a Európskej únii:</w:t>
      </w:r>
    </w:p>
    <w:p>
      <w:pPr>
        <w:pStyle w:val="odrkaa"/>
        <w:tabs>
          <w:tab w:val="left" w:pos="284"/>
        </w:tabs>
        <w:spacing w:line="240" w:lineRule="auto"/>
        <w:rPr>
          <w:rFonts w:ascii="Times New Roman" w:hAnsi="Times New Roman" w:cs="Times New Roman"/>
          <w:szCs w:val="24"/>
        </w:rPr>
      </w:pPr>
    </w:p>
    <w:p>
      <w:pPr>
        <w:pStyle w:val="odrkaa"/>
        <w:numPr>
          <w:ilvl w:val="0"/>
          <w:numId w:val="2"/>
        </w:numPr>
        <w:tabs>
          <w:tab w:val="left" w:pos="284"/>
          <w:tab w:val="left" w:pos="764"/>
        </w:tabs>
        <w:spacing w:line="240" w:lineRule="auto"/>
        <w:rPr>
          <w:rFonts w:ascii="Times New Roman" w:hAnsi="Times New Roman" w:cs="Times New Roman"/>
          <w:szCs w:val="24"/>
        </w:rPr>
      </w:pPr>
      <w:r>
        <w:rPr>
          <w:rFonts w:ascii="Times New Roman" w:hAnsi="Times New Roman" w:cs="Times New Roman"/>
          <w:szCs w:val="24"/>
        </w:rPr>
        <w:t xml:space="preserve">návrh vyhlášky sa svojou problematikou dotýka prioritnej oblasti uvedenej v čl. 70 Európskej dohody o pridružení, ktorou je ochrana spotrebiteľa a patrí medzi priority odporúčané v Bielej knihe a to pre oblasť poľnohospodárstvo – poľnohospodárske trhy - bravčové mäso. </w:t>
      </w:r>
    </w:p>
    <w:p>
      <w:pPr>
        <w:pStyle w:val="odrkaa"/>
        <w:tabs>
          <w:tab w:val="left" w:pos="284"/>
        </w:tabs>
        <w:spacing w:line="240" w:lineRule="auto"/>
        <w:ind w:left="764"/>
        <w:rPr>
          <w:rFonts w:ascii="Times New Roman" w:hAnsi="Times New Roman" w:cs="Times New Roman"/>
          <w:szCs w:val="24"/>
        </w:rPr>
      </w:pPr>
      <w:r>
        <w:rPr>
          <w:rFonts w:ascii="Times New Roman" w:hAnsi="Times New Roman" w:cs="Times New Roman"/>
          <w:szCs w:val="24"/>
        </w:rPr>
        <w:t xml:space="preserve">Problematika návrhu vyhlášky je prioritou podľa Partnerstva pre vstup, je prioritou podľa screeningu 2001. </w:t>
      </w:r>
    </w:p>
    <w:p>
      <w:pPr>
        <w:pStyle w:val="odrkaa"/>
        <w:tabs>
          <w:tab w:val="left" w:pos="284"/>
        </w:tabs>
        <w:spacing w:line="240" w:lineRule="auto"/>
        <w:ind w:left="764"/>
        <w:rPr>
          <w:rFonts w:ascii="Times New Roman" w:hAnsi="Times New Roman" w:cs="Times New Roman"/>
          <w:szCs w:val="24"/>
        </w:rPr>
      </w:pPr>
    </w:p>
    <w:p>
      <w:pPr>
        <w:pStyle w:val="BodyTextIndent"/>
        <w:tabs>
          <w:tab w:val="left" w:pos="426"/>
        </w:tabs>
        <w:spacing w:after="0"/>
        <w:ind w:left="426" w:hanging="426"/>
        <w:jc w:val="both"/>
        <w:rPr>
          <w:rFonts w:ascii="Times New Roman" w:hAnsi="Times New Roman" w:cs="Times New Roman"/>
        </w:rPr>
      </w:pPr>
      <w:r>
        <w:rPr>
          <w:rFonts w:ascii="Times New Roman" w:hAnsi="Times New Roman" w:cs="Times New Roman"/>
        </w:rPr>
        <w:t xml:space="preserve">      b)    Slovenská republika akceptuje acquis platné v oblasti problematiky návrhu vyhlášky.</w:t>
      </w:r>
    </w:p>
    <w:p>
      <w:pPr>
        <w:tabs>
          <w:tab w:val="left" w:pos="709"/>
        </w:tabs>
        <w:ind w:left="709" w:hanging="425"/>
        <w:jc w:val="both"/>
        <w:rPr>
          <w:rFonts w:ascii="Times New Roman" w:hAnsi="Times New Roman" w:cs="Times New Roman"/>
        </w:rPr>
      </w:pPr>
    </w:p>
    <w:p>
      <w:pPr>
        <w:tabs>
          <w:tab w:val="left" w:pos="709"/>
        </w:tabs>
        <w:ind w:left="709" w:hanging="425"/>
        <w:jc w:val="both"/>
        <w:rPr>
          <w:rFonts w:ascii="Times New Roman" w:hAnsi="Times New Roman" w:cs="Times New Roman"/>
        </w:rPr>
      </w:pPr>
    </w:p>
    <w:p>
      <w:pPr>
        <w:tabs>
          <w:tab w:val="left" w:pos="709"/>
        </w:tabs>
        <w:ind w:left="709" w:hanging="425"/>
        <w:jc w:val="both"/>
        <w:rPr>
          <w:rFonts w:ascii="Times New Roman" w:hAnsi="Times New Roman" w:cs="Times New Roman"/>
        </w:rPr>
      </w:pPr>
    </w:p>
    <w:p>
      <w:pPr>
        <w:pStyle w:val="odrkaa"/>
        <w:numPr>
          <w:ilvl w:val="0"/>
          <w:numId w:val="1"/>
        </w:numPr>
        <w:tabs>
          <w:tab w:val="left" w:pos="284"/>
          <w:tab w:val="left" w:pos="360"/>
        </w:tabs>
        <w:spacing w:line="240" w:lineRule="auto"/>
        <w:rPr>
          <w:rFonts w:ascii="Times New Roman" w:hAnsi="Times New Roman" w:cs="Times New Roman"/>
          <w:szCs w:val="24"/>
        </w:rPr>
      </w:pPr>
      <w:r>
        <w:rPr>
          <w:rFonts w:ascii="Times New Roman" w:hAnsi="Times New Roman" w:cs="Times New Roman"/>
          <w:szCs w:val="24"/>
        </w:rPr>
        <w:t>Problematika návrhu právneho predpisu je v práve Európskych spoločenstiev upravená:</w:t>
      </w:r>
    </w:p>
    <w:p>
      <w:pPr>
        <w:pStyle w:val="odrkaa"/>
        <w:tabs>
          <w:tab w:val="left" w:pos="284"/>
        </w:tabs>
        <w:spacing w:line="240" w:lineRule="auto"/>
        <w:rPr>
          <w:rFonts w:ascii="Times New Roman" w:hAnsi="Times New Roman" w:cs="Times New Roman"/>
          <w:szCs w:val="24"/>
        </w:rPr>
      </w:pPr>
    </w:p>
    <w:p>
      <w:pPr>
        <w:pStyle w:val="odrkaa"/>
        <w:numPr>
          <w:ilvl w:val="0"/>
          <w:numId w:val="3"/>
        </w:numPr>
        <w:tabs>
          <w:tab w:val="left" w:pos="284"/>
          <w:tab w:val="left" w:pos="720"/>
        </w:tabs>
        <w:spacing w:line="240" w:lineRule="auto"/>
        <w:rPr>
          <w:rFonts w:ascii="Times New Roman" w:hAnsi="Times New Roman" w:cs="Times New Roman"/>
          <w:szCs w:val="24"/>
        </w:rPr>
      </w:pPr>
      <w:r>
        <w:rPr>
          <w:rFonts w:ascii="Times New Roman" w:hAnsi="Times New Roman" w:cs="Times New Roman"/>
          <w:szCs w:val="24"/>
        </w:rPr>
        <w:t>V primárnom práve sa problematika návrhu vyhlášky dotýka čl. 32 a 33 hlava II (Poľnohospodárstvo) a čl. 153 - hlava XIV (Ochrana spotrebiteľa) Zmluvy o založení Európskeho spoločenstva (amsterdamské znenie)</w:t>
      </w:r>
    </w:p>
    <w:p>
      <w:pPr>
        <w:pStyle w:val="odrkaa"/>
        <w:numPr>
          <w:ilvl w:val="0"/>
          <w:numId w:val="3"/>
        </w:numPr>
        <w:tabs>
          <w:tab w:val="left" w:pos="284"/>
          <w:tab w:val="left" w:pos="720"/>
        </w:tabs>
        <w:spacing w:line="240" w:lineRule="auto"/>
        <w:rPr>
          <w:rFonts w:ascii="Times New Roman" w:hAnsi="Times New Roman" w:cs="Times New Roman"/>
          <w:szCs w:val="24"/>
        </w:rPr>
      </w:pPr>
      <w:r>
        <w:rPr>
          <w:rFonts w:ascii="Times New Roman" w:hAnsi="Times New Roman" w:cs="Times New Roman"/>
          <w:szCs w:val="24"/>
        </w:rPr>
        <w:t>V sekundárnom práve je problematika návrhu vyhlášky uvedená</w:t>
      </w:r>
    </w:p>
    <w:p>
      <w:pPr>
        <w:pStyle w:val="odrkaa"/>
        <w:numPr>
          <w:ilvl w:val="0"/>
          <w:numId w:val="4"/>
        </w:numPr>
        <w:tabs>
          <w:tab w:val="left" w:pos="709"/>
          <w:tab w:val="left" w:pos="1080"/>
        </w:tabs>
        <w:spacing w:line="240" w:lineRule="auto"/>
        <w:rPr>
          <w:rFonts w:ascii="Times New Roman" w:hAnsi="Times New Roman" w:cs="Times New Roman"/>
          <w:szCs w:val="24"/>
        </w:rPr>
      </w:pPr>
      <w:r>
        <w:rPr>
          <w:rFonts w:ascii="Times New Roman" w:hAnsi="Times New Roman" w:cs="Times New Roman"/>
          <w:szCs w:val="24"/>
        </w:rPr>
        <w:t xml:space="preserve">v nariadení Rady (ES) č. 2759/75 z 29. októbra 1975 o spoločnej organizácii trhu s bravčovým mäsom </w:t>
      </w:r>
    </w:p>
    <w:p>
      <w:pPr>
        <w:pStyle w:val="odrkaa"/>
        <w:numPr>
          <w:ilvl w:val="0"/>
          <w:numId w:val="4"/>
        </w:numPr>
        <w:tabs>
          <w:tab w:val="left" w:pos="709"/>
          <w:tab w:val="left" w:pos="1080"/>
        </w:tabs>
        <w:spacing w:line="240" w:lineRule="auto"/>
        <w:rPr>
          <w:rFonts w:ascii="Times New Roman" w:hAnsi="Times New Roman" w:cs="Times New Roman"/>
          <w:szCs w:val="24"/>
        </w:rPr>
      </w:pPr>
      <w:r>
        <w:rPr>
          <w:rFonts w:ascii="Times New Roman" w:hAnsi="Times New Roman" w:cs="Times New Roman"/>
          <w:szCs w:val="24"/>
        </w:rPr>
        <w:t xml:space="preserve"> v </w:t>
      </w:r>
      <w:r>
        <w:rPr>
          <w:rFonts w:ascii="Times New Roman" w:hAnsi="Times New Roman" w:cs="Times New Roman"/>
        </w:rPr>
        <w:t>nariadení Komisie (EHS) č. 2967/85 z 24. októbra 1985, ktorým sa ustanovujú podrobné pravidlá uplatňovania stupnice spoločenstva na klasifikáciu jatočne opracovaných tiel ošíp</w:t>
      </w:r>
      <w:r>
        <w:rPr>
          <w:rFonts w:ascii="Times New Roman" w:hAnsi="Times New Roman" w:cs="Times New Roman"/>
        </w:rPr>
        <w:t xml:space="preserve">aných </w:t>
      </w:r>
    </w:p>
    <w:p>
      <w:pPr>
        <w:pStyle w:val="odrkaa"/>
        <w:numPr>
          <w:ilvl w:val="0"/>
          <w:numId w:val="4"/>
        </w:numPr>
        <w:tabs>
          <w:tab w:val="left" w:pos="709"/>
          <w:tab w:val="left" w:pos="1080"/>
        </w:tabs>
        <w:spacing w:line="240" w:lineRule="auto"/>
        <w:rPr>
          <w:rFonts w:ascii="Times New Roman" w:hAnsi="Times New Roman" w:cs="Times New Roman"/>
          <w:szCs w:val="24"/>
        </w:rPr>
      </w:pPr>
      <w:r>
        <w:rPr>
          <w:rFonts w:ascii="Times New Roman" w:hAnsi="Times New Roman" w:cs="Times New Roman"/>
        </w:rPr>
        <w:t xml:space="preserve">v nariadení Rady (EHS) č. 3513/93 zo 14. decembra 1993, ktorým sa mení a dopĺňa nariadenie (EHS) č. 3220/84 určujúce stupnicu spoločenstva pre zatrieďovanie jatočných tiel ošípaných </w:t>
      </w:r>
    </w:p>
    <w:p>
      <w:pPr>
        <w:pStyle w:val="odrkaa"/>
        <w:numPr>
          <w:ilvl w:val="0"/>
          <w:numId w:val="4"/>
        </w:numPr>
        <w:tabs>
          <w:tab w:val="left" w:pos="709"/>
          <w:tab w:val="left" w:pos="1080"/>
        </w:tabs>
        <w:spacing w:line="240" w:lineRule="auto"/>
        <w:rPr>
          <w:rFonts w:ascii="Times New Roman" w:hAnsi="Times New Roman" w:cs="Times New Roman"/>
          <w:szCs w:val="24"/>
        </w:rPr>
      </w:pPr>
      <w:r>
        <w:rPr>
          <w:rFonts w:ascii="Times New Roman" w:hAnsi="Times New Roman" w:cs="Times New Roman"/>
        </w:rPr>
        <w:t xml:space="preserve">v nariadení Komisie (ES) č. 3127/94 z 20. decembra 1994, ktorým sa mení a dopĺňa nariadenie (EHS) č. 2967/85 ustanovujúce podrobné pravidlá uplatňovania stupnice spoločenstva pre klasifikáciu jatočných tiel ošípaných </w:t>
      </w:r>
    </w:p>
    <w:p>
      <w:pPr>
        <w:pStyle w:val="odrkaa"/>
        <w:numPr>
          <w:ilvl w:val="0"/>
          <w:numId w:val="4"/>
        </w:numPr>
        <w:tabs>
          <w:tab w:val="left" w:pos="709"/>
          <w:tab w:val="left" w:pos="1080"/>
        </w:tabs>
        <w:spacing w:line="240" w:lineRule="auto"/>
        <w:rPr>
          <w:rFonts w:ascii="Times New Roman" w:hAnsi="Times New Roman" w:cs="Times New Roman"/>
          <w:szCs w:val="24"/>
        </w:rPr>
      </w:pPr>
      <w:r>
        <w:rPr>
          <w:rFonts w:ascii="Times New Roman" w:hAnsi="Times New Roman" w:cs="Times New Roman"/>
        </w:rPr>
        <w:t xml:space="preserve">v nariadení Komisie (EHS) č. 2810/95 z 5. decembra 1995 o colnom zatriedení jatočných tiel a jatočných polovičiek z ošípaných a ktorým sa mení a dopĺňa nariadenie Rady (EHS) č. 2658/87 o tarifnej a štatistickej nomenklatúre a o spoločnom colnom sadzobníku </w:t>
      </w:r>
    </w:p>
    <w:p>
      <w:pPr>
        <w:pStyle w:val="odrkaa"/>
        <w:numPr>
          <w:ilvl w:val="0"/>
          <w:numId w:val="3"/>
        </w:numPr>
        <w:tabs>
          <w:tab w:val="left" w:pos="284"/>
          <w:tab w:val="left" w:pos="720"/>
        </w:tabs>
        <w:spacing w:line="240" w:lineRule="auto"/>
        <w:rPr>
          <w:rFonts w:ascii="Times New Roman" w:hAnsi="Times New Roman" w:cs="Times New Roman"/>
          <w:szCs w:val="24"/>
        </w:rPr>
      </w:pPr>
      <w:r>
        <w:rPr>
          <w:rFonts w:ascii="Times New Roman" w:hAnsi="Times New Roman" w:cs="Times New Roman"/>
          <w:szCs w:val="24"/>
        </w:rPr>
        <w:t>Oficiálne preklady uvedených predpisov EÚ do slovenského jazyka sa nachádzajú v Centrálnej prekladateľskej jednotke (CPJ) Úradu vlády SR.</w:t>
      </w:r>
    </w:p>
    <w:p>
      <w:pPr>
        <w:pStyle w:val="odrkaa"/>
        <w:tabs>
          <w:tab w:val="left" w:pos="284"/>
        </w:tabs>
        <w:spacing w:line="240" w:lineRule="auto"/>
        <w:rPr>
          <w:rFonts w:ascii="Times New Roman" w:hAnsi="Times New Roman" w:cs="Times New Roman"/>
          <w:szCs w:val="24"/>
        </w:rPr>
      </w:pPr>
    </w:p>
    <w:p>
      <w:pPr>
        <w:pStyle w:val="odrkaa"/>
        <w:numPr>
          <w:ilvl w:val="0"/>
          <w:numId w:val="1"/>
        </w:numPr>
        <w:tabs>
          <w:tab w:val="left" w:pos="284"/>
          <w:tab w:val="left" w:pos="360"/>
        </w:tabs>
        <w:spacing w:line="240" w:lineRule="auto"/>
        <w:ind w:left="284"/>
        <w:rPr>
          <w:rFonts w:ascii="Times New Roman" w:hAnsi="Times New Roman" w:cs="Times New Roman"/>
          <w:szCs w:val="24"/>
        </w:rPr>
      </w:pPr>
      <w:r>
        <w:rPr>
          <w:rFonts w:ascii="Times New Roman" w:hAnsi="Times New Roman" w:cs="Times New Roman"/>
          <w:szCs w:val="24"/>
        </w:rPr>
        <w:t>Stupeň zlučiteľnosti návrhu právneho predpisu s právom Európskych spoločenstiev a právom Európskej únie: úplná</w:t>
      </w:r>
    </w:p>
    <w:p>
      <w:pPr>
        <w:pStyle w:val="odrkaa"/>
        <w:tabs>
          <w:tab w:val="left" w:pos="284"/>
        </w:tabs>
        <w:spacing w:line="240" w:lineRule="auto"/>
        <w:ind w:left="284" w:hanging="284"/>
        <w:rPr>
          <w:rFonts w:ascii="Times New Roman" w:hAnsi="Times New Roman" w:cs="Times New Roman"/>
          <w:szCs w:val="24"/>
        </w:rPr>
      </w:pPr>
      <w:r>
        <w:rPr>
          <w:rFonts w:ascii="Times New Roman" w:hAnsi="Times New Roman" w:cs="Times New Roman"/>
          <w:szCs w:val="24"/>
        </w:rPr>
        <w:t xml:space="preserve"> </w:t>
      </w:r>
    </w:p>
    <w:p>
      <w:pPr>
        <w:pStyle w:val="odrkaa"/>
        <w:numPr>
          <w:ilvl w:val="0"/>
          <w:numId w:val="1"/>
        </w:numPr>
        <w:tabs>
          <w:tab w:val="left" w:pos="284"/>
          <w:tab w:val="left" w:pos="360"/>
        </w:tabs>
        <w:spacing w:line="240" w:lineRule="auto"/>
        <w:rPr>
          <w:rFonts w:ascii="Times New Roman" w:hAnsi="Times New Roman" w:cs="Times New Roman"/>
          <w:szCs w:val="24"/>
        </w:rPr>
      </w:pPr>
      <w:r>
        <w:rPr>
          <w:rFonts w:ascii="Times New Roman" w:hAnsi="Times New Roman" w:cs="Times New Roman"/>
          <w:szCs w:val="24"/>
        </w:rPr>
        <w:t xml:space="preserve">Gestor (spolupracujúce rezorty): </w:t>
      </w:r>
    </w:p>
    <w:p>
      <w:pPr>
        <w:pStyle w:val="odrkaa"/>
        <w:tabs>
          <w:tab w:val="left" w:pos="284"/>
        </w:tabs>
        <w:spacing w:line="240" w:lineRule="auto"/>
        <w:rPr>
          <w:rFonts w:ascii="Times New Roman" w:hAnsi="Times New Roman" w:cs="Times New Roman"/>
          <w:szCs w:val="24"/>
        </w:rPr>
      </w:pPr>
      <w:r>
        <w:rPr>
          <w:rFonts w:ascii="Times New Roman" w:hAnsi="Times New Roman" w:cs="Times New Roman"/>
          <w:szCs w:val="24"/>
        </w:rPr>
        <w:t xml:space="preserve">     Ministerstvo pôdohospodárstva Slovenskej republiky</w:t>
      </w:r>
    </w:p>
    <w:p>
      <w:pPr>
        <w:pStyle w:val="odrkaa"/>
        <w:tabs>
          <w:tab w:val="left" w:pos="284"/>
        </w:tabs>
        <w:spacing w:line="240" w:lineRule="auto"/>
        <w:rPr>
          <w:rFonts w:ascii="Times New Roman" w:hAnsi="Times New Roman" w:cs="Times New Roman"/>
          <w:szCs w:val="24"/>
        </w:rPr>
      </w:pPr>
    </w:p>
    <w:p>
      <w:pPr>
        <w:pStyle w:val="odrkaa"/>
        <w:numPr>
          <w:ilvl w:val="0"/>
          <w:numId w:val="1"/>
        </w:numPr>
        <w:tabs>
          <w:tab w:val="left" w:pos="284"/>
          <w:tab w:val="left" w:pos="360"/>
        </w:tabs>
        <w:spacing w:line="240" w:lineRule="auto"/>
        <w:rPr>
          <w:rFonts w:ascii="Times New Roman" w:hAnsi="Times New Roman" w:cs="Times New Roman"/>
          <w:szCs w:val="24"/>
        </w:rPr>
      </w:pPr>
      <w:r>
        <w:rPr>
          <w:rFonts w:ascii="Times New Roman" w:hAnsi="Times New Roman" w:cs="Times New Roman"/>
          <w:szCs w:val="24"/>
        </w:rPr>
        <w:t>Účasť expertov pri príprave návrhu právneho predpisu a ich stanovisko k zlučiteľnosti návrhu právneho predpisu s právom Európskych spoločenstiev a právom Európskej únie:</w:t>
      </w:r>
    </w:p>
    <w:p>
      <w:pPr>
        <w:pStyle w:val="odrkaa"/>
        <w:tabs>
          <w:tab w:val="left" w:pos="284"/>
        </w:tabs>
        <w:spacing w:line="240" w:lineRule="auto"/>
        <w:rPr>
          <w:rFonts w:ascii="Times New Roman" w:hAnsi="Times New Roman" w:cs="Times New Roman"/>
          <w:szCs w:val="24"/>
        </w:rPr>
      </w:pPr>
      <w:r>
        <w:rPr>
          <w:rFonts w:ascii="Times New Roman" w:hAnsi="Times New Roman" w:cs="Times New Roman"/>
          <w:szCs w:val="24"/>
        </w:rPr>
        <w:t xml:space="preserve">     Bez účasti expertov.</w:t>
      </w:r>
    </w:p>
    <w:p>
      <w:pPr>
        <w:rPr>
          <w:rFonts w:ascii="Times New Roman" w:hAnsi="Times New Roman" w:cs="Times New Roman"/>
          <w:b/>
        </w:rPr>
      </w:pPr>
    </w:p>
    <w:p>
      <w:pPr>
        <w:rPr>
          <w:rFonts w:ascii="Times New Roman" w:hAnsi="Times New Roman" w:cs="Times New Roman"/>
          <w:b/>
        </w:rPr>
      </w:pPr>
    </w:p>
    <w:p>
      <w:pPr>
        <w:jc w:val="both"/>
        <w:rPr>
          <w:rFonts w:ascii="Times New Roman" w:hAnsi="Times New Roman" w:cs="Times New Roman"/>
          <w:b/>
        </w:rPr>
      </w:pPr>
    </w:p>
    <w:p>
      <w:pPr>
        <w:jc w:val="both"/>
        <w:rPr>
          <w:rFonts w:ascii="Times New Roman" w:hAnsi="Times New Roman" w:cs="Times New Roman"/>
          <w:b/>
        </w:rPr>
      </w:pPr>
      <w:r>
        <w:rPr>
          <w:rFonts w:ascii="Times New Roman" w:hAnsi="Times New Roman" w:cs="Times New Roman"/>
          <w:b/>
        </w:rPr>
        <w:t>Osobitná časť</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1</w:t>
      </w:r>
    </w:p>
    <w:p>
      <w:pPr>
        <w:pStyle w:val="BodyText"/>
        <w:rPr>
          <w:rFonts w:ascii="Times New Roman" w:hAnsi="Times New Roman" w:cs="Times New Roman"/>
        </w:rPr>
      </w:pPr>
      <w:r>
        <w:rPr>
          <w:rFonts w:ascii="Times New Roman" w:hAnsi="Times New Roman" w:cs="Times New Roman"/>
        </w:rPr>
        <w:tab/>
        <w:t>Ustanovuje výkon klasifikácie jatočne opracovaných tiel ošípaných na všetkých bitúnkoch. Na účel jednotnej úpravy jatočného tela definuje jatočne opracované telo zabitej ošípanej. Ustanovuje výnimky z klasifikácie pre jatočné ošípané pochádzajúce z vlastného výkrmu a neurčené na obchodovanie na trhu a pre jatočné ošípané určené na nutné zabitie.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2</w:t>
      </w:r>
    </w:p>
    <w:p>
      <w:pPr>
        <w:jc w:val="both"/>
        <w:rPr>
          <w:rFonts w:ascii="Times New Roman" w:hAnsi="Times New Roman" w:cs="Times New Roman"/>
        </w:rPr>
      </w:pPr>
      <w:r>
        <w:rPr>
          <w:rFonts w:ascii="Times New Roman" w:hAnsi="Times New Roman" w:cs="Times New Roman"/>
        </w:rPr>
        <w:tab/>
        <w:t>Určuje sa spôsob klasifikácie pre kategóriu jatočných ošípaných s preberacou hmotnosťou od 60 do 120 kg a zvlášť pre kategóriu mäsitých prasníc, vykastrovaných kancov, chudých prasníc, kancov alebo kryptorch</w:t>
      </w:r>
      <w:r>
        <w:rPr>
          <w:rFonts w:ascii="Times New Roman" w:hAnsi="Times New Roman" w:cs="Times New Roman"/>
        </w:rPr>
        <w:t>idov, u ktorých sa na rozdiel od prvej kategórie nevykonáva stanovenie podielu svaloviny.</w:t>
      </w:r>
    </w:p>
    <w:p>
      <w:pPr>
        <w:jc w:val="both"/>
        <w:rPr>
          <w:rFonts w:ascii="Times New Roman" w:hAnsi="Times New Roman" w:cs="Times New Roman"/>
        </w:rPr>
      </w:pPr>
      <w:r>
        <w:rPr>
          <w:rFonts w:ascii="Times New Roman" w:hAnsi="Times New Roman" w:cs="Times New Roman"/>
        </w:rPr>
        <w:tab/>
        <w:t>Definuje sa preberacia hmotnosť, ktorá sa po zistení zaokrúhľuje na celé kilogramy.</w:t>
      </w:r>
    </w:p>
    <w:p>
      <w:pPr>
        <w:jc w:val="both"/>
        <w:rPr>
          <w:rFonts w:ascii="Times New Roman" w:hAnsi="Times New Roman" w:cs="Times New Roman"/>
        </w:rPr>
      </w:pPr>
      <w:r>
        <w:rPr>
          <w:rFonts w:ascii="Times New Roman" w:hAnsi="Times New Roman" w:cs="Times New Roman"/>
        </w:rPr>
        <w:tab/>
        <w:t>Definuje sa prepočítaná hmotnosť po zabití na účely korektných dodávateľsko-odberateľských vzťahov.</w:t>
      </w:r>
    </w:p>
    <w:p>
      <w:pPr>
        <w:jc w:val="both"/>
        <w:rPr>
          <w:rFonts w:ascii="Times New Roman" w:hAnsi="Times New Roman" w:cs="Times New Roman"/>
        </w:rPr>
      </w:pPr>
      <w:r>
        <w:rPr>
          <w:rFonts w:ascii="Times New Roman" w:hAnsi="Times New Roman" w:cs="Times New Roman"/>
        </w:rPr>
        <w:tab/>
        <w:t>Určuje sa, že zatriedenie jatočných tiel sa vykonáva po prehliadke veterinárnym lekárom a že sa vzťahuje na celé jatočné telo.</w:t>
      </w:r>
    </w:p>
    <w:p>
      <w:pPr>
        <w:jc w:val="both"/>
        <w:rPr>
          <w:rFonts w:ascii="Times New Roman" w:hAnsi="Times New Roman" w:cs="Times New Roman"/>
        </w:rPr>
      </w:pPr>
      <w:r>
        <w:rPr>
          <w:rFonts w:ascii="Times New Roman" w:hAnsi="Times New Roman" w:cs="Times New Roman"/>
        </w:rPr>
        <w:tab/>
        <w:t>Ustanovuje sa, že pred vážením, zatriedením a označením nemožno z jatočných tiel odstraňovať tkanivá.</w:t>
      </w:r>
    </w:p>
    <w:p>
      <w:pPr>
        <w:jc w:val="both"/>
        <w:rPr>
          <w:rFonts w:ascii="Times New Roman" w:hAnsi="Times New Roman" w:cs="Times New Roman"/>
        </w:rPr>
      </w:pPr>
      <w:r>
        <w:rPr>
          <w:rFonts w:ascii="Times New Roman" w:hAnsi="Times New Roman" w:cs="Times New Roman"/>
        </w:rPr>
        <w:tab/>
        <w:t>Ustanovuje sa, že klasifikátor kontroluje, či rozdelenie a opracovanie jatočného tela je v súlade s definíciou jatočne opracovaného tela zabitej ošípanej.</w:t>
        <w:tab/>
      </w:r>
    </w:p>
    <w:p>
      <w:pPr>
        <w:jc w:val="both"/>
        <w:rPr>
          <w:rFonts w:ascii="Times New Roman" w:hAnsi="Times New Roman" w:cs="Times New Roman"/>
        </w:rPr>
      </w:pPr>
      <w:r>
        <w:rPr>
          <w:rFonts w:ascii="Times New Roman" w:hAnsi="Times New Roman" w:cs="Times New Roman"/>
        </w:rPr>
        <w:tab/>
        <w:tab/>
      </w:r>
    </w:p>
    <w:p>
      <w:pPr>
        <w:jc w:val="both"/>
        <w:rPr>
          <w:rFonts w:ascii="Times New Roman" w:hAnsi="Times New Roman" w:cs="Times New Roman"/>
        </w:rPr>
      </w:pPr>
      <w:r>
        <w:rPr>
          <w:rFonts w:ascii="Times New Roman" w:hAnsi="Times New Roman" w:cs="Times New Roman"/>
        </w:rPr>
        <w:t>K § 3</w:t>
      </w:r>
    </w:p>
    <w:p>
      <w:pPr>
        <w:jc w:val="both"/>
        <w:rPr>
          <w:rFonts w:ascii="Times New Roman" w:hAnsi="Times New Roman" w:cs="Times New Roman"/>
        </w:rPr>
      </w:pPr>
      <w:r>
        <w:rPr>
          <w:rFonts w:ascii="Times New Roman" w:hAnsi="Times New Roman" w:cs="Times New Roman"/>
        </w:rPr>
        <w:tab/>
        <w:t>Určuje sa spôsob označovania jatočne opracovaného tela klasifikátorom. Ten ihneď po určení triedy kvality opečiatkuje jatočné telo zdravotne a technicky vyhovujúcou farbou. Určuje sa umiestnenie odtlačku pečiatky na jatočnom tele, výška a kvalita písma. Ustanovuje sa, že klasifikátor označuje jatočné telo aj odtlačkom pečiatky identifikujúcim samotného klasifikátora. Ustanovujú sa aj vlastnosti odtlačku pečiatky, ktorým klasifikátor potvrdzuje ním vyhotovené dokumenty.</w:t>
      </w:r>
    </w:p>
    <w:p>
      <w:pPr>
        <w:jc w:val="both"/>
        <w:rPr>
          <w:rFonts w:ascii="Times New Roman" w:hAnsi="Times New Roman" w:cs="Times New Roman"/>
        </w:rPr>
      </w:pPr>
      <w:r>
        <w:rPr>
          <w:rFonts w:ascii="Times New Roman" w:hAnsi="Times New Roman" w:cs="Times New Roman"/>
        </w:rPr>
        <w:tab/>
        <w:t>Umožňuje sa namiesto odtlačku pečiatky použiť etikety, ktoré je možné použiť len v  schválených zariadeniach. Ustanovujú sa rozmery etikiet a náležitosti, ktoré majú obsahovať.</w:t>
        <w:tab/>
      </w:r>
    </w:p>
    <w:p>
      <w:pPr>
        <w:jc w:val="both"/>
        <w:rPr>
          <w:rFonts w:ascii="Times New Roman" w:hAnsi="Times New Roman" w:cs="Times New Roman"/>
        </w:rPr>
      </w:pPr>
      <w:r>
        <w:rPr>
          <w:rFonts w:ascii="Times New Roman" w:hAnsi="Times New Roman" w:cs="Times New Roman"/>
        </w:rPr>
        <w:t>K § 4</w:t>
      </w:r>
    </w:p>
    <w:p>
      <w:pPr>
        <w:jc w:val="both"/>
        <w:rPr>
          <w:rFonts w:ascii="Times New Roman" w:hAnsi="Times New Roman" w:cs="Times New Roman"/>
        </w:rPr>
      </w:pPr>
      <w:r>
        <w:rPr>
          <w:rFonts w:ascii="Times New Roman" w:hAnsi="Times New Roman" w:cs="Times New Roman"/>
        </w:rPr>
        <w:tab/>
        <w:t>Ustanovuje sa protokol o klasifikácii, ktorý klasifikátor vyhotovuje pre celú skupinu dodaných ošípaných za jeden deň od jedného dodávateľa. Protokol má mať štyri vyhotovenia, pričom dodávateľ obdrží originál a tri kópie sú určené na archiváciu klasifikátorom, pre centrálnu evidenciu hospodárskych zvierat a pre bitúnok.</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5</w:t>
      </w:r>
    </w:p>
    <w:p>
      <w:pPr>
        <w:jc w:val="both"/>
        <w:rPr>
          <w:rFonts w:ascii="Times New Roman" w:hAnsi="Times New Roman" w:cs="Times New Roman"/>
        </w:rPr>
      </w:pPr>
      <w:r>
        <w:rPr>
          <w:rFonts w:ascii="Times New Roman" w:hAnsi="Times New Roman" w:cs="Times New Roman"/>
        </w:rPr>
        <w:tab/>
        <w:t>Určuje sa, že klasifikátorom môže byť osoba s osvedčením o odbornej spôsobilosti, konajúca ako zamestnanec bitúnku, zamestnanec klasifikačnej agentúry alebo živnostník.</w:t>
      </w:r>
    </w:p>
    <w:p>
      <w:pPr>
        <w:jc w:val="both"/>
        <w:rPr>
          <w:rFonts w:ascii="Times New Roman" w:hAnsi="Times New Roman" w:cs="Times New Roman"/>
        </w:rPr>
      </w:pPr>
      <w:r>
        <w:rPr>
          <w:rFonts w:ascii="Times New Roman" w:hAnsi="Times New Roman" w:cs="Times New Roman"/>
        </w:rPr>
        <w:tab/>
        <w:t xml:space="preserve">Ustanovuje sa, že odbornú prípravu klasifikátorov zabezpečuje ministerstvo prostredníctvom školiaceho pracoviska, ktorým je Výskumný ústav živočíšnej výroby v Nitre. Ustanovuje sa prihláška, ktorú zasiela záujemca </w:t>
      </w:r>
      <w:r>
        <w:rPr>
          <w:rFonts w:ascii="Times New Roman" w:hAnsi="Times New Roman" w:cs="Times New Roman"/>
        </w:rPr>
        <w:t>školiacemu pracovisku.</w:t>
      </w:r>
    </w:p>
    <w:p>
      <w:pPr>
        <w:jc w:val="both"/>
        <w:rPr>
          <w:rFonts w:ascii="Times New Roman" w:hAnsi="Times New Roman" w:cs="Times New Roman"/>
        </w:rPr>
      </w:pPr>
      <w:r>
        <w:rPr>
          <w:rFonts w:ascii="Times New Roman" w:hAnsi="Times New Roman" w:cs="Times New Roman"/>
        </w:rPr>
        <w:tab/>
        <w:t>Ustanovuje sa forma odbornej prípravy a záverečná odborná skúška pred skúšobnou komisiou zriadenou školiacim pracoviskom.</w:t>
      </w:r>
    </w:p>
    <w:p>
      <w:pPr>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rPr>
      </w:pPr>
      <w:r>
        <w:rPr>
          <w:rFonts w:ascii="Times New Roman" w:hAnsi="Times New Roman" w:cs="Times New Roman"/>
        </w:rPr>
        <w:t>K § 6</w:t>
      </w:r>
    </w:p>
    <w:p>
      <w:pPr>
        <w:jc w:val="both"/>
        <w:rPr>
          <w:rFonts w:ascii="Times New Roman" w:hAnsi="Times New Roman" w:cs="Times New Roman"/>
        </w:rPr>
      </w:pPr>
      <w:r>
        <w:rPr>
          <w:rFonts w:ascii="Times New Roman" w:hAnsi="Times New Roman" w:cs="Times New Roman"/>
        </w:rPr>
        <w:tab/>
        <w:t xml:space="preserve">Určuje sa, že absolvent získa po úspešnom absolvovaní osvedčenie o odbornej spôsobilosti s identifikačným číslom, ktoré vydáva ministerstvo. </w:t>
      </w:r>
    </w:p>
    <w:p>
      <w:pPr>
        <w:ind w:firstLine="708"/>
        <w:jc w:val="both"/>
        <w:rPr>
          <w:rFonts w:ascii="Times New Roman" w:hAnsi="Times New Roman" w:cs="Times New Roman"/>
        </w:rPr>
      </w:pPr>
      <w:r>
        <w:rPr>
          <w:rFonts w:ascii="Times New Roman" w:hAnsi="Times New Roman" w:cs="Times New Roman"/>
        </w:rPr>
        <w:t>Platnosť osvedčenia sa stanovuje na 5 rokov a každých 5 rokov klasifikátor absolvuje odbornú prípravu a zloží skúšky na predĺženie platnosti osvedčenia. Ak klasifikátor prestane vykonávať klasifikáciu, ihneď to oznámi a odovzdá osvedčenie ministerstvu.</w:t>
      </w:r>
    </w:p>
    <w:p>
      <w:pPr>
        <w:jc w:val="both"/>
        <w:rPr>
          <w:rFonts w:ascii="Times New Roman" w:hAnsi="Times New Roman" w:cs="Times New Roman"/>
        </w:rPr>
      </w:pPr>
      <w:r>
        <w:rPr>
          <w:rFonts w:ascii="Times New Roman" w:hAnsi="Times New Roman" w:cs="Times New Roman"/>
        </w:rPr>
        <w:tab/>
        <w:t>Určuje sa, že klasifikátor sa na pozvanie školiaceho pracoviska zúčastňuje na priebežnom školení, ktoré sa koná ročne. Neodôvodnená neúčasť môže byť pre školiace pracovisko dôvodom na návrh ministerstvu na odobratie osvedčenia.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 7 </w:t>
      </w:r>
    </w:p>
    <w:p>
      <w:pPr>
        <w:jc w:val="both"/>
        <w:rPr>
          <w:rFonts w:ascii="Times New Roman" w:hAnsi="Times New Roman" w:cs="Times New Roman"/>
        </w:rPr>
      </w:pPr>
      <w:r>
        <w:rPr>
          <w:rFonts w:ascii="Times New Roman" w:hAnsi="Times New Roman" w:cs="Times New Roman"/>
        </w:rPr>
        <w:tab/>
        <w:t xml:space="preserve">Ustanovuje sa, že osvedčenia o odbornej spôsobilosti na klasifikáciu jatočných ošípaných vydané podľa doterajších predpisov sa považujú za osvedčenia o odbornej spôsobilosti podľa navrhovanej vyhlášky. </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8</w:t>
      </w:r>
    </w:p>
    <w:p>
      <w:pPr>
        <w:jc w:val="both"/>
        <w:rPr>
          <w:rFonts w:ascii="Times New Roman" w:hAnsi="Times New Roman" w:cs="Times New Roman"/>
        </w:rPr>
      </w:pPr>
      <w:r>
        <w:rPr>
          <w:rFonts w:ascii="Times New Roman" w:hAnsi="Times New Roman" w:cs="Times New Roman"/>
        </w:rPr>
        <w:tab/>
        <w:t>Zrušuje sa doteraz platn</w:t>
      </w:r>
      <w:r>
        <w:rPr>
          <w:rFonts w:ascii="Times New Roman" w:hAnsi="Times New Roman" w:cs="Times New Roman"/>
        </w:rPr>
        <w:t xml:space="preserve">á vyhláška Ministerstva pôdohospodárstva  Slovenskej republiky o klasifikácii jatočných ošípaných a o vydávaní osvedčenia o odbornej spôsobilosti.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9</w:t>
      </w:r>
    </w:p>
    <w:p>
      <w:pPr>
        <w:jc w:val="both"/>
        <w:rPr>
          <w:rFonts w:ascii="Times New Roman" w:hAnsi="Times New Roman" w:cs="Times New Roman"/>
        </w:rPr>
      </w:pPr>
      <w:r>
        <w:rPr>
          <w:rFonts w:ascii="Times New Roman" w:hAnsi="Times New Roman" w:cs="Times New Roman"/>
        </w:rPr>
        <w:tab/>
        <w:t>Navrhuje sa účinnosť vyhlášky od 1. januára 2007.</w:t>
      </w: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4</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92B13"/>
    <w:multiLevelType w:val="singleLevel"/>
    <w:tmpl w:val="872AED84"/>
    <w:lvl w:ilvl="0">
      <w:start w:val="1"/>
      <w:numFmt w:val="lowerLetter"/>
      <w:lvlText w:val="%1)"/>
      <w:lvlJc w:val="left"/>
      <w:pPr>
        <w:tabs>
          <w:tab w:val="num" w:pos="720"/>
        </w:tabs>
        <w:ind w:left="720" w:hanging="360"/>
      </w:pPr>
    </w:lvl>
  </w:abstractNum>
  <w:abstractNum w:abstractNumId="1">
    <w:nsid w:val="404D1769"/>
    <w:multiLevelType w:val="singleLevel"/>
    <w:tmpl w:val="AB349576"/>
    <w:lvl w:ilvl="0">
      <w:start w:val="1"/>
      <w:numFmt w:val="lowerLetter"/>
      <w:lvlText w:val="%1)"/>
      <w:lvlJc w:val="left"/>
      <w:pPr>
        <w:tabs>
          <w:tab w:val="num" w:pos="764"/>
        </w:tabs>
        <w:ind w:left="764" w:hanging="360"/>
      </w:pPr>
    </w:lvl>
  </w:abstractNum>
  <w:abstractNum w:abstractNumId="2">
    <w:nsid w:val="546A34ED"/>
    <w:multiLevelType w:val="singleLevel"/>
    <w:tmpl w:val="041B000F"/>
    <w:lvl w:ilvl="0">
      <w:start w:val="1"/>
      <w:numFmt w:val="decimal"/>
      <w:lvlText w:val="%1."/>
      <w:lvlJc w:val="left"/>
      <w:pPr>
        <w:tabs>
          <w:tab w:val="num" w:pos="360"/>
        </w:tabs>
        <w:ind w:left="360" w:hanging="360"/>
      </w:pPr>
    </w:lvl>
  </w:abstractNum>
  <w:abstractNum w:abstractNumId="3">
    <w:nsid w:val="5F2C77C5"/>
    <w:multiLevelType w:val="hybridMultilevel"/>
    <w:tmpl w:val="CB32C324"/>
    <w:lvl w:ilvl="0">
      <w:start w:val="0"/>
      <w:numFmt w:val="bullet"/>
      <w:lvlText w:val="-"/>
      <w:lvlJc w:val="left"/>
      <w:pPr>
        <w:tabs>
          <w:tab w:val="num" w:pos="1080"/>
        </w:tabs>
        <w:ind w:left="1080" w:hanging="36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jc w:val="left"/>
      <w:outlineLvl w:val="1"/>
    </w:pPr>
    <w:rPr>
      <w:b/>
      <w:bCs/>
    </w:rPr>
  </w:style>
  <w:style w:type="character" w:default="1" w:styleId="DefaultParagraphFont">
    <w:name w:val="Default Paragraph Font"/>
    <w:semiHidden/>
  </w:style>
  <w:style w:type="paragraph" w:styleId="BodyText">
    <w:name w:val="Body Text"/>
    <w:basedOn w:val="Normal"/>
    <w:pPr>
      <w:jc w:val="both"/>
    </w:pPr>
  </w:style>
  <w:style w:type="paragraph" w:styleId="BodyTextIndent">
    <w:name w:val="Body Text Indent"/>
    <w:basedOn w:val="Normal"/>
    <w:pPr>
      <w:spacing w:after="120"/>
      <w:ind w:left="283"/>
      <w:jc w:val="left"/>
    </w:pPr>
  </w:style>
  <w:style w:type="paragraph" w:customStyle="1" w:styleId="odrkaa">
    <w:name w:val="odrážka a"/>
    <w:basedOn w:val="Normal"/>
    <w:pPr>
      <w:spacing w:line="360" w:lineRule="atLeast"/>
      <w:jc w:val="both"/>
    </w:pPr>
    <w:rPr>
      <w:szCs w:val="20"/>
    </w:rPr>
  </w:style>
  <w:style w:type="paragraph" w:customStyle="1" w:styleId="nzovlnok">
    <w:name w:val="názov článok"/>
    <w:basedOn w:val="Normal"/>
    <w:next w:val="Normal"/>
    <w:pPr>
      <w:keepNext/>
      <w:tabs>
        <w:tab w:val="left" w:pos="0"/>
      </w:tabs>
      <w:spacing w:line="360" w:lineRule="atLeast"/>
      <w:jc w:val="center"/>
    </w:pPr>
    <w:rPr>
      <w:b/>
      <w:sz w:val="26"/>
      <w:szCs w:val="20"/>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36</TotalTime>
  <Pages>1</Pages>
  <Words>1140</Words>
  <Characters>6502</Characters>
  <Application>Microsoft Office Word</Application>
  <DocSecurity>0</DocSecurity>
  <Lines>0</Lines>
  <Paragraphs>0</Paragraphs>
  <ScaleCrop>false</ScaleCrop>
  <Company>doma</Company>
  <LinksUpToDate>false</LinksUpToDate>
  <CharactersWithSpaces>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Osobitná časť</dc:title>
  <dc:creator>bohus</dc:creator>
  <cp:lastModifiedBy>timea.lengyelova</cp:lastModifiedBy>
  <cp:revision>11</cp:revision>
  <cp:lastPrinted>2006-08-03T09:02:00Z</cp:lastPrinted>
  <dcterms:created xsi:type="dcterms:W3CDTF">2004-06-21T04:52:00Z</dcterms:created>
  <dcterms:modified xsi:type="dcterms:W3CDTF">2006-08-03T09:02:00Z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1593398359</vt:i4>
  </property>
  <property fmtid="{D5CDD505-2E9C-101B-9397-08002B2CF9AE}" pid="3" name="_AuthorEmail">
    <vt:lpwstr>marta.schwingerova@land.gov.sk</vt:lpwstr>
  </property>
  <property fmtid="{D5CDD505-2E9C-101B-9397-08002B2CF9AE}" pid="4" name="_AuthorEmailDisplayName">
    <vt:lpwstr>Schwingerová Marta</vt:lpwstr>
  </property>
  <property fmtid="{D5CDD505-2E9C-101B-9397-08002B2CF9AE}" pid="5" name="_EmailSubject">
    <vt:lpwstr>ošípané</vt:lpwstr>
  </property>
  <property fmtid="{D5CDD505-2E9C-101B-9397-08002B2CF9AE}" pid="6" name="_PreviousAdHocReviewCycleID">
    <vt:i4>230295631</vt:i4>
  </property>
</Properties>
</file>