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autoSpaceDE w:val="0"/>
        <w:autoSpaceDN w:val="0"/>
        <w:adjustRightInd w:val="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Návrh </w:t>
      </w:r>
    </w:p>
    <w:p>
      <w:pPr>
        <w:autoSpaceDE w:val="0"/>
        <w:autoSpaceDN w:val="0"/>
        <w:adjustRightInd w:val="0"/>
        <w:jc w:val="center"/>
        <w:rPr>
          <w:b/>
          <w:bCs/>
          <w:lang w:val="cs-CZ"/>
        </w:rPr>
      </w:pPr>
    </w:p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 Y H L Á Š K A</w:t>
      </w:r>
    </w:p>
    <w:p>
      <w:pPr>
        <w:autoSpaceDE w:val="0"/>
        <w:autoSpaceDN w:val="0"/>
        <w:adjustRightInd w:val="0"/>
        <w:jc w:val="center"/>
        <w:rPr>
          <w:b/>
          <w:bCs/>
        </w:rPr>
      </w:pPr>
    </w:p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Ministerstva pôdohospodárstva Slovenskej republiky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z …………,</w:t>
      </w:r>
    </w:p>
    <w:p>
      <w:pPr>
        <w:autoSpaceDE w:val="0"/>
        <w:autoSpaceDN w:val="0"/>
        <w:adjustRightInd w:val="0"/>
        <w:jc w:val="center"/>
      </w:pPr>
    </w:p>
    <w:p>
      <w:pPr>
        <w:pStyle w:val="BodyText"/>
      </w:pPr>
      <w:r>
        <w:t>ktorou sa ustanovujú podrobnosti o evidencii dodávateľov, o vykonávaní uznávania a skúšania množiteľského materiálu pestovaných rastlín a o odbornej príprave a odbornej s</w:t>
      </w:r>
      <w:r>
        <w:t>kúške</w:t>
      </w:r>
    </w:p>
    <w:p>
      <w:pPr>
        <w:jc w:val="center"/>
      </w:pPr>
    </w:p>
    <w:p/>
    <w:p>
      <w:pPr>
        <w:ind w:firstLine="708"/>
        <w:jc w:val="both"/>
      </w:pPr>
      <w:r>
        <w:t xml:space="preserve">Ministerstvo pôdohospodárstva Slovenskej republiky  podľa § 10 písm. d) až f) zákona </w:t>
        <w:br/>
        <w:t xml:space="preserve">č. ..../.......... Z. z. </w:t>
      </w:r>
      <w:r>
        <w:rPr>
          <w:bCs/>
        </w:rPr>
        <w:t>o pôsobnosti orgánov štátnej správy v oblasti  registrácie odrôd pestovaných rastlín a uvádzaní množiteľského materiálu pestovaných rastl</w:t>
      </w:r>
      <w:r>
        <w:rPr>
          <w:bCs/>
        </w:rPr>
        <w:t xml:space="preserve">ín na trh </w:t>
      </w:r>
      <w:r>
        <w:t>ustanovuje: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§ 1</w:t>
      </w:r>
    </w:p>
    <w:p>
      <w:pPr>
        <w:autoSpaceDE w:val="0"/>
        <w:autoSpaceDN w:val="0"/>
        <w:adjustRightInd w:val="0"/>
        <w:jc w:val="center"/>
      </w:pPr>
      <w:r>
        <w:t>Predmet úpravy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708"/>
      </w:pPr>
      <w:r>
        <w:t>Táto vyhláška upravuje podrobnosti o</w:t>
      </w:r>
    </w:p>
    <w:p>
      <w:pPr>
        <w:numPr>
          <w:ilvl w:val="0"/>
          <w:numId w:val="27"/>
        </w:numPr>
        <w:jc w:val="both"/>
      </w:pPr>
      <w:r>
        <w:t xml:space="preserve">evidencii  dodávateľov a o vydávaní osvedčení o odbornej spôsobilosti dodávateľov, </w:t>
      </w:r>
    </w:p>
    <w:p>
      <w:pPr>
        <w:numPr>
          <w:ilvl w:val="0"/>
          <w:numId w:val="27"/>
        </w:numPr>
        <w:jc w:val="both"/>
      </w:pPr>
      <w:r>
        <w:t>vykonávaní uznávania a skúšania množiteľského materiálu pestovaných rastlín,</w:t>
      </w:r>
    </w:p>
    <w:p>
      <w:pPr>
        <w:numPr>
          <w:ilvl w:val="0"/>
          <w:numId w:val="27"/>
        </w:numPr>
        <w:jc w:val="both"/>
      </w:pPr>
      <w:r>
        <w:t>odbornej prípra</w:t>
      </w:r>
      <w:r>
        <w:t xml:space="preserve">ve a odbornej skúške. </w:t>
      </w:r>
    </w:p>
    <w:p>
      <w:pPr>
        <w:ind w:left="180"/>
        <w:jc w:val="both"/>
      </w:pPr>
    </w:p>
    <w:p>
      <w:pPr>
        <w:jc w:val="center"/>
      </w:pPr>
      <w:r>
        <w:t>§ 2</w:t>
      </w:r>
    </w:p>
    <w:p>
      <w:pPr>
        <w:jc w:val="center"/>
      </w:pPr>
      <w:r>
        <w:t>Evidencia dodávateľov a vydávanie osvedčenia o odbornej spôsobilosti dodávateľov</w:t>
      </w:r>
    </w:p>
    <w:p>
      <w:pPr>
        <w:jc w:val="center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(1) Fyzická osoba alebo právnická osoba, ktorá množiteľský materiál pestovaných rastlín (ďalej len „ množiteľský materiál“) uvádza na trh (ďalej len „dodávateľ“) sa zapisuje do evidencie dodávateľov po vydaní   osvedčenia o odbornej spôsobilosti dodávateľa ( ďalej len „osvedčenie“). </w:t>
      </w: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(2) Žiadosť o vydanie osvedčenia a o zápis do evidencie dodávateľov (ďalej len „žiadosť“)  sa predkladá na tlačive, ktorého vzor je uvedený v prílohe č. 1. </w:t>
      </w: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(3) Prílohou žiadosti podľa odseku 1 je   </w:t>
      </w:r>
    </w:p>
    <w:p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doklad o dosiahnutom odbornom vzdelaní  alebo doklad o odbornej praxi v trvaní najmenej tri roky,</w:t>
      </w:r>
    </w:p>
    <w:p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notársky overený výpis </w:t>
      </w:r>
    </w:p>
    <w:p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z obchodného registra alebo živnostenského regist</w:t>
      </w:r>
      <w:r>
        <w:t xml:space="preserve">ra  nie starší ako tri mesiace alebo    </w:t>
      </w:r>
    </w:p>
    <w:p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z evidencie</w:t>
      </w:r>
      <w:r>
        <w:rPr>
          <w:rStyle w:val="FootnoteReference"/>
        </w:rPr>
        <w:footnoteReference w:id="2"/>
      </w:r>
      <w:r>
        <w:t>),</w:t>
      </w:r>
      <w:r>
        <w:rPr>
          <w:vertAlign w:val="superscript"/>
        </w:rPr>
        <w:t xml:space="preserve"> </w:t>
      </w:r>
      <w:r>
        <w:t xml:space="preserve"> ak  žiadateľ je súkromne hospodáriacim roľníkom,</w:t>
      </w:r>
    </w:p>
    <w:p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čestné vyhlásenie, že má na vykonávanie činnosti primerané materiálno-technické vybavenie: alebo má materiálno-technické vybavenie zmluvne zabezpečené</w:t>
      </w:r>
      <w:r>
        <w:t xml:space="preserve">. </w:t>
      </w: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(4) Po predložení dokladov podľa odsekov 2 a 3 sa dodávateľovi vydá osvedčenie a zapíše sa do evidencie dodávateľov.  Vzor osvedčenia je uvedený v prílohe č. 2. </w:t>
      </w: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(5) Dodávateľ sa z evidencie dodávateľov vyradí  a  osvedčenie sa zruší, ak dodávateľ o vyradenie z evidencie dodávateľov sám požiadal, ak zomrel alebo bol vyhlásený za mŕtveho alebo zanikol.  </w:t>
      </w:r>
      <w:r>
        <w:rPr>
          <w:highlight w:val="yellow"/>
        </w:rPr>
        <w:t xml:space="preserve"> </w:t>
      </w:r>
      <w:r>
        <w:t xml:space="preserve"> </w:t>
      </w:r>
    </w:p>
    <w:p>
      <w:pPr>
        <w:jc w:val="center"/>
      </w:pPr>
    </w:p>
    <w:p>
      <w:pPr>
        <w:jc w:val="center"/>
      </w:pPr>
      <w:r>
        <w:t>§ 3</w:t>
      </w:r>
    </w:p>
    <w:p>
      <w:pPr>
        <w:jc w:val="center"/>
      </w:pPr>
      <w:r>
        <w:t xml:space="preserve">Prihlasovanie  na uznávanie množiteľských porastov </w:t>
      </w:r>
    </w:p>
    <w:p>
      <w:pPr>
        <w:jc w:val="center"/>
      </w:pPr>
      <w:r>
        <w:t xml:space="preserve"> </w:t>
      </w:r>
    </w:p>
    <w:p>
      <w:pPr>
        <w:ind w:firstLine="708"/>
        <w:jc w:val="both"/>
      </w:pPr>
      <w:r>
        <w:t>(1) Na uznávanie sa prihlasujú množiteľské porasty, ktoré sú určené na výrobu množiteľského</w:t>
      </w:r>
      <w:r>
        <w:t xml:space="preserve"> materiálu</w:t>
      </w:r>
    </w:p>
    <w:p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odrôd pestovaných rastlín (ďalej len „odroda“) v kategórii predzákladný, základný, certifikovaný množiteľský materiál v určených generáciách množenia uvedených v osobitných predpisoch</w:t>
      </w:r>
      <w:r>
        <w:rPr>
          <w:rStyle w:val="FootnoteReference"/>
        </w:rPr>
        <w:footnoteReference w:id="3"/>
      </w:r>
      <w:r>
        <w:t>),</w:t>
      </w:r>
    </w:p>
    <w:p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línií a komponentov na výrobu hybridov v kategórii základný množiteľský materiál,</w:t>
      </w:r>
    </w:p>
    <w:p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hybridov v kategórii certifikovaný množiteľský materiál. </w:t>
      </w:r>
    </w:p>
    <w:p>
      <w:pPr>
        <w:ind w:left="283"/>
        <w:jc w:val="both"/>
      </w:pPr>
    </w:p>
    <w:p>
      <w:pPr>
        <w:ind w:firstLine="708"/>
        <w:jc w:val="both"/>
      </w:pPr>
      <w:r>
        <w:t xml:space="preserve">(2) Množiteľský porast sa prihlasuje  na uznávanie podľa množiteľského cyklu zásadne v nižšej generácii množenia, ako bola generácia množiteľského materiálu, z ktorého bol množiteľský porast založený.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708"/>
        <w:jc w:val="both"/>
      </w:pPr>
      <w:r>
        <w:t>(3) Na uznávanie sa prihlasuje množiteľský porast, ktorý nebol založený po predplodine rovnakého druhu pestovanej rastliny (ďalej len „druh“) alebo po predplodine iného druhu uvedených v osobitných predpisoch</w:t>
      </w:r>
      <w:r>
        <w:rPr>
          <w:rStyle w:val="FootnoteReference"/>
        </w:rPr>
        <w:footnoteReference w:id="4"/>
      </w:r>
      <w:r>
        <w:t>). To neplatí, ak sú prijaté účinné technické opatrenia, ktoré úplne  vylúčia negatívny vplyv predplodiny na vyrábaný množiteľský materiál z hľadiska jeho zdravotného stavu, druhových prímesí alebo odrodových prímesí.</w:t>
      </w:r>
    </w:p>
    <w:p>
      <w:pPr>
        <w:jc w:val="both"/>
      </w:pPr>
    </w:p>
    <w:p>
      <w:pPr>
        <w:ind w:firstLine="708"/>
        <w:jc w:val="both"/>
      </w:pPr>
      <w:r>
        <w:t>(4) Pri prihlasovaní množiteľského porast</w:t>
      </w:r>
      <w:r>
        <w:t>u na uznávanie druhu uvedeného v osobitnom predpise</w:t>
      </w:r>
      <w:r>
        <w:rPr>
          <w:rStyle w:val="FootnoteReference"/>
        </w:rPr>
        <w:footnoteReference w:id="5"/>
      </w:r>
      <w:r>
        <w:t>)   sa  na množiteľský porast nesmú vzťahovať  žiadne karanténne opatrenia.</w:t>
      </w:r>
    </w:p>
    <w:p>
      <w:pPr>
        <w:ind w:firstLine="180"/>
        <w:jc w:val="both"/>
      </w:pPr>
    </w:p>
    <w:p>
      <w:pPr>
        <w:ind w:firstLine="708"/>
        <w:jc w:val="both"/>
      </w:pPr>
      <w:r>
        <w:t xml:space="preserve">(5) Každý množiteľský porast prihlásený na uznávania sa musí označiť tabuľkou s identifikačnými údajmi množiteľského porastu. </w:t>
      </w:r>
    </w:p>
    <w:p>
      <w:pPr>
        <w:jc w:val="both"/>
      </w:pPr>
      <w:r>
        <w:t xml:space="preserve">   </w:t>
      </w:r>
    </w:p>
    <w:p>
      <w:pPr>
        <w:ind w:firstLine="708"/>
        <w:rPr>
          <w:sz w:val="16"/>
          <w:szCs w:val="16"/>
          <w:vertAlign w:val="superscript"/>
        </w:rPr>
      </w:pPr>
      <w:r>
        <w:t>(6) Postupy uznávania množiteľského porastu sú uvedené v metodických pokynoch na uznávanie množiteľských porastov.</w:t>
      </w:r>
    </w:p>
    <w:p>
      <w:pPr>
        <w:ind w:left="180" w:hanging="180"/>
        <w:rPr>
          <w:sz w:val="20"/>
          <w:szCs w:val="16"/>
          <w:vertAlign w:val="superscript"/>
        </w:rPr>
      </w:pPr>
    </w:p>
    <w:p>
      <w:pPr>
        <w:jc w:val="center"/>
      </w:pPr>
      <w:r>
        <w:t>§ 4</w:t>
      </w:r>
    </w:p>
    <w:p>
      <w:pPr>
        <w:jc w:val="center"/>
      </w:pPr>
      <w:r>
        <w:t>Hodnotenie množiteľského porastu poľnou  prehliadkou</w:t>
      </w:r>
    </w:p>
    <w:p/>
    <w:p>
      <w:pPr>
        <w:ind w:firstLine="708"/>
      </w:pPr>
      <w:r>
        <w:t>(1) Uznávanie množiteľského porastu sa vykonáva jeho poľnou prehliadkou.</w:t>
      </w:r>
    </w:p>
    <w:p/>
    <w:p>
      <w:pPr>
        <w:ind w:firstLine="708"/>
      </w:pPr>
      <w:r>
        <w:t>(2) V množiteľskom poraste sa hodnotí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celkový stav, najmä jeho jednotnosť, vyrovnanosť, zapojenie, kondícia, poľahnutie a predpokladaná úroda,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čistota druhu,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pravosť odrody,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čistota odrody,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zaburinenie,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zdravotný stav,</w:t>
      </w:r>
    </w:p>
    <w:p>
      <w:pPr>
        <w:pStyle w:val="paragrafodsadeny"/>
        <w:widowControl/>
        <w:numPr>
          <w:ilvl w:val="0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izolácia pred</w:t>
      </w:r>
    </w:p>
    <w:p>
      <w:pPr>
        <w:pStyle w:val="paragrafodsadeny"/>
        <w:widowControl/>
        <w:numPr>
          <w:ilvl w:val="1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nežiaducim opelením príbuzn</w:t>
      </w:r>
      <w:r>
        <w:rPr>
          <w:sz w:val="24"/>
        </w:rPr>
        <w:t>ými druhmi alebo inými odrodami,</w:t>
      </w:r>
    </w:p>
    <w:p>
      <w:pPr>
        <w:pStyle w:val="paragrafodsadeny"/>
        <w:widowControl/>
        <w:numPr>
          <w:ilvl w:val="1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>prenosom škodlivých organizmov a chorôb,</w:t>
      </w:r>
    </w:p>
    <w:p>
      <w:pPr>
        <w:pStyle w:val="paragrafodsadeny"/>
        <w:widowControl/>
        <w:numPr>
          <w:ilvl w:val="1"/>
          <w:numId w:val="31"/>
        </w:numPr>
        <w:spacing w:before="0" w:after="0" w:line="20" w:lineRule="atLeast"/>
        <w:rPr>
          <w:sz w:val="24"/>
        </w:rPr>
      </w:pPr>
      <w:r>
        <w:rPr>
          <w:sz w:val="24"/>
        </w:rPr>
        <w:t xml:space="preserve">mechanickým primiešaním iných druhov alebo odrôd. </w:t>
      </w:r>
    </w:p>
    <w:p/>
    <w:p>
      <w:pPr>
        <w:numPr>
          <w:ilvl w:val="12"/>
          <w:numId w:val="0"/>
        </w:numPr>
        <w:ind w:firstLine="708"/>
        <w:jc w:val="both"/>
      </w:pPr>
      <w:r>
        <w:t>(3) Postupy na hodnotenie množiteľského porastu pri poľnej prehliadke sú uvedené v metodických pokynoch na uznávanie množiteľských</w:t>
      </w:r>
      <w:r>
        <w:t xml:space="preserve"> porastov.  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§ 5</w:t>
      </w:r>
    </w:p>
    <w:p>
      <w:pPr>
        <w:jc w:val="center"/>
      </w:pPr>
      <w:r>
        <w:t xml:space="preserve">Odber vzoriek, zisťovanie kvality a manipulácia s množiteľským materiálom </w:t>
      </w:r>
    </w:p>
    <w:p>
      <w:pPr>
        <w:jc w:val="center"/>
        <w:rPr>
          <w:b/>
        </w:rPr>
      </w:pPr>
    </w:p>
    <w:p>
      <w:pPr>
        <w:ind w:firstLine="708"/>
        <w:jc w:val="both"/>
      </w:pPr>
      <w:r>
        <w:t>(1) Odber vzoriek množiteľského materiálu druhov uvedených v osobitných predpisoch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 xml:space="preserve"> </w:t>
      </w:r>
      <w:r>
        <w:t>sa vykonáva  podľa slovenskej technickej normy</w:t>
      </w:r>
      <w:r>
        <w:rPr>
          <w:rStyle w:val="FootnoteReference"/>
        </w:rPr>
        <w:footnoteReference w:id="6"/>
      </w:r>
      <w:r>
        <w:t xml:space="preserve">) a postupom uvedeným v metodických pokynoch. Žiadosť o uznanie množiteľského materiálu je uvedený v prílohe č. 3 </w:t>
      </w:r>
    </w:p>
    <w:p>
      <w:pPr>
        <w:ind w:firstLine="708"/>
        <w:jc w:val="both"/>
      </w:pPr>
    </w:p>
    <w:p>
      <w:pPr>
        <w:ind w:firstLine="708"/>
        <w:jc w:val="both"/>
      </w:pPr>
      <w:r>
        <w:t>(2) Skúšanie kvality množiteľského materiálu druhov uvedených v osobitných predpisoch</w:t>
      </w:r>
      <w:r>
        <w:rPr>
          <w:rStyle w:val="FootnoteReference"/>
        </w:rPr>
        <w:footnoteReference w:id="7"/>
      </w:r>
      <w:r>
        <w:t>) sa vykonáva podľa Metodiky skúšania osiva, vydanej Medzinárodnou asociáciou na skú</w:t>
      </w:r>
      <w:r>
        <w:t xml:space="preserve">šanie semien ISTA. </w:t>
      </w:r>
    </w:p>
    <w:p>
      <w:pPr>
        <w:ind w:firstLine="708"/>
        <w:jc w:val="both"/>
      </w:pPr>
    </w:p>
    <w:p>
      <w:pPr>
        <w:ind w:firstLine="708"/>
        <w:jc w:val="both"/>
      </w:pPr>
      <w:r>
        <w:t>(3) Skúšanie kvality množiteľského materiálu druhu uvedeného v osobitnom predpise</w:t>
      </w:r>
      <w:r>
        <w:rPr>
          <w:vertAlign w:val="superscript"/>
        </w:rPr>
        <w:t>4</w:t>
      </w:r>
      <w:r>
        <w:t>)</w:t>
      </w:r>
      <w:r>
        <w:rPr>
          <w:vertAlign w:val="superscript"/>
        </w:rPr>
        <w:t xml:space="preserve"> </w:t>
      </w:r>
      <w:r>
        <w:t xml:space="preserve">sa vykonáva podľa metodických pokynov.  </w:t>
      </w:r>
    </w:p>
    <w:p>
      <w:pPr>
        <w:ind w:firstLine="708"/>
        <w:jc w:val="both"/>
      </w:pPr>
    </w:p>
    <w:p>
      <w:pPr>
        <w:ind w:firstLine="708"/>
        <w:jc w:val="both"/>
      </w:pPr>
      <w:r>
        <w:t>(4)  Manipulácia s množiteľským materiálom a jeho ošetrovanie, skladovanie a preprava sa vykonáva podľa slove</w:t>
      </w:r>
      <w:r>
        <w:t>nskej technickej normy</w:t>
      </w:r>
      <w:r>
        <w:rPr>
          <w:rStyle w:val="FootnoteReference"/>
        </w:rPr>
        <w:footnoteReference w:id="8"/>
      </w:r>
      <w:r>
        <w:t>).</w:t>
      </w:r>
    </w:p>
    <w:p>
      <w:pPr>
        <w:ind w:firstLine="708"/>
        <w:jc w:val="both"/>
      </w:pPr>
    </w:p>
    <w:p>
      <w:pPr>
        <w:ind w:firstLine="708"/>
        <w:jc w:val="both"/>
      </w:pPr>
      <w:r>
        <w:t>(5) Na množiteľský materiál, ktorý spĺňa požiadavky podľa osobitných predpisov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 xml:space="preserve">  </w:t>
      </w:r>
      <w:r>
        <w:t>sa vydá osvedčenie o uznaní, ktorého vzor je uvedený v prílohe č. 4</w:t>
      </w:r>
    </w:p>
    <w:p>
      <w:pPr>
        <w:rPr>
          <w:szCs w:val="16"/>
        </w:rPr>
      </w:pPr>
      <w:r>
        <w:rPr>
          <w:sz w:val="16"/>
          <w:szCs w:val="16"/>
        </w:rPr>
        <w:t xml:space="preserve"> </w:t>
      </w:r>
    </w:p>
    <w:p>
      <w:pPr>
        <w:jc w:val="center"/>
      </w:pPr>
      <w:r>
        <w:t>§ 6</w:t>
      </w:r>
    </w:p>
    <w:p>
      <w:pPr>
        <w:jc w:val="center"/>
      </w:pPr>
      <w:r>
        <w:t>Vegetačná skúška</w:t>
      </w:r>
    </w:p>
    <w:p>
      <w:pPr>
        <w:jc w:val="both"/>
      </w:pPr>
    </w:p>
    <w:p>
      <w:pPr>
        <w:ind w:firstLine="708"/>
        <w:jc w:val="both"/>
      </w:pPr>
      <w:r>
        <w:t>Na potvrdenie odrodovej pravosti a odrodovej čistoty množiteľského materiálu druhov uvedených v osobitných predpisoch</w:t>
      </w:r>
      <w:r>
        <w:rPr>
          <w:vertAlign w:val="superscript"/>
        </w:rPr>
        <w:t>3</w:t>
      </w:r>
      <w:r>
        <w:t xml:space="preserve">) sa vykonávajú vegetačné skúšky podľa medzinárodne uznanej príručky OECD na vegetačné skúšky a postupom uvedeným v metodických pokynoch.  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§ 7</w:t>
      </w:r>
    </w:p>
    <w:p>
      <w:pPr>
        <w:autoSpaceDE w:val="0"/>
        <w:autoSpaceDN w:val="0"/>
        <w:adjustRightInd w:val="0"/>
        <w:jc w:val="center"/>
      </w:pPr>
      <w:r>
        <w:t>Uznávanie množiteľského materiálu druhov nepodli</w:t>
      </w:r>
      <w:r>
        <w:t xml:space="preserve">ehajúcich povinnej registrácii.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firstLine="708"/>
        <w:jc w:val="both"/>
      </w:pPr>
      <w:r>
        <w:t>Uznávanie množiteľského materiálu druhov neuvedených v osobitnom predpise</w:t>
      </w:r>
      <w:r>
        <w:rPr>
          <w:rStyle w:val="FootnoteReference"/>
        </w:rPr>
        <w:footnoteReference w:id="9"/>
      </w:r>
      <w:r>
        <w:t xml:space="preserve">) sa vykonáva postupom uvedeným v metodických pokynoch na uznávanie osiva kvetín, liečivých rastlín, ovocných drevín a tabaku. </w:t>
      </w:r>
    </w:p>
    <w:p>
      <w:pPr>
        <w:jc w:val="center"/>
        <w:rPr>
          <w:b/>
        </w:rPr>
      </w:pPr>
    </w:p>
    <w:p>
      <w:pPr>
        <w:jc w:val="center"/>
      </w:pPr>
      <w:r>
        <w:t>§ 8</w:t>
      </w:r>
    </w:p>
    <w:p>
      <w:pPr>
        <w:jc w:val="center"/>
      </w:pPr>
      <w:r>
        <w:t>Odborná príprava a odborná skúška pre poverovanie na poľné</w:t>
      </w:r>
      <w:r>
        <w:rPr>
          <w:b/>
        </w:rPr>
        <w:t xml:space="preserve"> </w:t>
      </w:r>
      <w:r>
        <w:t>prehliadky</w:t>
      </w:r>
    </w:p>
    <w:p>
      <w:pPr>
        <w:jc w:val="center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>(1) Odborná príprava žiadateľov pre výkon poľných prehliadok množiteľských porastov druhov uvedených v osobitných predpisoch</w:t>
      </w:r>
      <w:r>
        <w:rPr>
          <w:vertAlign w:val="superscript"/>
        </w:rPr>
        <w:t>6</w:t>
      </w:r>
      <w:r>
        <w:t>) sa vykonáva formou školenia na úrovni teoretickej a praktickej, pričom</w:t>
      </w:r>
    </w:p>
    <w:p>
      <w:pPr>
        <w:numPr>
          <w:ilvl w:val="0"/>
          <w:numId w:val="10"/>
        </w:numPr>
      </w:pPr>
      <w:r>
        <w:t>ob</w:t>
      </w:r>
      <w:r>
        <w:t xml:space="preserve">sahom teoretickej časti je </w:t>
      </w:r>
    </w:p>
    <w:p>
      <w:pPr>
        <w:numPr>
          <w:ilvl w:val="0"/>
          <w:numId w:val="26"/>
        </w:numPr>
      </w:pPr>
      <w:r>
        <w:t xml:space="preserve">odborná semenárska problematika a právne predpisy týkajúce sa súvisiacich druhov, </w:t>
      </w:r>
    </w:p>
    <w:p>
      <w:pPr>
        <w:numPr>
          <w:ilvl w:val="0"/>
          <w:numId w:val="26"/>
        </w:numPr>
      </w:pPr>
      <w:r>
        <w:t xml:space="preserve">príslušné metodické pokyny, </w:t>
      </w:r>
    </w:p>
    <w:p>
      <w:pPr>
        <w:numPr>
          <w:ilvl w:val="0"/>
          <w:numId w:val="10"/>
        </w:numPr>
      </w:pPr>
      <w:r>
        <w:t xml:space="preserve">praktická časť pozostáva z </w:t>
      </w:r>
    </w:p>
    <w:p>
      <w:pPr>
        <w:numPr>
          <w:ilvl w:val="1"/>
          <w:numId w:val="10"/>
        </w:numPr>
      </w:pPr>
      <w:r>
        <w:t>hodnotenia množiteľského porastu,</w:t>
      </w:r>
    </w:p>
    <w:p>
      <w:pPr>
        <w:numPr>
          <w:ilvl w:val="1"/>
          <w:numId w:val="10"/>
        </w:numPr>
      </w:pPr>
      <w:r>
        <w:t>ovládania semenárskej problematiky druhov, ktoré bude žiadateľ prehliadať</w:t>
      </w:r>
    </w:p>
    <w:p>
      <w:pPr>
        <w:numPr>
          <w:ilvl w:val="1"/>
          <w:numId w:val="10"/>
        </w:numPr>
      </w:pPr>
      <w:r>
        <w:t xml:space="preserve">ovládania odrodovej charakteristiky, so schopnosťou používať morfologické popisy odrôd pri posudzovaní odrodovej pravosti.   </w:t>
      </w:r>
    </w:p>
    <w:p/>
    <w:p>
      <w:pPr>
        <w:ind w:firstLine="708"/>
      </w:pPr>
      <w:r>
        <w:t xml:space="preserve">(2) Termín a miesto odbornej prípravy sa oznámi žiadateľovi 30 dní pred jej konaním. </w:t>
      </w:r>
    </w:p>
    <w:p/>
    <w:p>
      <w:pPr>
        <w:ind w:firstLine="708"/>
        <w:jc w:val="both"/>
      </w:pPr>
      <w:r>
        <w:t>(3) Odbornou skúškou s</w:t>
      </w:r>
      <w:r>
        <w:t>a overujú vedomosti a praktické zručnosti žiadateľa. Pozostáva z písomnej časti a praktickej časti, pričom</w:t>
      </w:r>
    </w:p>
    <w:p>
      <w:pPr>
        <w:numPr>
          <w:ilvl w:val="0"/>
          <w:numId w:val="33"/>
        </w:numPr>
        <w:autoSpaceDE w:val="0"/>
        <w:autoSpaceDN w:val="0"/>
        <w:adjustRightInd w:val="0"/>
      </w:pPr>
      <w:r>
        <w:t>písomná časť sa vykonáva formou testu. Účastník skúšky nevyhovel, ak v písomnej časti nezodpovedal správne najmenej 70 % z požadovaných otázok,</w:t>
      </w:r>
    </w:p>
    <w:p>
      <w:pPr>
        <w:numPr>
          <w:ilvl w:val="0"/>
          <w:numId w:val="33"/>
        </w:numPr>
        <w:autoSpaceDE w:val="0"/>
        <w:autoSpaceDN w:val="0"/>
        <w:adjustRightInd w:val="0"/>
      </w:pPr>
      <w:r>
        <w:t xml:space="preserve">praktická časť pozostáva z hodnotenia množiteľského porastu. Účastník skúšky nevyhovel, ak nesprávne hodnotil množiteľský porast. </w:t>
      </w:r>
    </w:p>
    <w:p>
      <w:pPr>
        <w:autoSpaceDE w:val="0"/>
        <w:autoSpaceDN w:val="0"/>
        <w:adjustRightInd w:val="0"/>
        <w:rPr>
          <w:rFonts w:ascii="ITCBookmanEE" w:hAnsi="ITCBookmanEE" w:cs="ITCBookmanEE"/>
          <w:sz w:val="19"/>
          <w:szCs w:val="19"/>
        </w:rPr>
      </w:pPr>
    </w:p>
    <w:p>
      <w:pPr>
        <w:jc w:val="center"/>
      </w:pPr>
      <w:r>
        <w:t>§ 9</w:t>
      </w:r>
    </w:p>
    <w:p>
      <w:pPr>
        <w:autoSpaceDE w:val="0"/>
        <w:autoSpaceDN w:val="0"/>
        <w:adjustRightInd w:val="0"/>
        <w:jc w:val="center"/>
      </w:pPr>
      <w:r>
        <w:t>Odborná príprava a odborná skúška pre poverovanie na odber vzoriek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>(1) Odborná príprava žiadateľov na odber vzoriek množiteľského materiálu druhov uvedených v  osobitných predpisoch</w:t>
      </w:r>
      <w:r>
        <w:rPr>
          <w:vertAlign w:val="superscript"/>
        </w:rPr>
        <w:t>6)</w:t>
      </w:r>
      <w:r>
        <w:t xml:space="preserve"> sa vykonáva formou školenia na úrovni teoretickej a praktickej, pričom</w:t>
      </w:r>
    </w:p>
    <w:p>
      <w:pPr>
        <w:numPr>
          <w:ilvl w:val="1"/>
          <w:numId w:val="34"/>
        </w:numPr>
        <w:jc w:val="both"/>
      </w:pPr>
      <w:r>
        <w:t xml:space="preserve">obsahom teoretickej časti je </w:t>
      </w:r>
    </w:p>
    <w:p>
      <w:pPr>
        <w:numPr>
          <w:ilvl w:val="2"/>
          <w:numId w:val="34"/>
        </w:numPr>
        <w:jc w:val="both"/>
      </w:pPr>
      <w:r>
        <w:t>odborná semenárska problematika a právne predpisy týkajúce sa súvisiacich druhov,</w:t>
      </w:r>
    </w:p>
    <w:p>
      <w:pPr>
        <w:numPr>
          <w:ilvl w:val="2"/>
          <w:numId w:val="34"/>
        </w:numPr>
        <w:jc w:val="both"/>
      </w:pPr>
      <w:r>
        <w:t>Metodika skúš</w:t>
      </w:r>
      <w:r>
        <w:t xml:space="preserve">ania osiva uvedená v §5 ods. 2, </w:t>
      </w:r>
    </w:p>
    <w:p>
      <w:pPr>
        <w:numPr>
          <w:ilvl w:val="2"/>
          <w:numId w:val="34"/>
        </w:numPr>
        <w:jc w:val="both"/>
      </w:pPr>
      <w:r>
        <w:t xml:space="preserve">príslušné metodické pokyny,  </w:t>
      </w:r>
    </w:p>
    <w:p>
      <w:pPr>
        <w:numPr>
          <w:ilvl w:val="2"/>
          <w:numId w:val="34"/>
        </w:numPr>
      </w:pPr>
      <w:r>
        <w:t xml:space="preserve">odber vzoriek automatickým vzorkovačom,  </w:t>
      </w:r>
    </w:p>
    <w:p>
      <w:pPr>
        <w:numPr>
          <w:ilvl w:val="1"/>
          <w:numId w:val="34"/>
        </w:numPr>
      </w:pPr>
      <w:r>
        <w:t xml:space="preserve">praktická časť pozostáva z </w:t>
      </w:r>
    </w:p>
    <w:p>
      <w:pPr>
        <w:numPr>
          <w:ilvl w:val="2"/>
          <w:numId w:val="34"/>
        </w:numPr>
      </w:pPr>
      <w:r>
        <w:t>odberu vzorky osiva,</w:t>
      </w:r>
    </w:p>
    <w:p>
      <w:pPr>
        <w:numPr>
          <w:ilvl w:val="2"/>
          <w:numId w:val="34"/>
        </w:numPr>
        <w:jc w:val="both"/>
      </w:pPr>
      <w:r>
        <w:t>ovládania vedenia evidencie pri odbere vzoriek v sklade,</w:t>
      </w:r>
    </w:p>
    <w:p>
      <w:pPr>
        <w:numPr>
          <w:ilvl w:val="2"/>
          <w:numId w:val="34"/>
        </w:numPr>
        <w:jc w:val="both"/>
      </w:pPr>
      <w:r>
        <w:t xml:space="preserve">ovládania vyplňovania sprievodných dokladov.   </w:t>
      </w:r>
    </w:p>
    <w:p>
      <w:pPr>
        <w:jc w:val="both"/>
      </w:pPr>
    </w:p>
    <w:p>
      <w:pPr>
        <w:ind w:firstLine="708"/>
        <w:jc w:val="both"/>
      </w:pPr>
      <w:r>
        <w:t xml:space="preserve">(2) Termín a miesto odbornej prípravy sa oznámi žiadateľovi 30 dní pred jej konaním. </w:t>
      </w:r>
    </w:p>
    <w:p>
      <w:pPr>
        <w:jc w:val="both"/>
      </w:pPr>
      <w:r>
        <w:t xml:space="preserve"> </w:t>
      </w:r>
    </w:p>
    <w:p>
      <w:pPr>
        <w:ind w:firstLine="708"/>
        <w:jc w:val="both"/>
      </w:pPr>
      <w:r>
        <w:t xml:space="preserve">(3) Odbornou skúškou sa overujú vedomosti a praktické zručnosti žiadateľa. Pozostáva z písomnej časti a praktickej časti , pričom </w:t>
      </w:r>
    </w:p>
    <w:p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písomná časť  sa vykonáva formou testu. Účastník skúšky nevyhovel, ak v písomnej časti nezodpovedal správne najmenej 70 % z požadovaných otázok, </w:t>
      </w:r>
    </w:p>
    <w:p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praktická časť pozostáva z odberu vzorky osiva a vyplnenia sprievodných dokladov ku vzorke. Účastník skúšky nevyhovel, ak správne neodobral vzorku osiva alebo nesprávne vyplnil sprievodné doklady. </w:t>
      </w:r>
    </w:p>
    <w:p>
      <w:pPr>
        <w:autoSpaceDE w:val="0"/>
        <w:autoSpaceDN w:val="0"/>
        <w:adjustRightInd w:val="0"/>
        <w:ind w:left="360"/>
      </w:pPr>
      <w:r>
        <w:t xml:space="preserve"> </w:t>
      </w:r>
    </w:p>
    <w:p>
      <w:pPr>
        <w:jc w:val="center"/>
      </w:pPr>
      <w:r>
        <w:t>§ 10</w:t>
      </w:r>
    </w:p>
    <w:p>
      <w:pPr>
        <w:autoSpaceDE w:val="0"/>
        <w:autoSpaceDN w:val="0"/>
        <w:adjustRightInd w:val="0"/>
        <w:ind w:left="360"/>
        <w:jc w:val="center"/>
      </w:pPr>
      <w:r>
        <w:t xml:space="preserve">Odborná príprava a odborná skúška pre poverovanie na laboratórne skúšanie </w:t>
      </w:r>
    </w:p>
    <w:p/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(1) Odborná príprava žiadateľov pre výkon na laboratórne skúšanie množiteľského materiálu druhov uvedených v osobitných predpisoch </w:t>
      </w:r>
      <w:r>
        <w:rPr>
          <w:vertAlign w:val="superscript"/>
        </w:rPr>
        <w:t>6)</w:t>
      </w:r>
      <w:r>
        <w:t xml:space="preserve">  sa vykonáva formou školenia na úrovni teoretickej a praktickej, pričom</w:t>
      </w:r>
    </w:p>
    <w:p>
      <w:pPr>
        <w:numPr>
          <w:ilvl w:val="1"/>
          <w:numId w:val="36"/>
        </w:numPr>
      </w:pPr>
      <w:r>
        <w:t xml:space="preserve">obsahom teoretickej časti je </w:t>
      </w:r>
    </w:p>
    <w:p>
      <w:pPr>
        <w:numPr>
          <w:ilvl w:val="2"/>
          <w:numId w:val="36"/>
        </w:numPr>
      </w:pPr>
      <w:r>
        <w:t xml:space="preserve">odborná semenárska problematika a právne predpisy týkajúce sa súvisiacich druhov, </w:t>
      </w:r>
    </w:p>
    <w:p>
      <w:pPr>
        <w:numPr>
          <w:ilvl w:val="2"/>
          <w:numId w:val="36"/>
        </w:numPr>
      </w:pPr>
      <w:r>
        <w:t xml:space="preserve">príslušné metodické pokyny,  </w:t>
      </w:r>
    </w:p>
    <w:p>
      <w:pPr>
        <w:numPr>
          <w:ilvl w:val="2"/>
          <w:numId w:val="36"/>
        </w:numPr>
      </w:pPr>
      <w:r>
        <w:t>Metodika skúšania osiva u</w:t>
      </w:r>
      <w:r>
        <w:t>vedená v §5 ods. 2,</w:t>
      </w:r>
    </w:p>
    <w:p>
      <w:pPr>
        <w:numPr>
          <w:ilvl w:val="2"/>
          <w:numId w:val="36"/>
        </w:numPr>
      </w:pPr>
      <w:r>
        <w:t>technické predpisy pri vedení laboratória,</w:t>
      </w:r>
    </w:p>
    <w:p>
      <w:pPr>
        <w:numPr>
          <w:ilvl w:val="1"/>
          <w:numId w:val="36"/>
        </w:numPr>
      </w:pPr>
      <w:r>
        <w:t xml:space="preserve">obsahom praktickej časti sú </w:t>
      </w:r>
    </w:p>
    <w:p>
      <w:pPr>
        <w:numPr>
          <w:ilvl w:val="2"/>
          <w:numId w:val="36"/>
        </w:numPr>
      </w:pPr>
      <w:r>
        <w:t xml:space="preserve">laboratórne zručnosti pri rozbore osív súvisiacich druhov, </w:t>
      </w:r>
    </w:p>
    <w:p>
      <w:pPr>
        <w:numPr>
          <w:ilvl w:val="2"/>
          <w:numId w:val="36"/>
        </w:numPr>
      </w:pPr>
      <w:r>
        <w:t xml:space="preserve">vedenie záznamov o laboratórnej skúške. </w:t>
      </w:r>
    </w:p>
    <w:p/>
    <w:p>
      <w:pPr>
        <w:ind w:firstLine="708"/>
      </w:pPr>
      <w:r>
        <w:t xml:space="preserve">(2) Termín a miesto odbornej prípravy sa oznámi žiadateľovi 30 dní pred jej konaním. </w:t>
      </w:r>
    </w:p>
    <w:p/>
    <w:p>
      <w:pPr>
        <w:ind w:firstLine="708"/>
      </w:pPr>
      <w:r>
        <w:t xml:space="preserve">(3) Odbornou skúškou sa overujú vedomosti a praktické zručnosti  žiadateľa. Pozostáva z písomnej časti  a praktickej časti, pričom </w:t>
      </w:r>
    </w:p>
    <w:p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písomná časť  sa vykonáva formou testu. Účastník skúšky nevyhovel, ak v písomnej časti nezodpovedal správne najmenej 70 % z požadovaných otázok, </w:t>
      </w:r>
    </w:p>
    <w:p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praktická časť sa vykonáva formou kruhového testu. Účastník skúšky nevyhovel, ak   v kruhových testoch  nie sú výsledky  v rámci hodnôt zhodnosti v súlade s Metodikou  skúšania osiva uvedenej v § 5 ods. 2.  </w:t>
      </w:r>
    </w:p>
    <w:p/>
    <w:p>
      <w:pPr>
        <w:autoSpaceDE w:val="0"/>
        <w:autoSpaceDN w:val="0"/>
        <w:adjustRightInd w:val="0"/>
        <w:jc w:val="center"/>
      </w:pPr>
      <w:r>
        <w:t>§ 11</w:t>
      </w:r>
    </w:p>
    <w:p>
      <w:pPr>
        <w:autoSpaceDE w:val="0"/>
        <w:autoSpaceDN w:val="0"/>
        <w:adjustRightInd w:val="0"/>
        <w:jc w:val="center"/>
      </w:pPr>
      <w:r>
        <w:t>Účinnosť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708"/>
      </w:pPr>
      <w:r>
        <w:t xml:space="preserve">Táto vyhláška nadobúda účinnosť 1. decembra 2006. </w:t>
      </w:r>
    </w:p>
    <w:p/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1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1A87" w:usb1="00000000" w:usb2="00000000" w:usb3="00000000" w:csb0="000001B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1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) </w:t>
      </w:r>
      <w:r>
        <w:rPr>
          <w:szCs w:val="16"/>
        </w:rPr>
        <w:t>§ 12a až §12e zákona č. 105/1990 Zb. o súkromnom podnikaní občanov v znení neskorších predpisov.</w:t>
      </w:r>
      <w:r>
        <w:t xml:space="preserve"> </w:t>
      </w:r>
    </w:p>
  </w:footnote>
  <w:footnote w:id="3">
    <w:p>
      <w:pPr>
        <w:ind w:left="180" w:hanging="180"/>
        <w:jc w:val="both"/>
        <w:rPr>
          <w:sz w:val="20"/>
          <w:szCs w:val="16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) </w:t>
      </w:r>
      <w:r>
        <w:rPr>
          <w:sz w:val="20"/>
          <w:szCs w:val="16"/>
        </w:rPr>
        <w:t xml:space="preserve">Nariadenie vlády Slovenskej republiky č. .../..... Z. z., ktorým sa ustanovujú podrobnosti o uvádzaní osiva olejnín a priadnych rastlín na trh.  </w:t>
      </w:r>
    </w:p>
    <w:p>
      <w:pPr>
        <w:pStyle w:val="BodyTextIndent2"/>
        <w:rPr>
          <w:vertAlign w:val="superscript"/>
        </w:rPr>
      </w:pPr>
      <w:r>
        <w:t>Nariadenie vlády Slovenskej republiky č. .../..... Z. z., ktorým sa ustanovujú podrobnosti o uvádzaní osiva repy na trh.</w:t>
      </w:r>
    </w:p>
    <w:p>
      <w:pPr>
        <w:pStyle w:val="BodyTextIndent"/>
        <w:ind w:firstLine="0"/>
        <w:jc w:val="both"/>
      </w:pPr>
      <w:r>
        <w:t xml:space="preserve">Nariadenie vlády Slovenskej republiky č. .../..... Z. z., ktorým sa ustanovujú podrobnosti o uvádzaní osiva zelenín na trh. </w:t>
      </w:r>
    </w:p>
    <w:p>
      <w:pPr>
        <w:pStyle w:val="BodyTextIndent"/>
        <w:ind w:firstLine="0"/>
        <w:jc w:val="both"/>
      </w:pPr>
      <w:r>
        <w:t xml:space="preserve">Nariadenie vlády Slovenskej republiky č. .../..... Z. z., ktorým sa ustanovujú podrobnosti o uvádzaní osiva krmovín na trh. 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>Nariadenie vlády Slovenskej republiky č. .../..... Z. z., ktorým sa ustanovujú podrobnosti o uvádzaní osiva obilnín na trh.</w:t>
      </w:r>
    </w:p>
    <w:p>
      <w:pPr>
        <w:pStyle w:val="FootnoteText"/>
        <w:ind w:left="180"/>
        <w:jc w:val="both"/>
      </w:pPr>
      <w:r>
        <w:rPr>
          <w:szCs w:val="16"/>
        </w:rPr>
        <w:t xml:space="preserve">Nariadenie vlády Slovenskej republiky č. .../..... Z. z., ktorým sa ustanovujú podrobnosti o uvádzaní sadiva zemiakov na trh.  </w:t>
      </w:r>
      <w:r>
        <w:t xml:space="preserve"> </w:t>
      </w:r>
    </w:p>
  </w:footnote>
  <w:footnote w:id="4">
    <w:p>
      <w:pPr>
        <w:ind w:left="180" w:hanging="180"/>
        <w:jc w:val="both"/>
        <w:rPr>
          <w:sz w:val="20"/>
          <w:szCs w:val="16"/>
        </w:rPr>
      </w:pPr>
      <w:r>
        <w:rPr>
          <w:rStyle w:val="FootnoteReference"/>
        </w:rPr>
        <w:footnoteRef/>
      </w:r>
      <w:r>
        <w:t xml:space="preserve">) </w:t>
      </w: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 p</w:t>
      </w:r>
      <w:r>
        <w:rPr>
          <w:sz w:val="20"/>
          <w:szCs w:val="16"/>
        </w:rPr>
        <w:t xml:space="preserve">odrobnosti o uvádzaní osiva olejnín a priadnych rastlín na trh. 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 xml:space="preserve">Z. z., ktorým sa ustanovujú podrobnosti o uvádzaní osiva repy  na trh. 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 xml:space="preserve">Z. z., ktorým sa </w:t>
      </w:r>
      <w:r>
        <w:rPr>
          <w:sz w:val="20"/>
          <w:szCs w:val="16"/>
        </w:rPr>
        <w:t>ustanovujú podrobnosti o uvádzaní osiva zelenín na trh.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>Nariadenie vlády Slovenskej republiky č. ....... Z. z., ktorým sa ustanovujú podrobnosti o uvádzaní osiva krmovín na trh.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</w:t>
      </w:r>
      <w:r>
        <w:rPr>
          <w:sz w:val="20"/>
          <w:szCs w:val="16"/>
        </w:rPr>
        <w:t xml:space="preserve"> podrobnosti o uvádzaní osiva obilnín na trh.  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 podrobnosti o uvádzaní sadiva zemiakov na trh.</w:t>
      </w:r>
    </w:p>
    <w:p>
      <w:pPr>
        <w:pStyle w:val="BodyTextIndent3"/>
        <w:jc w:val="both"/>
        <w:rPr>
          <w:szCs w:val="24"/>
        </w:rPr>
      </w:pPr>
      <w:r>
        <w:rPr>
          <w:szCs w:val="24"/>
        </w:rPr>
        <w:t xml:space="preserve">Nariadenie vlády Slovenskej republiky č. </w:t>
      </w:r>
      <w:r>
        <w:t xml:space="preserve">.../..... </w:t>
      </w:r>
      <w:r>
        <w:rPr>
          <w:szCs w:val="24"/>
        </w:rPr>
        <w:t>Z. z., ktorým sa ustanovujú pod</w:t>
      </w:r>
      <w:r>
        <w:rPr>
          <w:szCs w:val="24"/>
        </w:rPr>
        <w:t xml:space="preserve">robnosti o uvádzaní sadiva a sadeníc zelenín na trh. </w:t>
      </w:r>
    </w:p>
    <w:p>
      <w:pPr>
        <w:ind w:left="180"/>
        <w:jc w:val="both"/>
        <w:rPr>
          <w:sz w:val="20"/>
        </w:rPr>
      </w:pPr>
      <w:r>
        <w:rPr>
          <w:sz w:val="20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</w:rPr>
        <w:t xml:space="preserve">Z. z., ktorým sa ustanovujú podrobnosti o uvádzaní sadiva a sadeníc zelenín na trh.  </w:t>
      </w:r>
    </w:p>
  </w:footnote>
  <w:footnote w:id="5">
    <w:p>
      <w:pPr>
        <w:pStyle w:val="FootnoteText"/>
        <w:ind w:left="180" w:hanging="180"/>
        <w:jc w:val="both"/>
      </w:pPr>
      <w:r>
        <w:rPr>
          <w:rStyle w:val="FootnoteReference"/>
        </w:rPr>
        <w:footnoteRef/>
      </w:r>
      <w:r>
        <w:t xml:space="preserve">) </w:t>
      </w:r>
      <w:r>
        <w:rPr>
          <w:szCs w:val="16"/>
        </w:rPr>
        <w:t xml:space="preserve">Nariadenie vlády Slovenskej republiky č. .../..... Z. z., ktorým sa ustanovujú podrobnosti o uvádzaní sadiva zemiakov na trh.  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)  </w:t>
      </w:r>
      <w:r>
        <w:rPr>
          <w:szCs w:val="16"/>
        </w:rPr>
        <w:t>STN 46 0609 Odber vzoriek osiva a sadiva.</w:t>
      </w:r>
    </w:p>
  </w:footnote>
  <w:footnote w:id="7">
    <w:p>
      <w:pPr>
        <w:ind w:left="180" w:hanging="180"/>
        <w:jc w:val="both"/>
        <w:rPr>
          <w:sz w:val="20"/>
          <w:szCs w:val="16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) </w:t>
      </w: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 podrobnosti o uvádzaní osiva olejnín a priadnych rastlín na tr</w:t>
      </w:r>
      <w:r>
        <w:rPr>
          <w:sz w:val="20"/>
          <w:szCs w:val="16"/>
        </w:rPr>
        <w:t xml:space="preserve">h.  </w:t>
      </w:r>
    </w:p>
    <w:p>
      <w:pPr>
        <w:ind w:left="180"/>
        <w:jc w:val="both"/>
        <w:rPr>
          <w:sz w:val="20"/>
          <w:szCs w:val="16"/>
          <w:vertAlign w:val="superscript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 podrobnosti o uvádzaní osiva repy  na trh.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 xml:space="preserve">Z. z., ktorým sa ustanovujú podrobnosti o uvádzaní osiva zelenín na trh. </w:t>
      </w:r>
    </w:p>
    <w:p>
      <w:pPr>
        <w:pStyle w:val="BodyTextIndent"/>
        <w:ind w:firstLine="0"/>
        <w:jc w:val="both"/>
      </w:pPr>
      <w:r>
        <w:t>Nari</w:t>
      </w:r>
      <w:r>
        <w:t xml:space="preserve">adenie vlády Slovenskej republiky č. .../..... Z. z., ktorým sa ustanovujú podrobnosti o uvádzaní osiva krmovín na trh. </w:t>
      </w:r>
    </w:p>
    <w:p>
      <w:pPr>
        <w:ind w:left="18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Nariadenie vlády Slovenskej republiky č. </w:t>
      </w:r>
      <w:r>
        <w:rPr>
          <w:szCs w:val="16"/>
        </w:rPr>
        <w:t xml:space="preserve">.../..... </w:t>
      </w:r>
      <w:r>
        <w:rPr>
          <w:sz w:val="20"/>
          <w:szCs w:val="16"/>
        </w:rPr>
        <w:t>Z. z., ktorým sa ustanovujú podrobnosti o uvádzaní osiva obilnín na trh.</w:t>
      </w:r>
    </w:p>
    <w:p>
      <w:pPr>
        <w:pStyle w:val="FootnoteText"/>
        <w:ind w:left="180"/>
        <w:jc w:val="both"/>
      </w:pPr>
      <w:r>
        <w:rPr>
          <w:szCs w:val="16"/>
        </w:rPr>
        <w:t xml:space="preserve">Nariadenie </w:t>
      </w:r>
      <w:r>
        <w:rPr>
          <w:szCs w:val="16"/>
        </w:rPr>
        <w:t>vlády Slovenskej republiky č. .../..... Z.  z., ktorým sa ustanovujú podrobnosti o uvádzaní sadiva zemiakov na trh.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) </w:t>
      </w:r>
      <w:r>
        <w:rPr>
          <w:szCs w:val="16"/>
        </w:rPr>
        <w:t>STN 46 0310 Spoločné ustanovenia pre osivo a sadivo</w:t>
      </w:r>
      <w:r>
        <w:t>.</w:t>
      </w:r>
    </w:p>
  </w:footnote>
  <w:footnote w:id="9">
    <w:p>
      <w:pPr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>) Vyhláška Ministerstva pôdohospodárstva Slovenskej republiky č. .../2006 Z. z., kt</w:t>
      </w:r>
      <w:r>
        <w:rPr>
          <w:sz w:val="20"/>
        </w:rPr>
        <w:t>orou sa ustanovujú podrobnosti o vykonávaní štátnych odrodových skúšok, vydávaní osvedčení o šľachtení nových odrôd pestovaných rastlín a osvedčení o udržiavacom šľachtení odrôd pestovaných rastlín a o náležitostiach Štátnej odrodovej knihy a Listiny registrovaných odrôd.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0F"/>
    <w:multiLevelType w:val="hybridMultilevel"/>
    <w:tmpl w:val="C810A6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3431C"/>
    <w:multiLevelType w:val="hybridMultilevel"/>
    <w:tmpl w:val="9138BB0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F60CB"/>
    <w:multiLevelType w:val="hybridMultilevel"/>
    <w:tmpl w:val="127A4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D0A4C"/>
    <w:multiLevelType w:val="hybridMultilevel"/>
    <w:tmpl w:val="2CD8E4C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0250B"/>
    <w:multiLevelType w:val="hybridMultilevel"/>
    <w:tmpl w:val="715C43D4"/>
    <w:lvl w:ilvl="0">
      <w:start w:val="1"/>
      <w:numFmt w:val="lowerLetter"/>
      <w:lvlText w:val="%1)"/>
      <w:lvlJc w:val="left"/>
      <w:pPr>
        <w:tabs>
          <w:tab w:val="num" w:pos="540"/>
        </w:tabs>
        <w:ind w:left="52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3110B"/>
    <w:multiLevelType w:val="hybridMultilevel"/>
    <w:tmpl w:val="6A74830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F16A4"/>
    <w:multiLevelType w:val="hybridMultilevel"/>
    <w:tmpl w:val="B2C4953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063DE"/>
    <w:multiLevelType w:val="hybridMultilevel"/>
    <w:tmpl w:val="047C81F0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2F277D4"/>
    <w:multiLevelType w:val="hybridMultilevel"/>
    <w:tmpl w:val="B23AFD4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3B60A1"/>
    <w:multiLevelType w:val="singleLevel"/>
    <w:tmpl w:val="AD24BFDA"/>
    <w:lvl w:ilvl="0">
      <w:start w:val="1"/>
      <w:numFmt w:val="decimal"/>
      <w:lvlText w:val="(%1)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1C575E20"/>
    <w:multiLevelType w:val="hybridMultilevel"/>
    <w:tmpl w:val="8332B4B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C2C4A"/>
    <w:multiLevelType w:val="singleLevel"/>
    <w:tmpl w:val="815643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26C33133"/>
    <w:multiLevelType w:val="singleLevel"/>
    <w:tmpl w:val="B94664E2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>
    <w:nsid w:val="27A64E3A"/>
    <w:multiLevelType w:val="singleLevel"/>
    <w:tmpl w:val="A66E60DC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2E371F5F"/>
    <w:multiLevelType w:val="hybridMultilevel"/>
    <w:tmpl w:val="8A8ED78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802BA"/>
    <w:multiLevelType w:val="singleLevel"/>
    <w:tmpl w:val="46BC18C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35C33407"/>
    <w:multiLevelType w:val="hybridMultilevel"/>
    <w:tmpl w:val="0A6E6F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EC5A23"/>
    <w:multiLevelType w:val="hybridMultilevel"/>
    <w:tmpl w:val="5374FE4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84B0B"/>
    <w:multiLevelType w:val="hybridMultilevel"/>
    <w:tmpl w:val="F5D0D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A4F1D"/>
    <w:multiLevelType w:val="singleLevel"/>
    <w:tmpl w:val="42505D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3BDE7F77"/>
    <w:multiLevelType w:val="hybridMultilevel"/>
    <w:tmpl w:val="B7D4BAB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1">
    <w:nsid w:val="3D906F6C"/>
    <w:multiLevelType w:val="hybridMultilevel"/>
    <w:tmpl w:val="C06C892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966D4"/>
    <w:multiLevelType w:val="singleLevel"/>
    <w:tmpl w:val="46BC18C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>
    <w:nsid w:val="4A8044BC"/>
    <w:multiLevelType w:val="hybridMultilevel"/>
    <w:tmpl w:val="6C36CB1C"/>
    <w:lvl w:ilvl="0">
      <w:start w:val="5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B106BED"/>
    <w:multiLevelType w:val="hybridMultilevel"/>
    <w:tmpl w:val="6A08315E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08D0120"/>
    <w:multiLevelType w:val="hybridMultilevel"/>
    <w:tmpl w:val="AEE4E17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C7F50"/>
    <w:multiLevelType w:val="hybridMultilevel"/>
    <w:tmpl w:val="43C653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2D27D0"/>
    <w:multiLevelType w:val="singleLevel"/>
    <w:tmpl w:val="407896E8"/>
    <w:lvl w:ilvl="0">
      <w:start w:val="2"/>
      <w:numFmt w:val="decimal"/>
      <w:lvlText w:val="(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>
    <w:nsid w:val="638129E7"/>
    <w:multiLevelType w:val="hybridMultilevel"/>
    <w:tmpl w:val="506244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C76935"/>
    <w:multiLevelType w:val="hybridMultilevel"/>
    <w:tmpl w:val="990846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D6F47"/>
    <w:multiLevelType w:val="hybridMultilevel"/>
    <w:tmpl w:val="2006C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51FC2"/>
    <w:multiLevelType w:val="hybridMultilevel"/>
    <w:tmpl w:val="00F06C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8D1EA3"/>
    <w:multiLevelType w:val="hybridMultilevel"/>
    <w:tmpl w:val="E0301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5B6551"/>
    <w:multiLevelType w:val="singleLevel"/>
    <w:tmpl w:val="46BC18CA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>
    <w:nsid w:val="768E6E85"/>
    <w:multiLevelType w:val="singleLevel"/>
    <w:tmpl w:val="815643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8"/>
  </w:num>
  <w:num w:numId="5">
    <w:abstractNumId w:val="23"/>
  </w:num>
  <w:num w:numId="6">
    <w:abstractNumId w:val="7"/>
  </w:num>
  <w:num w:numId="7">
    <w:abstractNumId w:val="24"/>
  </w:num>
  <w:num w:numId="8">
    <w:abstractNumId w:val="20"/>
  </w:num>
  <w:num w:numId="9">
    <w:abstractNumId w:val="6"/>
  </w:num>
  <w:num w:numId="10">
    <w:abstractNumId w:val="29"/>
  </w:num>
  <w:num w:numId="11">
    <w:abstractNumId w:val="16"/>
  </w:num>
  <w:num w:numId="12">
    <w:abstractNumId w:val="30"/>
  </w:num>
  <w:num w:numId="13">
    <w:abstractNumId w:val="19"/>
  </w:num>
  <w:num w:numId="14">
    <w:abstractNumId w:val="9"/>
  </w:num>
  <w:num w:numId="15">
    <w:abstractNumId w:val="27"/>
  </w:num>
  <w:num w:numId="16">
    <w:abstractNumId w:val="34"/>
  </w:num>
  <w:num w:numId="17">
    <w:abstractNumId w:val="11"/>
  </w:num>
  <w:num w:numId="18">
    <w:abstractNumId w:val="33"/>
  </w:num>
  <w:num w:numId="19">
    <w:abstractNumId w:val="3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6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2">
    <w:abstractNumId w:val="22"/>
  </w:num>
  <w:num w:numId="23">
    <w:abstractNumId w:val="12"/>
  </w:num>
  <w:num w:numId="24">
    <w:abstractNumId w:val="15"/>
  </w:num>
  <w:num w:numId="25">
    <w:abstractNumId w:val="28"/>
  </w:num>
  <w:num w:numId="26">
    <w:abstractNumId w:val="5"/>
  </w:num>
  <w:num w:numId="27">
    <w:abstractNumId w:val="25"/>
  </w:num>
  <w:num w:numId="28">
    <w:abstractNumId w:val="2"/>
  </w:num>
  <w:num w:numId="29">
    <w:abstractNumId w:val="0"/>
  </w:num>
  <w:num w:numId="30">
    <w:abstractNumId w:val="32"/>
  </w:num>
  <w:num w:numId="31">
    <w:abstractNumId w:val="8"/>
  </w:num>
  <w:num w:numId="32">
    <w:abstractNumId w:val="26"/>
  </w:num>
  <w:num w:numId="33">
    <w:abstractNumId w:val="1"/>
  </w:num>
  <w:num w:numId="34">
    <w:abstractNumId w:val="31"/>
  </w:num>
  <w:num w:numId="35">
    <w:abstractNumId w:val="17"/>
  </w:num>
  <w:num w:numId="36">
    <w:abstractNumId w:val="21"/>
  </w:num>
  <w:num w:numId="37">
    <w:abstractNumId w:val="1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cs-CZ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paragrafodsadeny">
    <w:name w:val="paragraf odsadeny"/>
    <w:basedOn w:val="Normal"/>
    <w:pPr>
      <w:widowControl w:val="0"/>
      <w:overflowPunct w:val="0"/>
      <w:autoSpaceDE w:val="0"/>
      <w:autoSpaceDN w:val="0"/>
      <w:adjustRightInd w:val="0"/>
      <w:spacing w:before="20" w:after="20" w:line="260" w:lineRule="atLeast"/>
      <w:ind w:left="284" w:hanging="284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</w:rPr>
  </w:style>
  <w:style w:type="paragraph" w:styleId="BodyTextIndent">
    <w:name w:val="Body Text Indent"/>
    <w:basedOn w:val="Normal"/>
    <w:pPr>
      <w:ind w:left="180" w:hanging="180"/>
    </w:pPr>
    <w:rPr>
      <w:sz w:val="20"/>
      <w:szCs w:val="16"/>
    </w:rPr>
  </w:style>
  <w:style w:type="paragraph" w:styleId="BodyTextIndent2">
    <w:name w:val="Body Text Indent 2"/>
    <w:basedOn w:val="Normal"/>
    <w:pPr>
      <w:ind w:left="180"/>
      <w:jc w:val="both"/>
    </w:pPr>
    <w:rPr>
      <w:sz w:val="20"/>
      <w:szCs w:val="16"/>
    </w:rPr>
  </w:style>
  <w:style w:type="paragraph" w:styleId="BodyTextIndent3">
    <w:name w:val="Body Text Indent 3"/>
    <w:basedOn w:val="Normal"/>
    <w:pPr>
      <w:ind w:left="180"/>
    </w:pPr>
    <w:rPr>
      <w:sz w:val="20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102</TotalTime>
  <Pages>1</Pages>
  <Words>1379</Words>
  <Characters>7865</Characters>
  <Application>Microsoft Office Word</Application>
  <DocSecurity>0</DocSecurity>
  <Lines>65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………</vt:lpstr>
    </vt:vector>
  </TitlesOfParts>
  <Company>uksup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majdekova helena</dc:creator>
  <cp:lastModifiedBy>timea.lengyelova</cp:lastModifiedBy>
  <cp:revision>16</cp:revision>
  <dcterms:created xsi:type="dcterms:W3CDTF">2006-08-16T12:42:00Z</dcterms:created>
  <dcterms:modified xsi:type="dcterms:W3CDTF">2006-08-17T08:22:00Z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1686986062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/>
  </property>
</Properties>
</file>