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7F9E" w:rsidP="00C07F9E">
      <w:pPr>
        <w:jc w:val="center"/>
        <w:rPr>
          <w:rFonts w:cs="Calibri"/>
          <w:b/>
          <w:bCs/>
          <w:caps/>
          <w:sz w:val="32"/>
          <w:szCs w:val="32"/>
        </w:rPr>
      </w:pPr>
      <w:r>
        <w:rPr>
          <w:rFonts w:cs="Calibri"/>
          <w:b/>
          <w:bCs/>
          <w:caps/>
          <w:sz w:val="32"/>
          <w:szCs w:val="32"/>
        </w:rPr>
        <w:t>Ná</w:t>
      </w:r>
      <w:r w:rsidRPr="00D11742">
        <w:rPr>
          <w:rFonts w:cs="Calibri"/>
          <w:b/>
          <w:bCs/>
          <w:caps/>
          <w:sz w:val="32"/>
          <w:szCs w:val="32"/>
        </w:rPr>
        <w:t>r</w:t>
      </w:r>
      <w:r>
        <w:rPr>
          <w:rFonts w:cs="Calibri"/>
          <w:b/>
          <w:bCs/>
          <w:caps/>
          <w:sz w:val="32"/>
          <w:szCs w:val="32"/>
        </w:rPr>
        <w:t>odná r</w:t>
      </w:r>
      <w:r w:rsidRPr="00D11742">
        <w:rPr>
          <w:rFonts w:cs="Calibri"/>
          <w:b/>
          <w:bCs/>
          <w:caps/>
          <w:sz w:val="32"/>
          <w:szCs w:val="32"/>
        </w:rPr>
        <w:t>ada  Slovenskej  republiky</w:t>
      </w:r>
    </w:p>
    <w:p w:rsidR="00C07F9E" w:rsidRPr="00B55394" w:rsidP="00C07F9E">
      <w:pPr>
        <w:pBdr>
          <w:bottom w:val="single" w:sz="12" w:space="1" w:color="auto"/>
        </w:pBdr>
        <w:jc w:val="center"/>
        <w:rPr>
          <w:rFonts w:cs="Calibri"/>
          <w:b/>
          <w:bCs/>
        </w:rPr>
      </w:pPr>
      <w:r>
        <w:rPr>
          <w:rFonts w:cs="Calibri"/>
          <w:b/>
          <w:bCs/>
          <w:caps/>
        </w:rPr>
        <w:t>IV.</w:t>
      </w:r>
      <w:r w:rsidRPr="00B55394">
        <w:rPr>
          <w:rFonts w:cs="Calibri"/>
          <w:b/>
          <w:bCs/>
          <w:caps/>
        </w:rPr>
        <w:t xml:space="preserve"> </w:t>
      </w:r>
      <w:r w:rsidRPr="00B55394">
        <w:rPr>
          <w:rFonts w:cs="Calibri"/>
          <w:b/>
          <w:bCs/>
        </w:rPr>
        <w:t>volebné obdobie</w:t>
      </w:r>
    </w:p>
    <w:p w:rsidR="00C07F9E" w:rsidP="00C07F9E">
      <w:pPr>
        <w:pStyle w:val="BodyText"/>
        <w:rPr>
          <w:rFonts w:cs="Calibri"/>
          <w:b w:val="0"/>
          <w:bCs w:val="0"/>
        </w:rPr>
      </w:pPr>
    </w:p>
    <w:p w:rsidR="00C07F9E" w:rsidRPr="00E36B76" w:rsidP="00C07F9E">
      <w:pPr>
        <w:pStyle w:val="BodyText"/>
        <w:rPr>
          <w:rFonts w:cs="Calibri"/>
          <w:b w:val="0"/>
          <w:bCs w:val="0"/>
        </w:rPr>
      </w:pPr>
      <w:r w:rsidRPr="00E36B76">
        <w:rPr>
          <w:rFonts w:cs="Calibri"/>
          <w:b w:val="0"/>
          <w:bCs w:val="0"/>
        </w:rPr>
        <w:t>(Návrh)</w:t>
      </w:r>
    </w:p>
    <w:p w:rsidR="00C07F9E" w:rsidP="00C07F9E">
      <w:pPr>
        <w:pStyle w:val="BodyText"/>
        <w:rPr>
          <w:rFonts w:cs="Calibri"/>
        </w:rPr>
      </w:pPr>
    </w:p>
    <w:p w:rsidR="00C07F9E" w:rsidP="00C07F9E">
      <w:pPr>
        <w:pStyle w:val="BodyText"/>
        <w:rPr>
          <w:rFonts w:cs="Calibri"/>
        </w:rPr>
      </w:pPr>
      <w:r>
        <w:rPr>
          <w:rFonts w:cs="Calibri"/>
        </w:rPr>
        <w:t>ZÁKON</w:t>
      </w:r>
    </w:p>
    <w:p w:rsidR="00C07F9E" w:rsidP="00C07F9E">
      <w:pPr>
        <w:pStyle w:val="BodyText"/>
        <w:rPr>
          <w:rFonts w:cs="Calibri"/>
        </w:rPr>
      </w:pPr>
    </w:p>
    <w:p w:rsidR="00C07F9E" w:rsidP="00C07F9E">
      <w:pPr>
        <w:pStyle w:val="BodyText"/>
        <w:rPr>
          <w:rFonts w:cs="Calibri"/>
        </w:rPr>
      </w:pPr>
      <w:r>
        <w:rPr>
          <w:rFonts w:cs="Calibri"/>
        </w:rPr>
        <w:t>z ........... 2006,</w:t>
      </w:r>
    </w:p>
    <w:p w:rsidR="00C07F9E" w:rsidP="00C07F9E">
      <w:pPr>
        <w:pStyle w:val="BodyText"/>
        <w:rPr>
          <w:rFonts w:cs="Calibri"/>
        </w:rPr>
      </w:pPr>
    </w:p>
    <w:p w:rsidR="00C07F9E" w:rsidP="00C07F9E">
      <w:pPr>
        <w:pStyle w:val="BodyText"/>
        <w:rPr>
          <w:rFonts w:cs="Calibri"/>
        </w:rPr>
      </w:pPr>
      <w:r>
        <w:rPr>
          <w:rFonts w:cs="Calibri"/>
        </w:rPr>
        <w:t xml:space="preserve">ktorým </w:t>
      </w:r>
      <w:r w:rsidRPr="005F39BE">
        <w:rPr>
          <w:rFonts w:cs="Calibri"/>
          <w:bCs w:val="0"/>
        </w:rPr>
        <w:t xml:space="preserve">sa mení zákon Národnej rady Slovenskej republiky č. </w:t>
      </w:r>
      <w:r>
        <w:rPr>
          <w:rFonts w:cs="Calibri"/>
          <w:bCs w:val="0"/>
        </w:rPr>
        <w:t>46</w:t>
      </w:r>
      <w:r w:rsidRPr="005F39BE">
        <w:rPr>
          <w:rFonts w:cs="Calibri"/>
          <w:bCs w:val="0"/>
        </w:rPr>
        <w:t>/1993 Z. z. o</w:t>
      </w:r>
      <w:r>
        <w:rPr>
          <w:rFonts w:cs="Calibri"/>
          <w:bCs w:val="0"/>
        </w:rPr>
        <w:t> Slovenskej informačnej službe</w:t>
      </w:r>
      <w:r w:rsidRPr="005F39BE">
        <w:rPr>
          <w:rFonts w:cs="Calibri"/>
          <w:bCs w:val="0"/>
        </w:rPr>
        <w:t xml:space="preserve"> v znení neskorších predpisov</w:t>
      </w:r>
    </w:p>
    <w:p w:rsidR="00C07F9E" w:rsidP="00C07F9E">
      <w:pPr>
        <w:pStyle w:val="BodyText"/>
        <w:jc w:val="both"/>
        <w:rPr>
          <w:rFonts w:cs="Calibri"/>
          <w:b w:val="0"/>
        </w:rPr>
      </w:pPr>
      <w:r>
        <w:rPr>
          <w:rFonts w:cs="Calibri"/>
          <w:b w:val="0"/>
        </w:rPr>
        <w:br/>
        <w:tab/>
        <w:tab/>
      </w:r>
    </w:p>
    <w:p w:rsidR="00C07F9E" w:rsidP="00C07F9E">
      <w:pPr>
        <w:pStyle w:val="BodyText"/>
        <w:ind w:firstLine="708"/>
        <w:jc w:val="both"/>
        <w:rPr>
          <w:rFonts w:cs="Calibri"/>
          <w:b w:val="0"/>
        </w:rPr>
      </w:pPr>
      <w:r>
        <w:rPr>
          <w:rFonts w:cs="Calibri"/>
          <w:b w:val="0"/>
        </w:rPr>
        <w:t xml:space="preserve">Národná rada Slovenskej </w:t>
      </w:r>
      <w:r>
        <w:rPr>
          <w:rFonts w:cs="Calibri"/>
          <w:b w:val="0"/>
        </w:rPr>
        <w:t>republiky sa uzniesla na tomto zákone:</w:t>
      </w:r>
    </w:p>
    <w:p w:rsidR="00C07F9E" w:rsidP="00C07F9E">
      <w:pPr>
        <w:pStyle w:val="BodyText"/>
        <w:jc w:val="left"/>
        <w:rPr>
          <w:rFonts w:cs="Calibri"/>
          <w:b w:val="0"/>
        </w:rPr>
      </w:pPr>
    </w:p>
    <w:p w:rsidR="00C07F9E" w:rsidP="00C07F9E">
      <w:pPr>
        <w:pStyle w:val="BodyText"/>
        <w:jc w:val="left"/>
        <w:rPr>
          <w:rFonts w:cs="Calibri"/>
          <w:b w:val="0"/>
        </w:rPr>
      </w:pPr>
    </w:p>
    <w:p w:rsidR="00C07F9E" w:rsidP="00C07F9E">
      <w:pPr>
        <w:pStyle w:val="BodyText"/>
        <w:rPr>
          <w:rFonts w:cs="Calibri"/>
        </w:rPr>
      </w:pPr>
      <w:r>
        <w:rPr>
          <w:rFonts w:cs="Calibri"/>
        </w:rPr>
        <w:t>Čl. I</w:t>
      </w:r>
    </w:p>
    <w:p w:rsidR="00C07F9E" w:rsidP="00C07F9E">
      <w:pPr>
        <w:pStyle w:val="BodyText"/>
        <w:rPr>
          <w:rFonts w:cs="Calibri"/>
        </w:rPr>
      </w:pPr>
    </w:p>
    <w:p w:rsidR="00C07F9E" w:rsidRPr="00C07F9E" w:rsidP="00C07F9E">
      <w:pPr>
        <w:pStyle w:val="BodyText"/>
        <w:ind w:firstLine="708"/>
        <w:jc w:val="both"/>
        <w:rPr>
          <w:rFonts w:cs="Calibri"/>
          <w:b w:val="0"/>
          <w:color w:val="000000"/>
        </w:rPr>
      </w:pPr>
      <w:r w:rsidRPr="00C07F9E">
        <w:rPr>
          <w:rFonts w:cs="Calibri"/>
          <w:b w:val="0"/>
        </w:rPr>
        <w:t xml:space="preserve">Zákon </w:t>
      </w:r>
      <w:r w:rsidRPr="00C07F9E">
        <w:rPr>
          <w:rFonts w:cs="Calibri"/>
          <w:b w:val="0"/>
          <w:bCs w:val="0"/>
        </w:rPr>
        <w:t xml:space="preserve">Národnej rady Slovenskej republiky č. 46/1993 Z. z. o Slovenskej informačnej službe v znení </w:t>
      </w:r>
      <w:r w:rsidRPr="00C07F9E">
        <w:rPr>
          <w:rFonts w:cs="Calibri"/>
          <w:b w:val="0"/>
        </w:rPr>
        <w:t xml:space="preserve">zákona č. </w:t>
      </w:r>
      <w:r w:rsidRPr="00C07F9E">
        <w:rPr>
          <w:rFonts w:cs="Calibri"/>
          <w:b w:val="0"/>
          <w:color w:val="000000"/>
        </w:rPr>
        <w:t xml:space="preserve">72/1995 Z.z., </w:t>
      </w:r>
      <w:r w:rsidRPr="00C07F9E">
        <w:rPr>
          <w:rFonts w:cs="Calibri"/>
          <w:b w:val="0"/>
        </w:rPr>
        <w:t xml:space="preserve">zákona č. </w:t>
      </w:r>
      <w:r w:rsidRPr="00C07F9E">
        <w:rPr>
          <w:rFonts w:cs="Calibri"/>
          <w:b w:val="0"/>
          <w:color w:val="000000"/>
        </w:rPr>
        <w:t xml:space="preserve">73/1998 Z.z., </w:t>
      </w:r>
      <w:r w:rsidRPr="00C07F9E">
        <w:rPr>
          <w:rFonts w:cs="Calibri"/>
          <w:b w:val="0"/>
        </w:rPr>
        <w:t xml:space="preserve">zákona č. </w:t>
      </w:r>
      <w:r w:rsidRPr="00C07F9E">
        <w:rPr>
          <w:rFonts w:cs="Calibri"/>
          <w:b w:val="0"/>
          <w:color w:val="000000"/>
        </w:rPr>
        <w:t xml:space="preserve">256/1999 Z.z., </w:t>
      </w:r>
      <w:r w:rsidRPr="00C07F9E">
        <w:rPr>
          <w:rFonts w:cs="Calibri"/>
          <w:b w:val="0"/>
        </w:rPr>
        <w:t>zákona č.</w:t>
      </w:r>
      <w:r w:rsidRPr="00C07F9E">
        <w:rPr>
          <w:rFonts w:cs="Calibri"/>
          <w:b w:val="0"/>
          <w:color w:val="000000"/>
        </w:rPr>
        <w:t xml:space="preserve"> 328/2002 Z.z., </w:t>
      </w:r>
      <w:r w:rsidRPr="00C07F9E">
        <w:rPr>
          <w:rFonts w:cs="Calibri"/>
          <w:b w:val="0"/>
        </w:rPr>
        <w:t xml:space="preserve">zákona č. </w:t>
      </w:r>
      <w:r w:rsidRPr="00C07F9E">
        <w:rPr>
          <w:rFonts w:cs="Calibri"/>
          <w:b w:val="0"/>
          <w:color w:val="000000"/>
        </w:rPr>
        <w:t>16</w:t>
      </w:r>
      <w:r w:rsidRPr="00C07F9E">
        <w:rPr>
          <w:rFonts w:cs="Calibri"/>
          <w:b w:val="0"/>
          <w:color w:val="000000"/>
        </w:rPr>
        <w:t xml:space="preserve">6/2003 Z.z. a </w:t>
      </w:r>
      <w:r w:rsidRPr="00C07F9E">
        <w:rPr>
          <w:rFonts w:cs="Calibri"/>
          <w:b w:val="0"/>
        </w:rPr>
        <w:t>zákona č.</w:t>
      </w:r>
      <w:r w:rsidRPr="00C07F9E">
        <w:rPr>
          <w:rFonts w:cs="Calibri"/>
          <w:b w:val="0"/>
          <w:color w:val="000000"/>
        </w:rPr>
        <w:t xml:space="preserve"> 178/2004 Z.z. </w:t>
      </w:r>
      <w:r w:rsidRPr="00C07F9E">
        <w:rPr>
          <w:rFonts w:cs="Calibri"/>
          <w:b w:val="0"/>
        </w:rPr>
        <w:t xml:space="preserve">sa mení takto:  </w:t>
      </w:r>
    </w:p>
    <w:p w:rsidR="00C07F9E" w:rsidP="00C07F9E">
      <w:pPr>
        <w:pStyle w:val="BodyText"/>
        <w:ind w:firstLine="340"/>
        <w:jc w:val="both"/>
        <w:rPr>
          <w:rFonts w:cs="Calibri"/>
          <w:b w:val="0"/>
        </w:rPr>
      </w:pPr>
    </w:p>
    <w:p w:rsidR="00C07F9E" w:rsidP="00C07F9E">
      <w:pPr>
        <w:pStyle w:val="BodyText"/>
        <w:ind w:firstLine="340"/>
        <w:jc w:val="both"/>
        <w:rPr>
          <w:rFonts w:cs="Calibri"/>
          <w:b w:val="0"/>
        </w:rPr>
      </w:pPr>
    </w:p>
    <w:p w:rsidR="00C07F9E" w:rsidP="00C07F9E">
      <w:pPr>
        <w:pStyle w:val="BodyText"/>
        <w:numPr>
          <w:ilvl w:val="0"/>
          <w:numId w:val="1"/>
        </w:numPr>
        <w:tabs>
          <w:tab w:val="left" w:pos="720"/>
        </w:tabs>
        <w:jc w:val="both"/>
        <w:rPr>
          <w:rFonts w:cs="Calibri"/>
          <w:b w:val="0"/>
        </w:rPr>
      </w:pPr>
      <w:r>
        <w:rPr>
          <w:rFonts w:cs="Calibri"/>
          <w:b w:val="0"/>
        </w:rPr>
        <w:t xml:space="preserve">V § 2 ods. 1 </w:t>
      </w:r>
      <w:r w:rsidR="005118A9">
        <w:rPr>
          <w:rFonts w:cs="Calibri"/>
          <w:b w:val="0"/>
        </w:rPr>
        <w:t xml:space="preserve">písm. d) </w:t>
      </w:r>
      <w:r>
        <w:rPr>
          <w:rFonts w:cs="Calibri"/>
          <w:b w:val="0"/>
        </w:rPr>
        <w:t>sa vypúšťa</w:t>
      </w:r>
      <w:r w:rsidR="005118A9">
        <w:rPr>
          <w:rFonts w:cs="Calibri"/>
          <w:b w:val="0"/>
        </w:rPr>
        <w:t>jú slová „organizovanej trestnej činnosti a“.</w:t>
      </w:r>
      <w:r>
        <w:rPr>
          <w:rFonts w:cs="Calibri"/>
          <w:b w:val="0"/>
        </w:rPr>
        <w:t xml:space="preserve"> </w:t>
      </w:r>
    </w:p>
    <w:p w:rsidR="00C07F9E" w:rsidP="00C07F9E">
      <w:pPr>
        <w:pStyle w:val="BodyText"/>
        <w:ind w:left="340" w:hanging="340"/>
        <w:jc w:val="both"/>
        <w:rPr>
          <w:rFonts w:cs="Calibri"/>
          <w:b w:val="0"/>
        </w:rPr>
      </w:pPr>
    </w:p>
    <w:p w:rsidR="005118A9" w:rsidRPr="005118A9" w:rsidP="005118A9">
      <w:pPr>
        <w:pStyle w:val="BodyText"/>
        <w:numPr>
          <w:ilvl w:val="0"/>
          <w:numId w:val="1"/>
        </w:numPr>
        <w:tabs>
          <w:tab w:val="left" w:pos="720"/>
        </w:tabs>
        <w:jc w:val="both"/>
        <w:rPr>
          <w:rFonts w:cs="Calibri"/>
          <w:b w:val="0"/>
        </w:rPr>
      </w:pPr>
      <w:r w:rsidR="00C07F9E">
        <w:rPr>
          <w:rFonts w:cs="Calibri"/>
          <w:b w:val="0"/>
        </w:rPr>
        <w:t xml:space="preserve">V § § 2 ods. </w:t>
      </w:r>
      <w:r>
        <w:rPr>
          <w:rFonts w:cs="Calibri"/>
          <w:b w:val="0"/>
        </w:rPr>
        <w:t>5 prvá veta sa za slovom „</w:t>
      </w:r>
      <w:r w:rsidRPr="005118A9">
        <w:rPr>
          <w:rFonts w:cs="Calibri"/>
          <w:b w:val="0"/>
        </w:rPr>
        <w:t>prokuratúry“ nahrádza čiarka bodkou a slová „</w:t>
      </w:r>
      <w:r w:rsidRPr="005118A9">
        <w:rPr>
          <w:rFonts w:cs="Calibri"/>
          <w:b w:val="0"/>
          <w:color w:val="000000"/>
        </w:rPr>
        <w:t>a to najmä o páchaní organizovanej trestnej činnosti.“ sa vypúšťajú</w:t>
      </w:r>
      <w:r>
        <w:rPr>
          <w:rFonts w:ascii="ms sans serif" w:hAnsi="ms sans serif" w:cs="Calibri"/>
          <w:color w:val="000000"/>
          <w:sz w:val="20"/>
          <w:szCs w:val="20"/>
        </w:rPr>
        <w:t>.</w:t>
      </w:r>
    </w:p>
    <w:p w:rsidR="00C07F9E" w:rsidRPr="00FC2F77" w:rsidP="005118A9">
      <w:pPr>
        <w:pStyle w:val="BodyText"/>
        <w:ind w:left="720"/>
        <w:jc w:val="both"/>
        <w:rPr>
          <w:rFonts w:cs="Calibri"/>
          <w:b w:val="0"/>
        </w:rPr>
      </w:pPr>
      <w:r>
        <w:rPr>
          <w:rFonts w:cs="Calibri"/>
          <w:b w:val="0"/>
        </w:rPr>
        <w:tab/>
        <w:tab/>
        <w:tab/>
      </w:r>
    </w:p>
    <w:p w:rsidR="00C07F9E" w:rsidP="00C07F9E">
      <w:pPr>
        <w:pStyle w:val="BodyText"/>
        <w:rPr>
          <w:rFonts w:cs="Calibri"/>
        </w:rPr>
      </w:pPr>
    </w:p>
    <w:p w:rsidR="00C07F9E" w:rsidP="00C07F9E">
      <w:pPr>
        <w:pStyle w:val="BodyText"/>
        <w:rPr>
          <w:rFonts w:cs="Calibri"/>
        </w:rPr>
      </w:pPr>
      <w:r>
        <w:rPr>
          <w:rFonts w:cs="Calibri"/>
        </w:rPr>
        <w:t>Čl. II</w:t>
      </w:r>
    </w:p>
    <w:p w:rsidR="00C07F9E" w:rsidRPr="00DB3526" w:rsidP="00C07F9E">
      <w:pPr>
        <w:pStyle w:val="BodyText"/>
        <w:jc w:val="left"/>
        <w:rPr>
          <w:rFonts w:cs="Calibri"/>
          <w:b w:val="0"/>
        </w:rPr>
      </w:pPr>
    </w:p>
    <w:p w:rsidR="00C07F9E" w:rsidP="00C07F9E">
      <w:pPr>
        <w:pStyle w:val="BodyText"/>
        <w:ind w:firstLine="708"/>
        <w:jc w:val="left"/>
        <w:rPr>
          <w:rFonts w:cs="Calibri"/>
          <w:b w:val="0"/>
        </w:rPr>
      </w:pPr>
      <w:r w:rsidRPr="00DB3526">
        <w:rPr>
          <w:rFonts w:cs="Calibri"/>
          <w:b w:val="0"/>
        </w:rPr>
        <w:t xml:space="preserve">Tento zákon nadobúda účinnosť  1. </w:t>
      </w:r>
      <w:r w:rsidR="00DE6434">
        <w:rPr>
          <w:rFonts w:cs="Calibri"/>
          <w:b w:val="0"/>
        </w:rPr>
        <w:t>februára 2007</w:t>
      </w:r>
      <w:r w:rsidRPr="00DB3526">
        <w:rPr>
          <w:rFonts w:cs="Calibri"/>
          <w:b w:val="0"/>
        </w:rPr>
        <w:t>.</w:t>
      </w:r>
    </w:p>
    <w:p w:rsidR="00C07F9E" w:rsidP="00C07F9E">
      <w:pPr>
        <w:pStyle w:val="BodyText"/>
        <w:ind w:firstLine="708"/>
        <w:jc w:val="left"/>
        <w:rPr>
          <w:rFonts w:cs="Calibri"/>
          <w:b w:val="0"/>
        </w:rPr>
      </w:pPr>
      <w:r>
        <w:rPr>
          <w:rFonts w:cs="Calibri"/>
          <w:b w:val="0"/>
        </w:rPr>
        <w:br w:type="page"/>
      </w:r>
    </w:p>
    <w:p w:rsidR="00C07F9E" w:rsidP="00C07F9E">
      <w:pPr>
        <w:pStyle w:val="BodyText"/>
        <w:ind w:firstLine="708"/>
        <w:rPr>
          <w:rFonts w:cs="Calibri"/>
          <w:caps/>
        </w:rPr>
      </w:pPr>
      <w:r w:rsidRPr="0038334F">
        <w:rPr>
          <w:rFonts w:cs="Calibri"/>
          <w:caps/>
        </w:rPr>
        <w:t>Dôvodová správa</w:t>
      </w:r>
    </w:p>
    <w:p w:rsidR="00C07F9E" w:rsidP="00C07F9E">
      <w:pPr>
        <w:pStyle w:val="BodyText"/>
        <w:ind w:firstLine="708"/>
        <w:rPr>
          <w:rFonts w:cs="Calibri"/>
          <w:caps/>
        </w:rPr>
      </w:pPr>
    </w:p>
    <w:p w:rsidR="00C07F9E" w:rsidRPr="0038334F" w:rsidP="00C07F9E">
      <w:pPr>
        <w:pStyle w:val="BodyText"/>
        <w:ind w:firstLine="708"/>
        <w:rPr>
          <w:rFonts w:cs="Calibri"/>
          <w:caps/>
        </w:rPr>
      </w:pPr>
    </w:p>
    <w:p w:rsidR="00C07F9E" w:rsidRPr="00C67EDB" w:rsidP="00C07F9E">
      <w:pPr>
        <w:pStyle w:val="BodyText"/>
        <w:jc w:val="left"/>
        <w:rPr>
          <w:rFonts w:cs="Calibri"/>
          <w:caps/>
        </w:rPr>
      </w:pPr>
      <w:r w:rsidRPr="00C67EDB">
        <w:rPr>
          <w:rFonts w:cs="Calibri"/>
          <w:caps/>
        </w:rPr>
        <w:t>I. všeobecná časť</w:t>
      </w:r>
    </w:p>
    <w:p w:rsidR="00C07F9E" w:rsidP="00C07F9E">
      <w:pPr>
        <w:pStyle w:val="BodyText"/>
        <w:jc w:val="left"/>
        <w:rPr>
          <w:rFonts w:cs="Calibri"/>
        </w:rPr>
      </w:pPr>
    </w:p>
    <w:p w:rsidR="001B0AE9" w:rsidP="00C07F9E">
      <w:pPr>
        <w:pStyle w:val="BodyText"/>
        <w:ind w:firstLine="708"/>
        <w:jc w:val="both"/>
        <w:rPr>
          <w:rFonts w:cs="Calibri"/>
          <w:b w:val="0"/>
        </w:rPr>
      </w:pPr>
      <w:r>
        <w:rPr>
          <w:rFonts w:cs="Calibri"/>
          <w:b w:val="0"/>
        </w:rPr>
        <w:t xml:space="preserve">Vzhľadom na zmenu medzinárodnej bezpečnostnej situácie po teroristických útokoch v USA i v Európe sa zaraďuje medzi priority bezpečnostných zložiek boj proti terorizmu. Nezastupiteľnú úlohu v tomto boji majú spravodajské služby, ktoré získavajú informácie zo zahraničných i domácich zdrojov o možných teroristických hrozbách. Slovenská republika musí </w:t>
      </w:r>
      <w:r w:rsidR="00A82C61">
        <w:rPr>
          <w:rFonts w:cs="Calibri"/>
          <w:b w:val="0"/>
        </w:rPr>
        <w:t xml:space="preserve">tiež </w:t>
      </w:r>
      <w:r>
        <w:rPr>
          <w:rFonts w:cs="Calibri"/>
          <w:b w:val="0"/>
        </w:rPr>
        <w:t xml:space="preserve">reagovať na zmenu priorít v spravodajskej komunite zmenou alokácie personálnych, technických i finančných </w:t>
      </w:r>
      <w:r w:rsidR="00A82C61">
        <w:rPr>
          <w:rFonts w:cs="Calibri"/>
          <w:b w:val="0"/>
        </w:rPr>
        <w:t>prostriedkov</w:t>
      </w:r>
      <w:r>
        <w:rPr>
          <w:rFonts w:cs="Calibri"/>
          <w:b w:val="0"/>
        </w:rPr>
        <w:t xml:space="preserve">, ktoré </w:t>
      </w:r>
      <w:r w:rsidR="00A82C61">
        <w:rPr>
          <w:rFonts w:cs="Calibri"/>
          <w:b w:val="0"/>
        </w:rPr>
        <w:t>každoročne vynakladá na predchádzanie a elimináciu teroristických rizík.</w:t>
      </w:r>
    </w:p>
    <w:p w:rsidR="00994657" w:rsidP="00A82C61">
      <w:pPr>
        <w:pStyle w:val="BodyText"/>
        <w:ind w:firstLine="708"/>
        <w:jc w:val="both"/>
        <w:rPr>
          <w:rFonts w:cs="Calibri"/>
          <w:b w:val="0"/>
        </w:rPr>
      </w:pPr>
      <w:r w:rsidR="00DE6434">
        <w:rPr>
          <w:rFonts w:cs="Calibri"/>
          <w:b w:val="0"/>
        </w:rPr>
        <w:t>Cieľom novely zákona je odbremenenie Slovenskej informačnej služby od povinností súvisiacich so získavaním, sústreďova</w:t>
      </w:r>
      <w:r w:rsidR="001B0AE9">
        <w:rPr>
          <w:rFonts w:cs="Calibri"/>
          <w:b w:val="0"/>
        </w:rPr>
        <w:t>ním a vyhodnocovaním informácií o</w:t>
      </w:r>
      <w:r w:rsidR="00E4227E">
        <w:rPr>
          <w:rFonts w:cs="Calibri"/>
          <w:b w:val="0"/>
        </w:rPr>
        <w:t xml:space="preserve"> úplne všetkých formách </w:t>
      </w:r>
      <w:r w:rsidR="001B0AE9">
        <w:rPr>
          <w:rFonts w:cs="Calibri"/>
          <w:b w:val="0"/>
        </w:rPr>
        <w:t>organizovanej trestnej činnosti</w:t>
      </w:r>
      <w:r>
        <w:rPr>
          <w:rFonts w:cs="Calibri"/>
          <w:b w:val="0"/>
        </w:rPr>
        <w:t xml:space="preserve">. </w:t>
      </w:r>
      <w:r w:rsidR="00DE6434">
        <w:rPr>
          <w:rFonts w:cs="Calibri"/>
          <w:b w:val="0"/>
        </w:rPr>
        <w:t xml:space="preserve">Počas </w:t>
      </w:r>
      <w:r>
        <w:rPr>
          <w:rFonts w:cs="Calibri"/>
          <w:b w:val="0"/>
        </w:rPr>
        <w:t>e</w:t>
      </w:r>
      <w:r w:rsidR="00DE6434">
        <w:rPr>
          <w:rFonts w:cs="Calibri"/>
          <w:b w:val="0"/>
        </w:rPr>
        <w:t>xistencie uvedeného zákonného ustanovenia neboli zaznamenané</w:t>
      </w:r>
      <w:r w:rsidR="001B0AE9">
        <w:rPr>
          <w:rFonts w:cs="Calibri"/>
          <w:b w:val="0"/>
        </w:rPr>
        <w:t xml:space="preserve"> a následne potvrdené závažné informácie takéhoto charakteru</w:t>
      </w:r>
      <w:r>
        <w:rPr>
          <w:rFonts w:cs="Calibri"/>
          <w:b w:val="0"/>
        </w:rPr>
        <w:t>,</w:t>
      </w:r>
      <w:r w:rsidRPr="00994657">
        <w:rPr>
          <w:rFonts w:cs="Calibri"/>
          <w:b w:val="0"/>
        </w:rPr>
        <w:t xml:space="preserve"> </w:t>
      </w:r>
      <w:r>
        <w:rPr>
          <w:rFonts w:cs="Calibri"/>
          <w:b w:val="0"/>
        </w:rPr>
        <w:t>ktoré by neboli známe v nejakej forme i Policajnému zboru.</w:t>
      </w:r>
      <w:r w:rsidR="001B0AE9">
        <w:rPr>
          <w:rFonts w:cs="Calibri"/>
          <w:b w:val="0"/>
        </w:rPr>
        <w:t xml:space="preserve"> Informačné výstupy Slovenskej informačnej služby pre zákonných príjemcov skôr obsahovali spravodajské informácie o formách kriminality, ktorá je rozpracovávaná a následne </w:t>
      </w:r>
      <w:r w:rsidR="00A82C61">
        <w:rPr>
          <w:rFonts w:cs="Calibri"/>
          <w:b w:val="0"/>
        </w:rPr>
        <w:t xml:space="preserve">úspešne </w:t>
      </w:r>
      <w:r w:rsidR="001B0AE9">
        <w:rPr>
          <w:rFonts w:cs="Calibri"/>
          <w:b w:val="0"/>
        </w:rPr>
        <w:t>realizovaná Pol</w:t>
      </w:r>
      <w:r w:rsidR="001B0AE9">
        <w:rPr>
          <w:rFonts w:cs="Calibri"/>
          <w:b w:val="0"/>
        </w:rPr>
        <w:t>icajným zborom.</w:t>
      </w:r>
      <w:r>
        <w:rPr>
          <w:rFonts w:cs="Calibri"/>
          <w:b w:val="0"/>
        </w:rPr>
        <w:t xml:space="preserve"> Na riešenie problematiky organizovaného zločinu bude použitá kapacita Policajného zboru, čo umožní Slovenskej informačnej službe sústrediť viac svojich kapacít na boj proti narastajúcej hrozbe terorizmu.</w:t>
      </w:r>
      <w:r w:rsidR="00E4227E">
        <w:rPr>
          <w:rFonts w:cs="Calibri"/>
          <w:b w:val="0"/>
        </w:rPr>
        <w:t xml:space="preserve"> Slovenská informačná služba sa bude venovať v oblasti organizovaného zločinu iba jeho najzávažnejším formám, napr. podľa §2 ods. 1 písm. b) a e) tohto zákona.</w:t>
      </w:r>
    </w:p>
    <w:p w:rsidR="00C07F9E" w:rsidP="00A82C61">
      <w:pPr>
        <w:pStyle w:val="BodyText"/>
        <w:ind w:firstLine="708"/>
        <w:jc w:val="both"/>
        <w:rPr>
          <w:rFonts w:cs="Calibri"/>
          <w:b w:val="0"/>
        </w:rPr>
      </w:pPr>
      <w:r w:rsidR="00A82C61">
        <w:rPr>
          <w:rFonts w:cs="Calibri"/>
          <w:b w:val="0"/>
        </w:rPr>
        <w:t>Návrh novely zákona</w:t>
      </w:r>
      <w:r w:rsidRPr="0038334F">
        <w:rPr>
          <w:rFonts w:cs="Calibri"/>
          <w:b w:val="0"/>
        </w:rPr>
        <w:tab/>
      </w:r>
      <w:r w:rsidR="00A82C61">
        <w:rPr>
          <w:rFonts w:cs="Calibri"/>
          <w:b w:val="0"/>
        </w:rPr>
        <w:t xml:space="preserve">Slovenskej informačnej službe </w:t>
      </w:r>
      <w:r w:rsidR="00994657">
        <w:rPr>
          <w:rFonts w:cs="Calibri"/>
          <w:b w:val="0"/>
        </w:rPr>
        <w:t xml:space="preserve">umožní </w:t>
      </w:r>
      <w:r w:rsidR="00A82C61">
        <w:rPr>
          <w:rFonts w:cs="Calibri"/>
          <w:b w:val="0"/>
        </w:rPr>
        <w:t xml:space="preserve">efektívnejšie a s väčším personálnym, finančným a technickým nasadením rozpracovávať rizikové komunity, prenikať do ich vnútornej organizácie a získané informácie postupovať orgánom činným v trestnom konaní i zahraničným partnerom. Zároveň sa touto novelou vytvárajú predpoklady na skvalitnenie analytických i jazykových kapacít </w:t>
      </w:r>
      <w:r w:rsidR="00994657">
        <w:rPr>
          <w:rFonts w:cs="Calibri"/>
          <w:b w:val="0"/>
        </w:rPr>
        <w:t>príslušníkov</w:t>
      </w:r>
      <w:r w:rsidR="00A82C61">
        <w:rPr>
          <w:rFonts w:cs="Calibri"/>
          <w:b w:val="0"/>
        </w:rPr>
        <w:t xml:space="preserve"> Slovenskej informačnej služby, ktoré sú nevyhnutným predpokladom úspešného pôsobenia spravodajskej služby.  </w:t>
      </w:r>
    </w:p>
    <w:p w:rsidR="00C07F9E" w:rsidRPr="00BF2B48" w:rsidP="00C07F9E">
      <w:pPr>
        <w:pStyle w:val="BodyText3"/>
        <w:ind w:firstLine="708"/>
        <w:jc w:val="both"/>
        <w:rPr>
          <w:rFonts w:cs="Calibri"/>
        </w:rPr>
      </w:pPr>
      <w:r w:rsidRPr="00BF2B48">
        <w:rPr>
          <w:rFonts w:cs="Calibri"/>
        </w:rPr>
        <w:t>Návrh zákona je v súlade s Ústavou Slovenskej republiky, so zákonmi ako aj s medzinárodnými zmluvami, ktorými je Slovenská republika viazaná. Návrh zákona nebude mať priamy dopad na verejné rozpočty, neprináša nárok na pracovné sily a nemá vplyv na zamestnanosť a tvorbu pracovných miest, ani na životné prostredie.</w:t>
      </w:r>
    </w:p>
    <w:p w:rsidR="00C07F9E" w:rsidP="00724A34">
      <w:pPr>
        <w:pStyle w:val="BodyText"/>
        <w:jc w:val="left"/>
        <w:rPr>
          <w:rFonts w:cs="Calibri"/>
          <w:b w:val="0"/>
        </w:rPr>
      </w:pPr>
    </w:p>
    <w:p w:rsidR="00C07F9E" w:rsidRPr="0026293E" w:rsidP="00C07F9E">
      <w:pPr>
        <w:pStyle w:val="BodyText"/>
        <w:ind w:firstLine="708"/>
        <w:jc w:val="left"/>
        <w:rPr>
          <w:rFonts w:cs="Calibri"/>
        </w:rPr>
      </w:pPr>
      <w:r>
        <w:rPr>
          <w:rFonts w:cs="Calibri"/>
        </w:rPr>
        <w:br w:type="page"/>
      </w:r>
    </w:p>
    <w:p w:rsidR="00C07F9E" w:rsidRPr="0026293E" w:rsidP="00C07F9E">
      <w:pPr>
        <w:pStyle w:val="BodyText3"/>
        <w:ind w:firstLine="708"/>
        <w:jc w:val="center"/>
        <w:rPr>
          <w:rFonts w:cs="Calibri"/>
          <w:b/>
        </w:rPr>
      </w:pPr>
      <w:r w:rsidRPr="0026293E">
        <w:rPr>
          <w:rFonts w:cs="Calibri"/>
          <w:b/>
        </w:rPr>
        <w:t>DOLOŽKA  ZLUČITEĽNOSTI</w:t>
      </w:r>
    </w:p>
    <w:p w:rsidR="00C07F9E" w:rsidRPr="0026293E" w:rsidP="00C07F9E">
      <w:pPr>
        <w:pStyle w:val="BodyText3"/>
        <w:ind w:firstLine="708"/>
        <w:jc w:val="center"/>
        <w:rPr>
          <w:rFonts w:cs="Calibri"/>
          <w:b/>
        </w:rPr>
      </w:pPr>
      <w:r w:rsidRPr="0026293E">
        <w:rPr>
          <w:rFonts w:cs="Calibri"/>
          <w:b/>
        </w:rPr>
        <w:t>Návrhu zákonov s právom Európskych spoločenstiev a právom Európskej únie</w:t>
      </w:r>
    </w:p>
    <w:p w:rsidR="00C07F9E" w:rsidRPr="0026293E" w:rsidP="00C07F9E">
      <w:pPr>
        <w:pStyle w:val="BodyText3"/>
        <w:ind w:firstLine="708"/>
        <w:jc w:val="both"/>
        <w:rPr>
          <w:rFonts w:cs="Calibri"/>
        </w:rPr>
      </w:pPr>
    </w:p>
    <w:p w:rsidR="00C07F9E" w:rsidRPr="0026293E" w:rsidP="00C07F9E">
      <w:pPr>
        <w:pStyle w:val="BodyText3"/>
        <w:ind w:firstLine="708"/>
        <w:jc w:val="both"/>
        <w:rPr>
          <w:rFonts w:cs="Calibri"/>
          <w:b/>
        </w:rPr>
      </w:pPr>
      <w:r w:rsidRPr="0026293E">
        <w:rPr>
          <w:rFonts w:cs="Calibri"/>
          <w:b/>
        </w:rPr>
        <w:t>1. Predkladateľ  právneho predpisu:</w:t>
      </w:r>
    </w:p>
    <w:p w:rsidR="00C07F9E" w:rsidRPr="0026293E" w:rsidP="00C07F9E">
      <w:pPr>
        <w:pStyle w:val="BodyText3"/>
        <w:ind w:firstLine="708"/>
        <w:jc w:val="both"/>
        <w:rPr>
          <w:rFonts w:cs="Calibri"/>
        </w:rPr>
      </w:pPr>
      <w:r w:rsidRPr="0026293E">
        <w:rPr>
          <w:rFonts w:cs="Calibri"/>
        </w:rPr>
        <w:t>Poslanci Národnej rady Slovenskej republiky.</w:t>
      </w:r>
    </w:p>
    <w:p w:rsidR="00C07F9E" w:rsidRPr="0026293E" w:rsidP="00C07F9E">
      <w:pPr>
        <w:pStyle w:val="BodyText3"/>
        <w:ind w:firstLine="708"/>
        <w:jc w:val="both"/>
        <w:rPr>
          <w:rFonts w:cs="Calibri"/>
        </w:rPr>
      </w:pPr>
    </w:p>
    <w:p w:rsidR="00C07F9E" w:rsidRPr="0026293E" w:rsidP="00C07F9E">
      <w:pPr>
        <w:pStyle w:val="BodyText3"/>
        <w:ind w:firstLine="708"/>
        <w:jc w:val="both"/>
        <w:rPr>
          <w:rFonts w:cs="Calibri"/>
          <w:b/>
        </w:rPr>
      </w:pPr>
      <w:r w:rsidRPr="0026293E">
        <w:rPr>
          <w:rFonts w:cs="Calibri"/>
          <w:b/>
        </w:rPr>
        <w:t>2. Názov právneho predpisu:</w:t>
      </w:r>
    </w:p>
    <w:p w:rsidR="00C07F9E" w:rsidRPr="0026293E" w:rsidP="00C07F9E">
      <w:pPr>
        <w:pStyle w:val="BodyText3"/>
        <w:ind w:left="708"/>
        <w:jc w:val="both"/>
        <w:rPr>
          <w:rFonts w:cs="Calibri"/>
        </w:rPr>
      </w:pPr>
      <w:r w:rsidRPr="0026293E">
        <w:rPr>
          <w:rFonts w:cs="Calibri"/>
        </w:rPr>
        <w:t xml:space="preserve">Návrh zákona, ktorým </w:t>
      </w:r>
      <w:r w:rsidRPr="005F39BE">
        <w:rPr>
          <w:rFonts w:cs="Calibri"/>
          <w:bCs/>
        </w:rPr>
        <w:t xml:space="preserve">sa mení zákon Národnej rady Slovenskej republiky č. </w:t>
      </w:r>
      <w:r w:rsidR="00F876C9">
        <w:rPr>
          <w:rFonts w:cs="Calibri"/>
          <w:bCs/>
        </w:rPr>
        <w:t>46</w:t>
      </w:r>
      <w:r w:rsidRPr="005F39BE">
        <w:rPr>
          <w:rFonts w:cs="Calibri"/>
          <w:bCs/>
        </w:rPr>
        <w:t>/1993 Z. z. o</w:t>
      </w:r>
      <w:r w:rsidR="00F876C9">
        <w:rPr>
          <w:rFonts w:cs="Calibri"/>
          <w:bCs/>
        </w:rPr>
        <w:t> Slovenskej informačnej službe</w:t>
      </w:r>
      <w:r w:rsidRPr="005F39BE">
        <w:rPr>
          <w:rFonts w:cs="Calibri"/>
          <w:bCs/>
        </w:rPr>
        <w:t xml:space="preserve"> v znení neskorších predpisov</w:t>
      </w:r>
    </w:p>
    <w:p w:rsidR="00C07F9E" w:rsidRPr="0026293E" w:rsidP="00C07F9E">
      <w:pPr>
        <w:pStyle w:val="BodyText3"/>
        <w:ind w:firstLine="708"/>
        <w:jc w:val="both"/>
        <w:rPr>
          <w:rFonts w:cs="Calibri"/>
        </w:rPr>
      </w:pPr>
    </w:p>
    <w:p w:rsidR="00C07F9E" w:rsidRPr="0026293E" w:rsidP="00C07F9E">
      <w:pPr>
        <w:pStyle w:val="BodyText3"/>
        <w:ind w:firstLine="708"/>
        <w:jc w:val="both"/>
        <w:rPr>
          <w:rFonts w:cs="Calibri"/>
          <w:b/>
        </w:rPr>
      </w:pPr>
      <w:r w:rsidRPr="0026293E">
        <w:rPr>
          <w:rFonts w:cs="Calibri"/>
          <w:b/>
        </w:rPr>
        <w:t>3. Problematika návrhu právneho predpisu :</w:t>
      </w:r>
    </w:p>
    <w:p w:rsidR="00C07F9E" w:rsidRPr="0026293E" w:rsidP="00C07F9E">
      <w:pPr>
        <w:pStyle w:val="BodyText3"/>
        <w:ind w:firstLine="708"/>
        <w:jc w:val="both"/>
        <w:rPr>
          <w:rFonts w:cs="Calibri"/>
        </w:rPr>
      </w:pPr>
      <w:r w:rsidRPr="0026293E">
        <w:rPr>
          <w:rFonts w:cs="Calibri"/>
        </w:rPr>
        <w:t>a) nie je upravená v práve Európskych spoločenstiev</w:t>
      </w:r>
    </w:p>
    <w:p w:rsidR="00C07F9E" w:rsidRPr="0026293E" w:rsidP="00C07F9E">
      <w:pPr>
        <w:pStyle w:val="BodyText3"/>
        <w:ind w:firstLine="708"/>
        <w:jc w:val="both"/>
        <w:rPr>
          <w:rFonts w:cs="Calibri"/>
        </w:rPr>
      </w:pPr>
      <w:r w:rsidRPr="0026293E">
        <w:rPr>
          <w:rFonts w:cs="Calibri"/>
        </w:rPr>
        <w:t xml:space="preserve">b) nie je upravená v práve Európskej únie: </w:t>
      </w:r>
    </w:p>
    <w:p w:rsidR="00C07F9E" w:rsidP="00C07F9E">
      <w:pPr>
        <w:pStyle w:val="BodyText3"/>
        <w:ind w:left="708"/>
        <w:jc w:val="both"/>
        <w:rPr>
          <w:rFonts w:cs="Calibri"/>
        </w:rPr>
      </w:pPr>
      <w:r w:rsidRPr="0026293E">
        <w:rPr>
          <w:rFonts w:cs="Calibri"/>
        </w:rPr>
        <w:t xml:space="preserve">c) nie je upravená v judikatúre Súdneho dvora Európskych spoločenstiev ani v judikatúre </w:t>
      </w:r>
    </w:p>
    <w:p w:rsidR="00C07F9E" w:rsidRPr="0026293E" w:rsidP="00C07F9E">
      <w:pPr>
        <w:pStyle w:val="BodyText3"/>
        <w:ind w:left="708"/>
        <w:jc w:val="both"/>
        <w:rPr>
          <w:rFonts w:cs="Calibri"/>
        </w:rPr>
      </w:pPr>
      <w:r>
        <w:rPr>
          <w:rFonts w:cs="Calibri"/>
        </w:rPr>
        <w:t xml:space="preserve">    </w:t>
      </w:r>
      <w:r w:rsidRPr="0026293E">
        <w:rPr>
          <w:rFonts w:cs="Calibri"/>
        </w:rPr>
        <w:t>Súdu prvého stupňa</w:t>
      </w:r>
    </w:p>
    <w:p w:rsidR="00C07F9E" w:rsidRPr="0026293E" w:rsidP="00C07F9E">
      <w:pPr>
        <w:pStyle w:val="BodyText3"/>
        <w:ind w:firstLine="708"/>
        <w:jc w:val="both"/>
        <w:rPr>
          <w:rFonts w:cs="Calibri"/>
        </w:rPr>
      </w:pPr>
    </w:p>
    <w:p w:rsidR="00C07F9E" w:rsidRPr="0026293E" w:rsidP="00C07F9E">
      <w:pPr>
        <w:pStyle w:val="BodyText3"/>
        <w:ind w:left="708"/>
        <w:jc w:val="both"/>
        <w:rPr>
          <w:rFonts w:cs="Calibri"/>
          <w:b/>
        </w:rPr>
      </w:pPr>
      <w:r w:rsidRPr="0026293E">
        <w:rPr>
          <w:rFonts w:cs="Calibri"/>
          <w:b/>
        </w:rPr>
        <w:t>4. Záväzky   Slovenskej   republiky   vo   vzťahu   k  Európskym  spoločenstvám                    a  Európskej únii:</w:t>
      </w:r>
    </w:p>
    <w:p w:rsidR="00C07F9E" w:rsidRPr="0026293E" w:rsidP="00C07F9E">
      <w:pPr>
        <w:pStyle w:val="BodyText3"/>
        <w:ind w:firstLine="708"/>
        <w:jc w:val="both"/>
        <w:rPr>
          <w:rFonts w:cs="Calibri"/>
        </w:rPr>
      </w:pPr>
      <w:r w:rsidRPr="0026293E">
        <w:rPr>
          <w:rFonts w:cs="Calibri"/>
        </w:rPr>
        <w:t>irelevantné</w:t>
      </w:r>
    </w:p>
    <w:p w:rsidR="00C07F9E" w:rsidRPr="0026293E" w:rsidP="00C07F9E">
      <w:pPr>
        <w:pStyle w:val="BodyText3"/>
        <w:ind w:firstLine="708"/>
        <w:jc w:val="both"/>
        <w:rPr>
          <w:rFonts w:cs="Calibri"/>
          <w:b/>
        </w:rPr>
      </w:pPr>
    </w:p>
    <w:p w:rsidR="00C07F9E" w:rsidRPr="0026293E" w:rsidP="00C07F9E">
      <w:pPr>
        <w:pStyle w:val="BodyText3"/>
        <w:ind w:left="708"/>
        <w:jc w:val="both"/>
        <w:rPr>
          <w:rFonts w:cs="Calibri"/>
          <w:b/>
        </w:rPr>
      </w:pPr>
      <w:r w:rsidRPr="0026293E">
        <w:rPr>
          <w:rFonts w:cs="Calibri"/>
          <w:b/>
        </w:rPr>
        <w:t>5. Stupeň   zlučiteľnosti   návrhu   právneho   predpisu  s  právom   Európskych     spoločenstiev a právom Európskej únie:</w:t>
      </w:r>
    </w:p>
    <w:p w:rsidR="00C07F9E" w:rsidRPr="0026293E" w:rsidP="00C07F9E">
      <w:pPr>
        <w:pStyle w:val="BodyText3"/>
        <w:ind w:firstLine="708"/>
        <w:jc w:val="both"/>
        <w:rPr>
          <w:rFonts w:cs="Calibri"/>
        </w:rPr>
      </w:pPr>
      <w:r w:rsidRPr="0026293E">
        <w:rPr>
          <w:rFonts w:cs="Calibri"/>
        </w:rPr>
        <w:t>irelevantné</w:t>
      </w:r>
    </w:p>
    <w:p w:rsidR="00C07F9E" w:rsidRPr="0026293E" w:rsidP="00C07F9E">
      <w:pPr>
        <w:pStyle w:val="BodyText3"/>
        <w:ind w:firstLine="708"/>
        <w:jc w:val="both"/>
        <w:rPr>
          <w:rFonts w:cs="Calibri"/>
        </w:rPr>
      </w:pPr>
    </w:p>
    <w:p w:rsidR="00C07F9E" w:rsidRPr="0026293E" w:rsidP="00C07F9E">
      <w:pPr>
        <w:pStyle w:val="BodyText3"/>
        <w:ind w:firstLine="708"/>
        <w:jc w:val="both"/>
        <w:rPr>
          <w:rFonts w:cs="Calibri"/>
          <w:b/>
        </w:rPr>
      </w:pPr>
      <w:r w:rsidRPr="0026293E">
        <w:rPr>
          <w:rFonts w:cs="Calibri"/>
          <w:b/>
        </w:rPr>
        <w:t>6.  Gestor:</w:t>
      </w:r>
    </w:p>
    <w:p w:rsidR="00C07F9E" w:rsidRPr="0026293E" w:rsidP="00C07F9E">
      <w:pPr>
        <w:pStyle w:val="BodyText3"/>
        <w:ind w:firstLine="708"/>
        <w:jc w:val="both"/>
        <w:rPr>
          <w:rFonts w:cs="Calibri"/>
        </w:rPr>
      </w:pPr>
      <w:r w:rsidRPr="0026293E">
        <w:rPr>
          <w:rFonts w:cs="Calibri"/>
        </w:rPr>
        <w:t>irelevantné</w:t>
      </w:r>
    </w:p>
    <w:p w:rsidR="00C07F9E" w:rsidP="00C07F9E">
      <w:pPr>
        <w:pStyle w:val="BodyText3"/>
        <w:jc w:val="both"/>
        <w:rPr>
          <w:rFonts w:cs="Calibri"/>
          <w:b/>
        </w:rPr>
      </w:pPr>
      <w:r>
        <w:rPr>
          <w:rFonts w:cs="Calibri"/>
          <w:b/>
        </w:rPr>
        <w:br w:type="page"/>
      </w:r>
    </w:p>
    <w:p w:rsidR="00C07F9E" w:rsidRPr="00C67EDB" w:rsidP="00C07F9E">
      <w:pPr>
        <w:pStyle w:val="BodyText3"/>
        <w:jc w:val="both"/>
        <w:rPr>
          <w:rFonts w:cs="Calibri"/>
          <w:b/>
          <w:caps/>
        </w:rPr>
      </w:pPr>
      <w:r w:rsidRPr="00C67EDB">
        <w:rPr>
          <w:rFonts w:cs="Calibri"/>
          <w:b/>
          <w:caps/>
        </w:rPr>
        <w:t>II. osobitná časť</w:t>
      </w:r>
    </w:p>
    <w:p w:rsidR="00C07F9E" w:rsidP="00C07F9E">
      <w:pPr>
        <w:pStyle w:val="BodyText3"/>
        <w:jc w:val="both"/>
        <w:rPr>
          <w:rFonts w:cs="Calibri"/>
        </w:rPr>
      </w:pPr>
    </w:p>
    <w:p w:rsidR="00C07F9E" w:rsidRPr="00C67EDB" w:rsidP="00C07F9E">
      <w:pPr>
        <w:pStyle w:val="BodyText3"/>
        <w:jc w:val="both"/>
        <w:rPr>
          <w:rFonts w:cs="Calibri"/>
          <w:b/>
          <w:u w:val="single"/>
        </w:rPr>
      </w:pPr>
      <w:r w:rsidRPr="00C67EDB">
        <w:rPr>
          <w:rFonts w:cs="Calibri"/>
          <w:b/>
          <w:u w:val="single"/>
        </w:rPr>
        <w:t>Čl. I</w:t>
      </w:r>
    </w:p>
    <w:p w:rsidR="00C07F9E" w:rsidP="00C07F9E">
      <w:pPr>
        <w:pStyle w:val="BodyText3"/>
        <w:jc w:val="both"/>
        <w:rPr>
          <w:rFonts w:cs="Calibri"/>
          <w:b/>
        </w:rPr>
      </w:pPr>
    </w:p>
    <w:p w:rsidR="00C07F9E" w:rsidRPr="001B39CB" w:rsidP="00C07F9E">
      <w:pPr>
        <w:pStyle w:val="BodyText3"/>
        <w:jc w:val="both"/>
        <w:rPr>
          <w:rFonts w:cs="Calibri"/>
          <w:b/>
        </w:rPr>
      </w:pPr>
      <w:r w:rsidRPr="001B39CB">
        <w:rPr>
          <w:rFonts w:cs="Calibri"/>
          <w:b/>
        </w:rPr>
        <w:t>K bodu 1</w:t>
      </w:r>
    </w:p>
    <w:p w:rsidR="00C07F9E" w:rsidP="00C07F9E">
      <w:pPr>
        <w:pStyle w:val="BodyText3"/>
        <w:jc w:val="both"/>
        <w:rPr>
          <w:rFonts w:cs="Calibri"/>
        </w:rPr>
      </w:pPr>
      <w:r w:rsidR="00D2415D">
        <w:rPr>
          <w:rFonts w:cs="Calibri"/>
        </w:rPr>
        <w:t xml:space="preserve">Z úloh Slovenskej informačnej služby sa vypúšťa získavanie, sústreďovanie a vyhodnocovanie informácií o organizovanej trestnej činnosti. </w:t>
      </w:r>
    </w:p>
    <w:p w:rsidR="00C07F9E" w:rsidP="00C07F9E">
      <w:pPr>
        <w:pStyle w:val="BodyText3"/>
        <w:jc w:val="both"/>
        <w:rPr>
          <w:rFonts w:cs="Calibri"/>
        </w:rPr>
      </w:pPr>
    </w:p>
    <w:p w:rsidR="00C07F9E" w:rsidRPr="00281250" w:rsidP="00C07F9E">
      <w:pPr>
        <w:pStyle w:val="BodyText3"/>
        <w:jc w:val="both"/>
        <w:rPr>
          <w:rFonts w:cs="Calibri"/>
          <w:b/>
        </w:rPr>
      </w:pPr>
      <w:r w:rsidRPr="00281250">
        <w:rPr>
          <w:rFonts w:cs="Calibri"/>
          <w:b/>
        </w:rPr>
        <w:t>K bodu 2</w:t>
      </w:r>
    </w:p>
    <w:p w:rsidR="00C07F9E" w:rsidP="00C07F9E">
      <w:pPr>
        <w:pStyle w:val="BodyText3"/>
        <w:jc w:val="both"/>
        <w:rPr>
          <w:rFonts w:cs="Calibri"/>
        </w:rPr>
      </w:pPr>
      <w:r w:rsidR="00D2415D">
        <w:rPr>
          <w:rFonts w:cs="Calibri"/>
        </w:rPr>
        <w:t xml:space="preserve">Vzhľadom na vypustenie úlohy získavať, sústreďovať a vyhodnocovať informácie o organizovanej trestnej činnosti sa vypúšťa </w:t>
      </w:r>
      <w:r w:rsidR="00653603">
        <w:rPr>
          <w:rFonts w:cs="Calibri"/>
        </w:rPr>
        <w:t xml:space="preserve">prioritne zadefinovaná </w:t>
      </w:r>
      <w:r w:rsidR="00D2415D">
        <w:rPr>
          <w:rFonts w:cs="Calibri"/>
        </w:rPr>
        <w:t xml:space="preserve">povinnosť </w:t>
      </w:r>
      <w:r w:rsidR="00653603">
        <w:rPr>
          <w:rFonts w:cs="Calibri"/>
        </w:rPr>
        <w:t>poskytovať tieto informácie prokuratúre a Policajnému zboru. Na poskytnutie informácií o tejto trestnej činnosti bude postačovať všeobecná dikcia prvej vety odseku 5.</w:t>
      </w:r>
    </w:p>
    <w:p w:rsidR="00C07F9E" w:rsidP="00C07F9E">
      <w:pPr>
        <w:pStyle w:val="BodyText3"/>
        <w:jc w:val="both"/>
        <w:rPr>
          <w:rFonts w:cs="Calibri"/>
        </w:rPr>
      </w:pPr>
    </w:p>
    <w:p w:rsidR="00C07F9E" w:rsidRPr="00C67EDB" w:rsidP="00C07F9E">
      <w:pPr>
        <w:pStyle w:val="BodyText3"/>
        <w:jc w:val="both"/>
        <w:rPr>
          <w:rFonts w:cs="Calibri"/>
          <w:b/>
          <w:u w:val="single"/>
        </w:rPr>
      </w:pPr>
      <w:r w:rsidRPr="00C67EDB">
        <w:rPr>
          <w:rFonts w:cs="Calibri"/>
          <w:b/>
          <w:u w:val="single"/>
        </w:rPr>
        <w:t>K čl. II</w:t>
      </w:r>
    </w:p>
    <w:p w:rsidR="00C07F9E" w:rsidP="00C07F9E">
      <w:pPr>
        <w:pStyle w:val="BodyText3"/>
        <w:jc w:val="both"/>
        <w:rPr>
          <w:rFonts w:cs="Calibri"/>
        </w:rPr>
      </w:pPr>
    </w:p>
    <w:p w:rsidR="00C07F9E" w:rsidRPr="0026293E" w:rsidP="00C07F9E">
      <w:pPr>
        <w:pStyle w:val="BodyText3"/>
        <w:jc w:val="both"/>
        <w:rPr>
          <w:rFonts w:cs="Calibri"/>
        </w:rPr>
      </w:pPr>
      <w:r>
        <w:rPr>
          <w:rFonts w:cs="Calibri"/>
        </w:rPr>
        <w:t xml:space="preserve">Navrhuje sa účinnosť 1. </w:t>
      </w:r>
      <w:r w:rsidR="00DE6434">
        <w:rPr>
          <w:rFonts w:cs="Calibri"/>
        </w:rPr>
        <w:t>februára</w:t>
      </w:r>
      <w:r>
        <w:rPr>
          <w:rFonts w:cs="Calibri"/>
        </w:rPr>
        <w:t xml:space="preserve"> 200</w:t>
      </w:r>
      <w:r w:rsidR="00DE6434">
        <w:rPr>
          <w:rFonts w:cs="Calibri"/>
        </w:rPr>
        <w:t>7</w:t>
      </w:r>
      <w:r>
        <w:rPr>
          <w:rFonts w:cs="Calibri"/>
        </w:rPr>
        <w:t>.</w:t>
      </w:r>
    </w:p>
    <w:p w:rsidR="00C07F9E" w:rsidP="00C07F9E">
      <w:pPr>
        <w:rPr>
          <w:rFonts w:cs="Calibri"/>
        </w:rPr>
      </w:pPr>
    </w:p>
    <w:p w:rsidR="00B3419F">
      <w:pPr>
        <w:rPr>
          <w:rFonts w:cs="Calibri"/>
        </w:rPr>
      </w:pPr>
    </w:p>
    <w:sectPr>
      <w:footerReference w:type="even" r:id="rId4"/>
      <w:footerReference w:type="default" r:id="rId5"/>
      <w:pgSz w:w="11906" w:h="16838" w:code="9"/>
      <w:pgMar w:top="1438" w:right="1134" w:bottom="1438" w:left="1134" w:header="709" w:footer="709" w:gutter="0"/>
      <w:cols w:space="708"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altName w:val="Times New Roman"/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MS Mincho">
    <w:altName w:val="MS ??"/>
    <w:panose1 w:val="02020609040205080304"/>
    <w:charset w:val="00"/>
    <w:family w:val="roman"/>
    <w:pitch w:val="fixed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A2" w:rsidP="00F742A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742A2" w:rsidP="00F742A2">
    <w:pPr>
      <w:pStyle w:val="Footer"/>
      <w:ind w:right="360"/>
      <w:rPr>
        <w:rFonts w:cs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A2" w:rsidP="00F742A2">
    <w:pPr>
      <w:pStyle w:val="Footer"/>
      <w:ind w:right="360"/>
      <w:rPr>
        <w:rFonts w:cs="Calibri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87FF1"/>
    <w:multiLevelType w:val="hybridMultilevel"/>
    <w:tmpl w:val="E8B0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  <w:szCs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B0AE9"/>
    <w:rsid w:val="001B39CB"/>
    <w:rsid w:val="0026293E"/>
    <w:rsid w:val="00281250"/>
    <w:rsid w:val="0038334F"/>
    <w:rsid w:val="005118A9"/>
    <w:rsid w:val="005F39BE"/>
    <w:rsid w:val="00653603"/>
    <w:rsid w:val="00724A34"/>
    <w:rsid w:val="00994657"/>
    <w:rsid w:val="00A82C61"/>
    <w:rsid w:val="00B3419F"/>
    <w:rsid w:val="00B55394"/>
    <w:rsid w:val="00BF2B48"/>
    <w:rsid w:val="00C07F9E"/>
    <w:rsid w:val="00C67EDB"/>
    <w:rsid w:val="00D11742"/>
    <w:rsid w:val="00D2415D"/>
    <w:rsid w:val="00DB3526"/>
    <w:rsid w:val="00DE6434"/>
    <w:rsid w:val="00E36B76"/>
    <w:rsid w:val="00E4227E"/>
    <w:rsid w:val="00F742A2"/>
    <w:rsid w:val="00F876C9"/>
    <w:rsid w:val="00FC2F7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index heading" w:semiHidden="1" w:uiPriority="99" w:unhideWhenUsed="1"/>
    <w:lsdException w:name="caption" w:uiPriority="35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40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F9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uiPriority w:val="99"/>
    <w:semiHidden/>
    <w:unhideWhenUsed/>
  </w:style>
  <w:style w:type="paragraph" w:styleId="BodyText3">
    <w:name w:val="Body Text 3"/>
    <w:basedOn w:val="Normal"/>
    <w:link w:val="CharChar3"/>
    <w:rsid w:val="00C07F9E"/>
    <w:pPr>
      <w:jc w:val="right"/>
    </w:pPr>
  </w:style>
  <w:style w:type="character" w:customStyle="1" w:styleId="CharChar3">
    <w:name w:val="Char Char3"/>
    <w:basedOn w:val="DefaultParagraphFont"/>
    <w:link w:val="BodyText3"/>
    <w:rsid w:val="00C07F9E"/>
    <w:rPr>
      <w:rFonts w:ascii="Times New Roman" w:hAnsi="Times New Roman" w:cs="Times New Roman"/>
      <w:sz w:val="24"/>
      <w:szCs w:val="24"/>
      <w:rtl w:val="0"/>
    </w:rPr>
  </w:style>
  <w:style w:type="paragraph" w:styleId="BodyText">
    <w:name w:val="Body Text"/>
    <w:basedOn w:val="Normal"/>
    <w:link w:val="CharChar2"/>
    <w:rsid w:val="00C07F9E"/>
    <w:pPr>
      <w:jc w:val="center"/>
    </w:pPr>
    <w:rPr>
      <w:b/>
      <w:bCs/>
    </w:rPr>
  </w:style>
  <w:style w:type="character" w:customStyle="1" w:styleId="CharChar2">
    <w:name w:val="Char Char2"/>
    <w:basedOn w:val="DefaultParagraphFont"/>
    <w:link w:val="BodyText"/>
    <w:rsid w:val="00C07F9E"/>
    <w:rPr>
      <w:rFonts w:ascii="Times New Roman" w:hAnsi="Times New Roman" w:cs="Times New Roman"/>
      <w:b/>
      <w:bCs/>
      <w:sz w:val="24"/>
      <w:szCs w:val="24"/>
      <w:rtl w:val="0"/>
    </w:rPr>
  </w:style>
  <w:style w:type="paragraph" w:styleId="Footer">
    <w:name w:val="footer"/>
    <w:basedOn w:val="Normal"/>
    <w:link w:val="CharChar1"/>
    <w:rsid w:val="00C07F9E"/>
    <w:pPr>
      <w:tabs>
        <w:tab w:val="center" w:pos="4536"/>
        <w:tab w:val="right" w:pos="9072"/>
      </w:tabs>
      <w:jc w:val="left"/>
    </w:pPr>
  </w:style>
  <w:style w:type="character" w:customStyle="1" w:styleId="CharChar1">
    <w:name w:val="Char Char1"/>
    <w:basedOn w:val="DefaultParagraphFont"/>
    <w:link w:val="Footer"/>
    <w:rsid w:val="00C07F9E"/>
    <w:rPr>
      <w:rFonts w:ascii="Times New Roman" w:hAnsi="Times New Roman" w:cs="Times New Roman"/>
      <w:sz w:val="24"/>
      <w:szCs w:val="24"/>
      <w:rtl w:val="0"/>
    </w:rPr>
  </w:style>
  <w:style w:type="character" w:styleId="PageNumber">
    <w:name w:val="page number"/>
    <w:basedOn w:val="DefaultParagraphFont"/>
    <w:rsid w:val="00C07F9E"/>
    <w:rPr>
      <w:rFonts w:cs="Times New Roman"/>
      <w:rtl w:val="0"/>
    </w:rPr>
  </w:style>
  <w:style w:type="paragraph" w:styleId="BalloonText">
    <w:name w:val="Balloon Text"/>
    <w:basedOn w:val="Normal"/>
    <w:link w:val="CharChar"/>
    <w:uiPriority w:val="99"/>
    <w:rsid w:val="00C07F9E"/>
    <w:pPr>
      <w:jc w:val="left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link w:val="BalloonText"/>
    <w:uiPriority w:val="99"/>
    <w:semiHidden/>
    <w:rsid w:val="00C07F9E"/>
    <w:rPr>
      <w:rFonts w:ascii="Tahoma" w:hAnsi="Tahoma" w:cs="Tahoma"/>
      <w:sz w:val="16"/>
      <w:szCs w:val="16"/>
      <w:rtl w:val="0"/>
    </w:rPr>
  </w:style>
  <w:style w:type="paragraph" w:styleId="ListParagraph">
    <w:name w:val="List Paragraph"/>
    <w:basedOn w:val="Normal"/>
    <w:uiPriority w:val="34"/>
    <w:qFormat/>
    <w:rsid w:val="005118A9"/>
    <w:pPr>
      <w:ind w:left="708"/>
      <w:jc w:val="left"/>
    </w:pPr>
  </w:style>
  <w:style w:type="paragraph" w:styleId="Header">
    <w:name w:val="header"/>
    <w:basedOn w:val="Normal"/>
    <w:uiPriority w:val="99"/>
    <w:rsid w:val="007D0106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4</Pages>
  <Words>703</Words>
  <Characters>4010</Characters>
  <Application>Microsoft Office Word</Application>
  <DocSecurity>0</DocSecurity>
  <Lines>0</Lines>
  <Paragraphs>0</Paragraphs>
  <ScaleCrop>false</ScaleCrop>
  <Company>individual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Marek Kalavsky</dc:creator>
  <cp:lastModifiedBy>gaspjarm</cp:lastModifiedBy>
  <cp:revision>6</cp:revision>
  <cp:lastPrinted>2006-09-28T11:22:00Z</cp:lastPrinted>
  <dcterms:created xsi:type="dcterms:W3CDTF">2006-09-25T13:33:00Z</dcterms:created>
  <dcterms:modified xsi:type="dcterms:W3CDTF">2006-10-02T14:15:00Z</dcterms:modified>
</cp:coreProperties>
</file>