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87A26" w:rsidP="00F87A26">
      <w:pPr>
        <w:jc w:val="center"/>
        <w:rPr>
          <w:b/>
          <w:bCs/>
          <w:caps/>
          <w:sz w:val="32"/>
          <w:szCs w:val="32"/>
        </w:rPr>
      </w:pPr>
      <w:r>
        <w:rPr>
          <w:b/>
          <w:bCs/>
          <w:caps/>
          <w:sz w:val="32"/>
          <w:szCs w:val="32"/>
        </w:rPr>
        <w:t>Ná</w:t>
      </w:r>
      <w:r w:rsidRPr="00D11742">
        <w:rPr>
          <w:b/>
          <w:bCs/>
          <w:caps/>
          <w:sz w:val="32"/>
          <w:szCs w:val="32"/>
        </w:rPr>
        <w:t>r</w:t>
      </w:r>
      <w:r>
        <w:rPr>
          <w:b/>
          <w:bCs/>
          <w:caps/>
          <w:sz w:val="32"/>
          <w:szCs w:val="32"/>
        </w:rPr>
        <w:t>odná r</w:t>
      </w:r>
      <w:r w:rsidRPr="00D11742">
        <w:rPr>
          <w:b/>
          <w:bCs/>
          <w:caps/>
          <w:sz w:val="32"/>
          <w:szCs w:val="32"/>
        </w:rPr>
        <w:t>ada  Slovenskej  republiky</w:t>
      </w:r>
    </w:p>
    <w:p w:rsidR="00F87A26" w:rsidRPr="00B55394" w:rsidP="00F87A26">
      <w:pPr>
        <w:pBdr>
          <w:bottom w:val="single" w:sz="12" w:space="1" w:color="auto"/>
        </w:pBdr>
        <w:jc w:val="center"/>
        <w:rPr>
          <w:b/>
          <w:bCs/>
        </w:rPr>
      </w:pPr>
      <w:r>
        <w:rPr>
          <w:b/>
          <w:bCs/>
          <w:caps/>
        </w:rPr>
        <w:t>IV.</w:t>
      </w:r>
      <w:r w:rsidRPr="00B55394">
        <w:rPr>
          <w:b/>
          <w:bCs/>
          <w:caps/>
        </w:rPr>
        <w:t xml:space="preserve"> </w:t>
      </w:r>
      <w:r w:rsidRPr="00B55394">
        <w:rPr>
          <w:b/>
          <w:bCs/>
        </w:rPr>
        <w:t>volebné obdobie</w:t>
      </w:r>
    </w:p>
    <w:p w:rsidR="00F87A26" w:rsidP="00F87A26">
      <w:pPr>
        <w:pStyle w:val="BodyText"/>
        <w:rPr>
          <w:b w:val="0"/>
          <w:bCs w:val="0"/>
        </w:rPr>
      </w:pPr>
    </w:p>
    <w:p w:rsidR="00F87A26" w:rsidRPr="00873871" w:rsidP="00F87A26">
      <w:pPr>
        <w:jc w:val="center"/>
        <w:rPr>
          <w:bCs/>
          <w:sz w:val="26"/>
          <w:szCs w:val="26"/>
        </w:rPr>
      </w:pPr>
      <w:r w:rsidRPr="00873871">
        <w:rPr>
          <w:bCs/>
          <w:sz w:val="26"/>
          <w:szCs w:val="26"/>
        </w:rPr>
        <w:t>(Návrh)</w:t>
      </w:r>
    </w:p>
    <w:p w:rsidR="00F87A26" w:rsidRPr="00873871" w:rsidP="00F87A26">
      <w:pPr>
        <w:jc w:val="center"/>
        <w:rPr>
          <w:b/>
          <w:bCs/>
          <w:sz w:val="26"/>
          <w:szCs w:val="26"/>
        </w:rPr>
      </w:pPr>
    </w:p>
    <w:p w:rsidR="00F87A26" w:rsidRPr="00873871" w:rsidP="00F87A26">
      <w:pPr>
        <w:jc w:val="center"/>
        <w:rPr>
          <w:b/>
          <w:bCs/>
          <w:sz w:val="26"/>
          <w:szCs w:val="26"/>
        </w:rPr>
      </w:pPr>
      <w:r w:rsidRPr="00873871">
        <w:rPr>
          <w:b/>
          <w:bCs/>
          <w:sz w:val="26"/>
          <w:szCs w:val="26"/>
        </w:rPr>
        <w:t>ZÁKON</w:t>
      </w:r>
    </w:p>
    <w:p w:rsidR="00F87A26" w:rsidRPr="00873871" w:rsidP="00F87A26">
      <w:pPr>
        <w:jc w:val="center"/>
        <w:rPr>
          <w:b/>
          <w:bCs/>
          <w:sz w:val="26"/>
          <w:szCs w:val="26"/>
        </w:rPr>
      </w:pPr>
    </w:p>
    <w:p w:rsidR="00F87A26" w:rsidRPr="00873871" w:rsidP="00F87A26">
      <w:pPr>
        <w:jc w:val="center"/>
        <w:rPr>
          <w:b/>
          <w:bCs/>
          <w:sz w:val="26"/>
          <w:szCs w:val="26"/>
        </w:rPr>
      </w:pPr>
      <w:r w:rsidRPr="00873871">
        <w:rPr>
          <w:b/>
          <w:bCs/>
          <w:sz w:val="26"/>
          <w:szCs w:val="26"/>
        </w:rPr>
        <w:t>z ......... 2006,</w:t>
      </w:r>
    </w:p>
    <w:p w:rsidR="00F87A26" w:rsidRPr="00E66CA1" w:rsidP="00F87A26">
      <w:pPr>
        <w:jc w:val="center"/>
        <w:rPr>
          <w:sz w:val="26"/>
          <w:szCs w:val="26"/>
        </w:rPr>
      </w:pPr>
    </w:p>
    <w:p w:rsidR="00F87A26" w:rsidRPr="00E66CA1" w:rsidP="00F87A26">
      <w:pPr>
        <w:jc w:val="center"/>
        <w:rPr>
          <w:b/>
          <w:bCs/>
          <w:sz w:val="26"/>
          <w:szCs w:val="26"/>
        </w:rPr>
      </w:pPr>
      <w:r w:rsidRPr="00E66CA1">
        <w:rPr>
          <w:b/>
          <w:bCs/>
          <w:sz w:val="26"/>
          <w:szCs w:val="26"/>
        </w:rPr>
        <w:t xml:space="preserve">ktorým sa </w:t>
      </w:r>
      <w:r w:rsidRPr="008729F9">
        <w:rPr>
          <w:b/>
          <w:bCs/>
          <w:sz w:val="26"/>
          <w:szCs w:val="26"/>
        </w:rPr>
        <w:t>mení</w:t>
      </w:r>
      <w:r>
        <w:rPr>
          <w:b/>
          <w:bCs/>
          <w:sz w:val="26"/>
          <w:szCs w:val="26"/>
        </w:rPr>
        <w:t xml:space="preserve"> a dopĺňa</w:t>
      </w:r>
      <w:r w:rsidRPr="00E66CA1">
        <w:rPr>
          <w:b/>
          <w:bCs/>
          <w:sz w:val="26"/>
          <w:szCs w:val="26"/>
        </w:rPr>
        <w:t xml:space="preserve"> zákon č. 215/2004 Z. z. o ochrane utajovaných skutočností a o zmene a doplnení niektorých zákonov</w:t>
      </w:r>
      <w:r>
        <w:rPr>
          <w:b/>
          <w:bCs/>
          <w:sz w:val="26"/>
          <w:szCs w:val="26"/>
        </w:rPr>
        <w:t xml:space="preserve"> v znení neskorších predpisov</w:t>
      </w:r>
    </w:p>
    <w:p w:rsidR="00F87A26" w:rsidRPr="00E66CA1" w:rsidP="00F87A26">
      <w:pPr>
        <w:rPr>
          <w:sz w:val="26"/>
          <w:szCs w:val="26"/>
        </w:rPr>
      </w:pPr>
    </w:p>
    <w:p w:rsidR="00F87A26" w:rsidRPr="00E66CA1" w:rsidP="00F87A26">
      <w:pPr>
        <w:ind w:firstLine="708"/>
        <w:rPr>
          <w:sz w:val="26"/>
          <w:szCs w:val="26"/>
        </w:rPr>
      </w:pPr>
      <w:r w:rsidRPr="00E66CA1">
        <w:rPr>
          <w:sz w:val="26"/>
          <w:szCs w:val="26"/>
        </w:rPr>
        <w:t>Národná rada</w:t>
      </w:r>
      <w:r w:rsidRPr="00E66CA1">
        <w:rPr>
          <w:sz w:val="26"/>
          <w:szCs w:val="26"/>
        </w:rPr>
        <w:t xml:space="preserve"> Slovenskej republiky sa uzniesla na tomto zákone:</w:t>
      </w:r>
    </w:p>
    <w:p w:rsidR="00F87A26" w:rsidRPr="00E66CA1" w:rsidP="00F87A26">
      <w:pPr>
        <w:jc w:val="center"/>
        <w:rPr>
          <w:sz w:val="26"/>
          <w:szCs w:val="26"/>
        </w:rPr>
      </w:pPr>
    </w:p>
    <w:p w:rsidR="00F87A26" w:rsidRPr="00E66CA1" w:rsidP="00F87A26">
      <w:pPr>
        <w:jc w:val="center"/>
        <w:rPr>
          <w:b/>
          <w:bCs/>
          <w:sz w:val="26"/>
          <w:szCs w:val="26"/>
        </w:rPr>
      </w:pPr>
      <w:r w:rsidRPr="00E66CA1">
        <w:rPr>
          <w:b/>
          <w:bCs/>
          <w:sz w:val="26"/>
          <w:szCs w:val="26"/>
        </w:rPr>
        <w:t>Čl. I</w:t>
      </w:r>
    </w:p>
    <w:p w:rsidR="00F87A26" w:rsidRPr="00E66CA1" w:rsidP="00F87A26">
      <w:pPr>
        <w:rPr>
          <w:sz w:val="26"/>
          <w:szCs w:val="26"/>
        </w:rPr>
      </w:pPr>
      <w:r w:rsidRPr="00E66CA1">
        <w:rPr>
          <w:sz w:val="26"/>
          <w:szCs w:val="26"/>
        </w:rPr>
        <w:tab/>
      </w:r>
    </w:p>
    <w:p w:rsidR="00F87A26" w:rsidP="00F87A26">
      <w:pPr>
        <w:jc w:val="both"/>
        <w:rPr>
          <w:sz w:val="26"/>
          <w:szCs w:val="26"/>
        </w:rPr>
      </w:pPr>
      <w:r w:rsidRPr="00E66CA1">
        <w:rPr>
          <w:sz w:val="26"/>
          <w:szCs w:val="26"/>
        </w:rPr>
        <w:tab/>
        <w:t xml:space="preserve">Zákon č. 215/2004 Z. z. o ochrane utajovaných skutočností a o zmene a doplnení niektorých zákonov </w:t>
      </w:r>
      <w:r>
        <w:rPr>
          <w:sz w:val="26"/>
          <w:szCs w:val="26"/>
        </w:rPr>
        <w:t xml:space="preserve">v znení zákona č. 638/2005 Z. z. a zákona č. 255/2006 Z. z. </w:t>
      </w:r>
      <w:r w:rsidRPr="00E66CA1">
        <w:rPr>
          <w:sz w:val="26"/>
          <w:szCs w:val="26"/>
        </w:rPr>
        <w:t xml:space="preserve">sa </w:t>
      </w:r>
      <w:r w:rsidRPr="008729F9">
        <w:rPr>
          <w:sz w:val="26"/>
          <w:szCs w:val="26"/>
        </w:rPr>
        <w:t>mení</w:t>
      </w:r>
      <w:r>
        <w:rPr>
          <w:sz w:val="26"/>
          <w:szCs w:val="26"/>
        </w:rPr>
        <w:t xml:space="preserve"> a dopĺňa</w:t>
      </w:r>
      <w:r w:rsidRPr="00E66CA1">
        <w:rPr>
          <w:sz w:val="26"/>
          <w:szCs w:val="26"/>
        </w:rPr>
        <w:t xml:space="preserve"> takto:</w:t>
      </w:r>
    </w:p>
    <w:p w:rsidR="00F87A26" w:rsidP="00F87A26">
      <w:pPr>
        <w:jc w:val="both"/>
        <w:rPr>
          <w:sz w:val="26"/>
          <w:szCs w:val="26"/>
        </w:rPr>
      </w:pPr>
    </w:p>
    <w:p w:rsidR="00F87A26" w:rsidP="00F87A26">
      <w:pPr>
        <w:numPr>
          <w:ilvl w:val="0"/>
          <w:numId w:val="2"/>
        </w:numPr>
        <w:tabs>
          <w:tab w:val="left" w:pos="720"/>
        </w:tabs>
        <w:jc w:val="both"/>
        <w:rPr>
          <w:color w:val="000000"/>
          <w:sz w:val="26"/>
          <w:szCs w:val="26"/>
        </w:rPr>
      </w:pPr>
      <w:r>
        <w:rPr>
          <w:sz w:val="26"/>
          <w:szCs w:val="26"/>
        </w:rPr>
        <w:t xml:space="preserve">V § 18 ods. </w:t>
      </w:r>
      <w:r>
        <w:rPr>
          <w:sz w:val="26"/>
          <w:szCs w:val="26"/>
        </w:rPr>
        <w:t xml:space="preserve">4 sa </w:t>
      </w:r>
      <w:r w:rsidRPr="008729F9">
        <w:rPr>
          <w:sz w:val="26"/>
          <w:szCs w:val="26"/>
        </w:rPr>
        <w:t>vypúšťajú slová „</w:t>
      </w:r>
      <w:r w:rsidRPr="008729F9">
        <w:rPr>
          <w:color w:val="000000"/>
          <w:sz w:val="26"/>
          <w:szCs w:val="26"/>
        </w:rPr>
        <w:t>a plní alebo bude plniť úlohy kriminálneho spravodajstva“.</w:t>
      </w:r>
    </w:p>
    <w:p w:rsidR="00F87A26" w:rsidP="00F87A26">
      <w:pPr>
        <w:ind w:left="360"/>
        <w:jc w:val="both"/>
        <w:rPr>
          <w:sz w:val="26"/>
          <w:szCs w:val="26"/>
        </w:rPr>
      </w:pPr>
    </w:p>
    <w:p w:rsidR="00F87A26" w:rsidP="00F87A26">
      <w:pPr>
        <w:numPr>
          <w:ilvl w:val="0"/>
          <w:numId w:val="2"/>
        </w:numPr>
        <w:tabs>
          <w:tab w:val="left" w:pos="720"/>
        </w:tabs>
        <w:jc w:val="both"/>
        <w:rPr>
          <w:sz w:val="26"/>
          <w:szCs w:val="26"/>
        </w:rPr>
      </w:pPr>
      <w:r>
        <w:rPr>
          <w:sz w:val="26"/>
          <w:szCs w:val="26"/>
        </w:rPr>
        <w:t>V § 75 ods. 1 písm. a) sa na konci dopĺňajú slová „ods. 1 až 3“</w:t>
      </w:r>
    </w:p>
    <w:p w:rsidR="00F87A26" w:rsidP="00F87A26">
      <w:pPr>
        <w:jc w:val="both"/>
        <w:rPr>
          <w:sz w:val="26"/>
          <w:szCs w:val="26"/>
        </w:rPr>
      </w:pPr>
    </w:p>
    <w:p w:rsidR="00F87A26" w:rsidRPr="008729F9" w:rsidP="00F87A26">
      <w:pPr>
        <w:numPr>
          <w:ilvl w:val="0"/>
          <w:numId w:val="2"/>
        </w:numPr>
        <w:tabs>
          <w:tab w:val="left" w:pos="720"/>
        </w:tabs>
        <w:jc w:val="both"/>
        <w:rPr>
          <w:sz w:val="26"/>
          <w:szCs w:val="26"/>
        </w:rPr>
      </w:pPr>
      <w:r>
        <w:rPr>
          <w:sz w:val="26"/>
          <w:szCs w:val="26"/>
        </w:rPr>
        <w:t>V § 76 sa v ods. 1 vkladá nové písmeno a), ktoré znie:</w:t>
      </w:r>
    </w:p>
    <w:p w:rsidR="00F87A26" w:rsidP="00F87A26">
      <w:pPr>
        <w:ind w:left="708"/>
        <w:jc w:val="both"/>
        <w:rPr>
          <w:color w:val="000000"/>
          <w:sz w:val="26"/>
          <w:szCs w:val="26"/>
        </w:rPr>
      </w:pPr>
      <w:r w:rsidRPr="008729F9">
        <w:rPr>
          <w:sz w:val="26"/>
          <w:szCs w:val="26"/>
        </w:rPr>
        <w:t xml:space="preserve">„a) </w:t>
      </w:r>
      <w:r w:rsidRPr="008729F9">
        <w:rPr>
          <w:color w:val="000000"/>
          <w:sz w:val="26"/>
          <w:szCs w:val="26"/>
        </w:rPr>
        <w:t>vykonáva bezpečnostné previerky navrhovaných osôb vo svojej pôsobnosti podľa § 18 ods. 4,“.</w:t>
      </w:r>
    </w:p>
    <w:p w:rsidR="00F87A26" w:rsidP="00F87A26">
      <w:pPr>
        <w:jc w:val="both"/>
        <w:rPr>
          <w:sz w:val="26"/>
          <w:szCs w:val="26"/>
        </w:rPr>
      </w:pPr>
    </w:p>
    <w:p w:rsidR="00F87A26" w:rsidP="00F87A26">
      <w:pPr>
        <w:jc w:val="both"/>
        <w:rPr>
          <w:sz w:val="26"/>
          <w:szCs w:val="26"/>
        </w:rPr>
      </w:pPr>
      <w:r>
        <w:rPr>
          <w:sz w:val="26"/>
          <w:szCs w:val="26"/>
        </w:rPr>
        <w:tab/>
        <w:t>Doterajšie písmená a) až d) sa označujú ako písmená b) až e).</w:t>
      </w:r>
    </w:p>
    <w:p w:rsidR="00F87A26" w:rsidP="00F87A26">
      <w:pPr>
        <w:jc w:val="both"/>
        <w:rPr>
          <w:sz w:val="26"/>
          <w:szCs w:val="26"/>
        </w:rPr>
      </w:pPr>
    </w:p>
    <w:p w:rsidR="00F87A26" w:rsidRPr="0069748B" w:rsidP="00F87A26">
      <w:pPr>
        <w:numPr>
          <w:ilvl w:val="0"/>
          <w:numId w:val="2"/>
        </w:numPr>
        <w:tabs>
          <w:tab w:val="left" w:pos="720"/>
        </w:tabs>
        <w:jc w:val="both"/>
        <w:rPr>
          <w:sz w:val="26"/>
          <w:szCs w:val="26"/>
        </w:rPr>
      </w:pPr>
      <w:r>
        <w:rPr>
          <w:sz w:val="26"/>
          <w:szCs w:val="26"/>
        </w:rPr>
        <w:t xml:space="preserve">V § 76 ods. 2 písm. a) sa na konci dopĺňajú </w:t>
      </w:r>
      <w:r w:rsidRPr="00E64B70">
        <w:rPr>
          <w:sz w:val="26"/>
          <w:szCs w:val="26"/>
        </w:rPr>
        <w:t>slová „</w:t>
      </w:r>
      <w:r w:rsidRPr="00E64B70">
        <w:rPr>
          <w:color w:val="000000"/>
          <w:sz w:val="26"/>
          <w:szCs w:val="26"/>
        </w:rPr>
        <w:t>a údaje z evidencií a materiálov vzniknutých z činnosti bezpečnostných orgánov a vojenských orgánov alebo takéto údaje vyžadovať“.</w:t>
      </w:r>
    </w:p>
    <w:p w:rsidR="00F87A26" w:rsidP="00F87A26">
      <w:pPr>
        <w:ind w:left="360"/>
        <w:jc w:val="both"/>
        <w:rPr>
          <w:sz w:val="26"/>
          <w:szCs w:val="26"/>
        </w:rPr>
      </w:pPr>
    </w:p>
    <w:p w:rsidR="00F87A26" w:rsidP="00F87A26">
      <w:pPr>
        <w:numPr>
          <w:ilvl w:val="0"/>
          <w:numId w:val="2"/>
        </w:numPr>
        <w:tabs>
          <w:tab w:val="left" w:pos="720"/>
        </w:tabs>
        <w:jc w:val="both"/>
        <w:rPr>
          <w:sz w:val="26"/>
          <w:szCs w:val="26"/>
        </w:rPr>
      </w:pPr>
      <w:r>
        <w:rPr>
          <w:sz w:val="26"/>
          <w:szCs w:val="26"/>
        </w:rPr>
        <w:t>§ 76 ods. 2 sa dopĺňa písmenom c), ktoré znie:</w:t>
      </w:r>
    </w:p>
    <w:p w:rsidR="00F87A26" w:rsidP="00F87A26">
      <w:pPr>
        <w:ind w:left="708"/>
        <w:jc w:val="both"/>
        <w:rPr>
          <w:color w:val="000000"/>
          <w:sz w:val="26"/>
          <w:szCs w:val="26"/>
        </w:rPr>
      </w:pPr>
      <w:r>
        <w:rPr>
          <w:sz w:val="26"/>
          <w:szCs w:val="26"/>
        </w:rPr>
        <w:t xml:space="preserve">„c) </w:t>
      </w:r>
      <w:r w:rsidRPr="0069748B">
        <w:rPr>
          <w:color w:val="000000"/>
          <w:sz w:val="26"/>
          <w:szCs w:val="26"/>
        </w:rPr>
        <w:t>uchovávať vo svojich evidenciách údaje získané pri plnení úloh podľa tohto zákona.“.</w:t>
      </w:r>
    </w:p>
    <w:p w:rsidR="00F87A26" w:rsidP="00F87A26">
      <w:pPr>
        <w:ind w:left="708"/>
        <w:jc w:val="both"/>
        <w:rPr>
          <w:color w:val="000000"/>
          <w:sz w:val="26"/>
          <w:szCs w:val="26"/>
        </w:rPr>
      </w:pPr>
    </w:p>
    <w:p w:rsidR="00F87A26" w:rsidRPr="00F87A26" w:rsidP="00F87A26">
      <w:pPr>
        <w:pStyle w:val="ListParagraph"/>
        <w:numPr>
          <w:ilvl w:val="0"/>
          <w:numId w:val="2"/>
        </w:numPr>
        <w:tabs>
          <w:tab w:val="left" w:pos="720"/>
        </w:tabs>
        <w:jc w:val="both"/>
        <w:rPr>
          <w:color w:val="000000"/>
          <w:sz w:val="26"/>
          <w:szCs w:val="26"/>
        </w:rPr>
      </w:pPr>
      <w:r w:rsidRPr="00F87A26">
        <w:rPr>
          <w:color w:val="000000"/>
          <w:sz w:val="26"/>
          <w:szCs w:val="26"/>
        </w:rPr>
        <w:t>§ 76 ods. 3 znie:</w:t>
      </w:r>
    </w:p>
    <w:p w:rsidR="00F87A26" w:rsidRPr="00F87A26" w:rsidP="00F87A26">
      <w:pPr>
        <w:pStyle w:val="ListParagraph"/>
        <w:jc w:val="both"/>
        <w:rPr>
          <w:color w:val="000000"/>
          <w:sz w:val="26"/>
          <w:szCs w:val="26"/>
        </w:rPr>
      </w:pPr>
      <w:r w:rsidRPr="00F87A26">
        <w:rPr>
          <w:color w:val="000000"/>
          <w:sz w:val="26"/>
          <w:szCs w:val="26"/>
        </w:rPr>
        <w:t>„(3) Policajný zbor pri plnení úloh kriminálneho spravodajstva</w:t>
      </w:r>
      <w:r w:rsidRPr="00F87A26">
        <w:rPr>
          <w:color w:val="000000"/>
          <w:sz w:val="26"/>
          <w:szCs w:val="26"/>
          <w:vertAlign w:val="superscript"/>
        </w:rPr>
        <w:t>33)</w:t>
      </w:r>
      <w:r w:rsidRPr="00F87A26">
        <w:rPr>
          <w:color w:val="000000"/>
          <w:sz w:val="26"/>
          <w:szCs w:val="26"/>
        </w:rPr>
        <w:t xml:space="preserve"> je pri vykonávaní bezpečnostných previerok ak ide o osoby podľa § 18 ods. 4, ktoré plnia alebo budú plniť úlohy kriminálneho spravodajstva, oprávnený používať informačno-technické prostriedky. Policajný zbor je pri vykonávaní bezpečnostných previerok podľa § 18 ods. 4 oprávnený použiť prostriedky operatívno-pátracej činnosti a je oprávnený viesť bezpečnostné spisy svojich príslušníkov a svojich zamestnancov.“.</w:t>
      </w:r>
    </w:p>
    <w:p w:rsidR="00F87A26" w:rsidP="00F87A26">
      <w:pPr>
        <w:ind w:left="708"/>
        <w:jc w:val="both"/>
        <w:rPr>
          <w:color w:val="000000"/>
          <w:sz w:val="26"/>
          <w:szCs w:val="26"/>
        </w:rPr>
      </w:pPr>
    </w:p>
    <w:p w:rsidR="00F87A26" w:rsidP="00F87A26">
      <w:pPr>
        <w:numPr>
          <w:ilvl w:val="0"/>
          <w:numId w:val="3"/>
        </w:numPr>
        <w:tabs>
          <w:tab w:val="left" w:pos="720"/>
        </w:tabs>
        <w:jc w:val="both"/>
        <w:rPr>
          <w:color w:val="000000"/>
          <w:sz w:val="26"/>
          <w:szCs w:val="26"/>
        </w:rPr>
      </w:pPr>
      <w:r>
        <w:rPr>
          <w:color w:val="000000"/>
          <w:sz w:val="26"/>
          <w:szCs w:val="26"/>
        </w:rPr>
        <w:t>Za § 84 sa vkladá nový § 84a, ktorý vrátane nadpisu znie:</w:t>
      </w:r>
    </w:p>
    <w:p w:rsidR="00F87A26" w:rsidP="00F87A26">
      <w:pPr>
        <w:ind w:left="360"/>
        <w:jc w:val="center"/>
        <w:rPr>
          <w:color w:val="000000"/>
          <w:sz w:val="26"/>
          <w:szCs w:val="26"/>
        </w:rPr>
      </w:pPr>
      <w:r>
        <w:rPr>
          <w:color w:val="000000"/>
          <w:sz w:val="26"/>
          <w:szCs w:val="26"/>
        </w:rPr>
        <w:t>„</w:t>
      </w:r>
      <w:r>
        <w:rPr>
          <w:b/>
          <w:color w:val="000000"/>
          <w:sz w:val="26"/>
          <w:szCs w:val="26"/>
        </w:rPr>
        <w:t>§ 84a</w:t>
      </w:r>
    </w:p>
    <w:p w:rsidR="00F87A26" w:rsidP="00F87A26">
      <w:pPr>
        <w:ind w:left="360"/>
        <w:jc w:val="center"/>
        <w:rPr>
          <w:color w:val="000000"/>
          <w:sz w:val="26"/>
          <w:szCs w:val="26"/>
        </w:rPr>
      </w:pPr>
      <w:r>
        <w:rPr>
          <w:color w:val="000000"/>
          <w:sz w:val="26"/>
          <w:szCs w:val="26"/>
        </w:rPr>
        <w:t xml:space="preserve">Prechodné ustanovenie k zmenám účinným od 1. </w:t>
      </w:r>
      <w:r w:rsidR="00020081">
        <w:rPr>
          <w:color w:val="000000"/>
          <w:sz w:val="26"/>
          <w:szCs w:val="26"/>
        </w:rPr>
        <w:t>februára 2007.</w:t>
      </w:r>
    </w:p>
    <w:p w:rsidR="00F87A26" w:rsidP="00F87A26">
      <w:pPr>
        <w:ind w:left="360"/>
        <w:rPr>
          <w:color w:val="000000"/>
          <w:sz w:val="26"/>
          <w:szCs w:val="26"/>
        </w:rPr>
      </w:pPr>
    </w:p>
    <w:p w:rsidR="00F87A26" w:rsidRPr="0069748B" w:rsidP="00F87A26">
      <w:pPr>
        <w:ind w:left="708" w:firstLine="708"/>
        <w:jc w:val="both"/>
        <w:rPr>
          <w:color w:val="000000"/>
          <w:sz w:val="26"/>
          <w:szCs w:val="26"/>
        </w:rPr>
      </w:pPr>
      <w:r w:rsidRPr="0069748B">
        <w:rPr>
          <w:color w:val="000000"/>
          <w:sz w:val="26"/>
          <w:szCs w:val="26"/>
        </w:rPr>
        <w:t>Bezpečnostná previerka navrhovanej osoby začatá podľa predpisov  účinných 3</w:t>
      </w:r>
      <w:r w:rsidR="00020081">
        <w:rPr>
          <w:color w:val="000000"/>
          <w:sz w:val="26"/>
          <w:szCs w:val="26"/>
        </w:rPr>
        <w:t>1</w:t>
      </w:r>
      <w:r w:rsidRPr="0069748B">
        <w:rPr>
          <w:color w:val="000000"/>
          <w:sz w:val="26"/>
          <w:szCs w:val="26"/>
        </w:rPr>
        <w:t xml:space="preserve">. </w:t>
      </w:r>
      <w:r w:rsidR="00020081">
        <w:rPr>
          <w:color w:val="000000"/>
          <w:sz w:val="26"/>
          <w:szCs w:val="26"/>
        </w:rPr>
        <w:t>januára</w:t>
      </w:r>
      <w:r w:rsidRPr="0069748B">
        <w:rPr>
          <w:color w:val="000000"/>
          <w:sz w:val="26"/>
          <w:szCs w:val="26"/>
        </w:rPr>
        <w:t xml:space="preserve"> 200</w:t>
      </w:r>
      <w:r w:rsidR="00020081">
        <w:rPr>
          <w:color w:val="000000"/>
          <w:sz w:val="26"/>
          <w:szCs w:val="26"/>
        </w:rPr>
        <w:t>7</w:t>
      </w:r>
      <w:r w:rsidRPr="0069748B">
        <w:rPr>
          <w:color w:val="000000"/>
          <w:sz w:val="26"/>
          <w:szCs w:val="26"/>
        </w:rPr>
        <w:t xml:space="preserve"> sa dokončí podľa tohto zákona.</w:t>
      </w:r>
    </w:p>
    <w:p w:rsidR="00F87A26" w:rsidP="00F87A26">
      <w:pPr>
        <w:jc w:val="both"/>
        <w:rPr>
          <w:color w:val="000000"/>
          <w:sz w:val="26"/>
          <w:szCs w:val="26"/>
        </w:rPr>
      </w:pPr>
    </w:p>
    <w:p w:rsidR="00F87A26" w:rsidP="00F87A26">
      <w:pPr>
        <w:jc w:val="both"/>
        <w:rPr>
          <w:color w:val="000000"/>
          <w:sz w:val="26"/>
          <w:szCs w:val="26"/>
        </w:rPr>
      </w:pPr>
    </w:p>
    <w:p w:rsidR="00F87A26" w:rsidRPr="0069748B" w:rsidP="00F87A26">
      <w:pPr>
        <w:jc w:val="center"/>
        <w:rPr>
          <w:b/>
          <w:color w:val="000000"/>
          <w:sz w:val="26"/>
          <w:szCs w:val="26"/>
        </w:rPr>
      </w:pPr>
      <w:r w:rsidRPr="0069748B">
        <w:rPr>
          <w:b/>
          <w:color w:val="000000"/>
          <w:sz w:val="26"/>
          <w:szCs w:val="26"/>
        </w:rPr>
        <w:t>Čl. II</w:t>
      </w:r>
    </w:p>
    <w:p w:rsidR="00F87A26" w:rsidP="00F87A26">
      <w:pPr>
        <w:jc w:val="both"/>
        <w:rPr>
          <w:color w:val="000000"/>
          <w:sz w:val="26"/>
          <w:szCs w:val="26"/>
        </w:rPr>
      </w:pPr>
    </w:p>
    <w:p w:rsidR="00F87A26" w:rsidP="00F87A26">
      <w:pPr>
        <w:jc w:val="both"/>
        <w:rPr>
          <w:color w:val="000000"/>
          <w:sz w:val="26"/>
          <w:szCs w:val="26"/>
        </w:rPr>
      </w:pPr>
      <w:r>
        <w:rPr>
          <w:color w:val="000000"/>
          <w:sz w:val="26"/>
          <w:szCs w:val="26"/>
        </w:rPr>
        <w:tab/>
        <w:t xml:space="preserve">Tento zákon nadobúda účinnosť 1. </w:t>
      </w:r>
      <w:r w:rsidR="007777F8">
        <w:rPr>
          <w:color w:val="000000"/>
          <w:sz w:val="26"/>
          <w:szCs w:val="26"/>
        </w:rPr>
        <w:t>február</w:t>
      </w:r>
      <w:r>
        <w:rPr>
          <w:color w:val="000000"/>
          <w:sz w:val="26"/>
          <w:szCs w:val="26"/>
        </w:rPr>
        <w:t>a 200</w:t>
      </w:r>
      <w:r w:rsidR="007777F8">
        <w:rPr>
          <w:color w:val="000000"/>
          <w:sz w:val="26"/>
          <w:szCs w:val="26"/>
        </w:rPr>
        <w:t>7</w:t>
      </w:r>
      <w:r>
        <w:rPr>
          <w:color w:val="000000"/>
          <w:sz w:val="26"/>
          <w:szCs w:val="26"/>
        </w:rPr>
        <w:t>.</w:t>
      </w:r>
    </w:p>
    <w:p w:rsidR="00F87A26" w:rsidP="00F87A26">
      <w:pPr>
        <w:jc w:val="both"/>
        <w:rPr>
          <w:color w:val="000000"/>
          <w:sz w:val="26"/>
          <w:szCs w:val="26"/>
        </w:rPr>
      </w:pPr>
    </w:p>
    <w:p w:rsidR="00F87A26" w:rsidP="00F87A26">
      <w:pPr>
        <w:pStyle w:val="BodyText"/>
        <w:ind w:firstLine="708"/>
        <w:jc w:val="left"/>
        <w:rPr>
          <w:b w:val="0"/>
        </w:rPr>
      </w:pPr>
      <w:r>
        <w:rPr>
          <w:b w:val="0"/>
        </w:rPr>
        <w:br w:type="page"/>
      </w:r>
    </w:p>
    <w:p w:rsidR="00F87A26" w:rsidRPr="00BF2B48" w:rsidP="00F87A26">
      <w:pPr>
        <w:pStyle w:val="BodyText"/>
        <w:rPr>
          <w:bCs w:val="0"/>
          <w:caps/>
          <w:sz w:val="28"/>
          <w:szCs w:val="28"/>
        </w:rPr>
      </w:pPr>
      <w:r w:rsidRPr="00BF2B48">
        <w:rPr>
          <w:bCs w:val="0"/>
          <w:caps/>
          <w:sz w:val="28"/>
          <w:szCs w:val="28"/>
        </w:rPr>
        <w:t>Dôvodová správa</w:t>
      </w:r>
    </w:p>
    <w:p w:rsidR="00F87A26" w:rsidP="00F87A26">
      <w:pPr>
        <w:pStyle w:val="BodyText"/>
        <w:jc w:val="both"/>
        <w:rPr>
          <w:b w:val="0"/>
          <w:bCs w:val="0"/>
        </w:rPr>
      </w:pPr>
    </w:p>
    <w:p w:rsidR="00F87A26" w:rsidP="00F87A26">
      <w:pPr>
        <w:pStyle w:val="BodyText"/>
        <w:jc w:val="both"/>
        <w:rPr>
          <w:b w:val="0"/>
          <w:bCs w:val="0"/>
        </w:rPr>
      </w:pPr>
    </w:p>
    <w:p w:rsidR="00F87A26" w:rsidRPr="00BF2B48" w:rsidP="00F87A26">
      <w:pPr>
        <w:pStyle w:val="BodyText"/>
        <w:jc w:val="both"/>
        <w:rPr>
          <w:bCs w:val="0"/>
          <w:sz w:val="28"/>
          <w:szCs w:val="28"/>
        </w:rPr>
      </w:pPr>
      <w:r w:rsidRPr="00BF2B48">
        <w:rPr>
          <w:bCs w:val="0"/>
          <w:sz w:val="28"/>
          <w:szCs w:val="28"/>
        </w:rPr>
        <w:t>I. Všeobecná časť</w:t>
      </w:r>
    </w:p>
    <w:p w:rsidR="00F87A26" w:rsidP="00F87A26">
      <w:pPr>
        <w:pStyle w:val="BodyText"/>
        <w:ind w:firstLine="567"/>
        <w:jc w:val="both"/>
        <w:rPr>
          <w:b w:val="0"/>
          <w:bCs w:val="0"/>
        </w:rPr>
      </w:pPr>
    </w:p>
    <w:p w:rsidR="00F87A26" w:rsidP="00F87A26">
      <w:pPr>
        <w:pStyle w:val="BodyText3"/>
        <w:ind w:firstLine="708"/>
        <w:jc w:val="both"/>
        <w:rPr>
          <w:sz w:val="26"/>
          <w:szCs w:val="26"/>
        </w:rPr>
      </w:pPr>
      <w:r>
        <w:rPr>
          <w:sz w:val="26"/>
          <w:szCs w:val="26"/>
        </w:rPr>
        <w:t>Cieľom navrhovanej právnej úpravy je rozšíriť pôsobnosť Policajného zboru pri výkone bezpečnostných previerok okrem osôb, ktoré plnia alebo budú plniť úlohy kriminálneho spravodajstva na všetkých príslušníkov Policajného zboru</w:t>
      </w:r>
      <w:r w:rsidRPr="00676904">
        <w:rPr>
          <w:sz w:val="26"/>
          <w:szCs w:val="26"/>
        </w:rPr>
        <w:t xml:space="preserve">, </w:t>
      </w:r>
      <w:r w:rsidRPr="00676904">
        <w:rPr>
          <w:color w:val="000000"/>
          <w:sz w:val="26"/>
          <w:szCs w:val="26"/>
        </w:rPr>
        <w:t>zamestnancov, alebo uchádzačov o prijatie do pracovnoprávneho vzťahu alebo obdobného pracovného vzťahu vrátane služobného pomeru. Ide o zmenu, ktorá zabezpečí Policajnému zboru rovnaké postavenie, ako má pri výkone bezpečnostných previerok svojich príslušníkov a iných osôb v pracovnom pomere, obdobnom pracovnom vzťahu či služobnom pomere, vrátane uchádzačov, Slovenská informačná služba a Vojenské spravodajstvo.</w:t>
      </w:r>
    </w:p>
    <w:p w:rsidR="00F87A26" w:rsidP="00F87A26">
      <w:pPr>
        <w:pStyle w:val="BodyText3"/>
        <w:ind w:firstLine="708"/>
        <w:jc w:val="both"/>
        <w:rPr>
          <w:sz w:val="26"/>
          <w:szCs w:val="26"/>
        </w:rPr>
      </w:pPr>
      <w:r w:rsidR="00020081">
        <w:rPr>
          <w:sz w:val="26"/>
          <w:szCs w:val="26"/>
        </w:rPr>
        <w:t>Zároveň sa vytvorí priestor, aby Slovenská informačná služba svoje personálne, finančné a technické kapacity, ktoré boli doteraz určené na výkon súvisiaci s bezpečnostnými previerkami, prioritne presmerovala na získavanie, sústreďovanie a vyhodnocovanie informácií súvisiacich s terorizmom ako aktuálnou hrozbou dnešnej doby.</w:t>
      </w:r>
    </w:p>
    <w:p w:rsidR="00F87A26" w:rsidRPr="00BF2B48" w:rsidP="00F87A26">
      <w:pPr>
        <w:pStyle w:val="BodyText3"/>
        <w:ind w:firstLine="708"/>
        <w:jc w:val="both"/>
        <w:rPr>
          <w:sz w:val="26"/>
          <w:szCs w:val="26"/>
        </w:rPr>
      </w:pPr>
      <w:r w:rsidRPr="00BF2B48">
        <w:rPr>
          <w:sz w:val="26"/>
          <w:szCs w:val="26"/>
        </w:rPr>
        <w:t>Návrh zákona je v súlade s Ústavou Slovenskej republiky, so zá</w:t>
      </w:r>
      <w:r w:rsidRPr="00BF2B48">
        <w:rPr>
          <w:sz w:val="26"/>
          <w:szCs w:val="26"/>
        </w:rPr>
        <w:t xml:space="preserve">konmi ako aj s medzinárodnými zmluvami, ktorými je Slovenská republika viazaná. </w:t>
      </w:r>
    </w:p>
    <w:p w:rsidR="00F87A26" w:rsidRPr="00BF2B48" w:rsidP="00F87A26">
      <w:pPr>
        <w:pStyle w:val="BodyTextIndent2"/>
        <w:spacing w:after="0" w:line="240" w:lineRule="auto"/>
        <w:ind w:left="0" w:firstLine="708"/>
        <w:jc w:val="both"/>
        <w:rPr>
          <w:sz w:val="26"/>
          <w:szCs w:val="26"/>
        </w:rPr>
      </w:pPr>
      <w:r w:rsidRPr="00BF2B48">
        <w:rPr>
          <w:sz w:val="26"/>
          <w:szCs w:val="26"/>
        </w:rPr>
        <w:t>Návrh zákona nebude mať priamy dopad na verejné rozpočty, neprináša nárok na pracovné sily a nemá vplyv na zamestnanosť a tvorbu pracovných miest, ani na životné prostredie.</w:t>
      </w:r>
    </w:p>
    <w:p w:rsidR="00F87A26" w:rsidP="00F87A26">
      <w:pPr>
        <w:pStyle w:val="BodyTextIndent2"/>
        <w:spacing w:after="0" w:line="240" w:lineRule="auto"/>
        <w:ind w:left="0"/>
        <w:rPr>
          <w:b/>
          <w:bCs/>
        </w:rPr>
      </w:pPr>
    </w:p>
    <w:p w:rsidR="00F87A26" w:rsidRPr="003641C9" w:rsidP="007777F8">
      <w:pPr>
        <w:spacing w:after="200" w:line="276" w:lineRule="auto"/>
      </w:pPr>
      <w:r>
        <w:br w:type="page"/>
      </w:r>
    </w:p>
    <w:p w:rsidR="00F87A26" w:rsidRPr="00BF2B48" w:rsidP="00F87A26">
      <w:pPr>
        <w:tabs>
          <w:tab w:val="left" w:pos="2730"/>
          <w:tab w:val="center" w:pos="4536"/>
        </w:tabs>
        <w:jc w:val="center"/>
        <w:rPr>
          <w:b/>
          <w:bCs/>
          <w:sz w:val="26"/>
          <w:szCs w:val="26"/>
        </w:rPr>
      </w:pPr>
      <w:r w:rsidRPr="00BF2B48">
        <w:rPr>
          <w:b/>
          <w:bCs/>
          <w:sz w:val="26"/>
          <w:szCs w:val="26"/>
        </w:rPr>
        <w:t>DOLOŽKA  ZLUČITEĽNOSTI</w:t>
      </w:r>
    </w:p>
    <w:p w:rsidR="00F87A26" w:rsidRPr="00BF2B48" w:rsidP="00F87A26">
      <w:pPr>
        <w:jc w:val="center"/>
        <w:rPr>
          <w:b/>
          <w:bCs/>
          <w:sz w:val="26"/>
          <w:szCs w:val="26"/>
        </w:rPr>
      </w:pPr>
      <w:r w:rsidRPr="00BF2B48">
        <w:rPr>
          <w:b/>
          <w:bCs/>
          <w:sz w:val="26"/>
          <w:szCs w:val="26"/>
        </w:rPr>
        <w:t>Návrhu zákonov s právom Európskych spoločenstiev a právom Európskej únie</w:t>
      </w:r>
    </w:p>
    <w:p w:rsidR="00F87A26" w:rsidRPr="00BF2B48" w:rsidP="00F87A26">
      <w:pPr>
        <w:rPr>
          <w:b/>
          <w:bCs/>
          <w:sz w:val="26"/>
          <w:szCs w:val="26"/>
        </w:rPr>
      </w:pPr>
    </w:p>
    <w:p w:rsidR="00F87A26" w:rsidRPr="00BF2B48" w:rsidP="00F87A26">
      <w:pPr>
        <w:rPr>
          <w:b/>
          <w:bCs/>
          <w:sz w:val="26"/>
          <w:szCs w:val="26"/>
        </w:rPr>
      </w:pPr>
      <w:r w:rsidRPr="00BF2B48">
        <w:rPr>
          <w:b/>
          <w:bCs/>
          <w:sz w:val="26"/>
          <w:szCs w:val="26"/>
        </w:rPr>
        <w:t>1. Predkladateľ  právneho predpisu:</w:t>
      </w:r>
    </w:p>
    <w:p w:rsidR="00F87A26" w:rsidRPr="00BF2B48" w:rsidP="00F87A26">
      <w:pPr>
        <w:rPr>
          <w:sz w:val="26"/>
          <w:szCs w:val="26"/>
        </w:rPr>
      </w:pPr>
      <w:r w:rsidRPr="00BF2B48">
        <w:rPr>
          <w:sz w:val="26"/>
          <w:szCs w:val="26"/>
        </w:rPr>
        <w:t>Poslanci Národnej rady Slovenskej republiky.</w:t>
      </w:r>
    </w:p>
    <w:p w:rsidR="00F87A26" w:rsidRPr="00BF2B48" w:rsidP="00F87A26">
      <w:pPr>
        <w:rPr>
          <w:sz w:val="26"/>
          <w:szCs w:val="26"/>
        </w:rPr>
      </w:pPr>
    </w:p>
    <w:p w:rsidR="00F87A26" w:rsidRPr="00BF2B48" w:rsidP="00F87A26">
      <w:pPr>
        <w:rPr>
          <w:b/>
          <w:bCs/>
          <w:sz w:val="26"/>
          <w:szCs w:val="26"/>
        </w:rPr>
      </w:pPr>
      <w:r w:rsidRPr="00BF2B48">
        <w:rPr>
          <w:b/>
          <w:bCs/>
          <w:sz w:val="26"/>
          <w:szCs w:val="26"/>
        </w:rPr>
        <w:t>2. Názov právneho predpisu:</w:t>
      </w:r>
    </w:p>
    <w:p w:rsidR="00F87A26" w:rsidRPr="00676904" w:rsidP="00F87A26">
      <w:pPr>
        <w:jc w:val="both"/>
        <w:rPr>
          <w:bCs/>
          <w:sz w:val="26"/>
          <w:szCs w:val="26"/>
        </w:rPr>
      </w:pPr>
      <w:r w:rsidRPr="00676904">
        <w:rPr>
          <w:sz w:val="26"/>
          <w:szCs w:val="26"/>
        </w:rPr>
        <w:t xml:space="preserve">Návrh zákona, </w:t>
      </w:r>
      <w:r w:rsidRPr="00676904">
        <w:rPr>
          <w:bCs/>
          <w:sz w:val="26"/>
          <w:szCs w:val="26"/>
        </w:rPr>
        <w:t>ktorým sa mení a dopĺňa zákon č. 215/2004 Z. z. o ochrane utajovaných skutočností a o zmene a doplnení niektorých zákonov</w:t>
      </w:r>
      <w:r w:rsidRPr="00676904">
        <w:rPr>
          <w:sz w:val="26"/>
          <w:szCs w:val="26"/>
        </w:rPr>
        <w:t>.</w:t>
      </w:r>
    </w:p>
    <w:p w:rsidR="00F87A26" w:rsidRPr="00BF2B48" w:rsidP="00F87A26">
      <w:pPr>
        <w:rPr>
          <w:sz w:val="26"/>
          <w:szCs w:val="26"/>
        </w:rPr>
      </w:pPr>
    </w:p>
    <w:p w:rsidR="00F87A26" w:rsidRPr="00BF2B48" w:rsidP="00F87A26">
      <w:pPr>
        <w:rPr>
          <w:b/>
          <w:bCs/>
          <w:sz w:val="26"/>
          <w:szCs w:val="26"/>
        </w:rPr>
      </w:pPr>
      <w:r w:rsidRPr="00BF2B48">
        <w:rPr>
          <w:b/>
          <w:bCs/>
          <w:sz w:val="26"/>
          <w:szCs w:val="26"/>
        </w:rPr>
        <w:t>3. Problematika návrhu právneho predpisu :</w:t>
      </w:r>
    </w:p>
    <w:p w:rsidR="00F87A26" w:rsidRPr="00BF2B48" w:rsidP="00F87A26">
      <w:pPr>
        <w:rPr>
          <w:sz w:val="26"/>
          <w:szCs w:val="26"/>
          <w:u w:val="single"/>
        </w:rPr>
      </w:pPr>
      <w:r w:rsidRPr="00BF2B48">
        <w:rPr>
          <w:sz w:val="26"/>
          <w:szCs w:val="26"/>
          <w:u w:val="single"/>
        </w:rPr>
        <w:t>a) nie je upravená v práve Európskych spoločenstiev</w:t>
      </w:r>
    </w:p>
    <w:p w:rsidR="00F87A26" w:rsidRPr="00BF2B48" w:rsidP="00F87A26">
      <w:pPr>
        <w:rPr>
          <w:sz w:val="26"/>
          <w:szCs w:val="26"/>
          <w:u w:val="single"/>
        </w:rPr>
      </w:pPr>
      <w:r w:rsidRPr="00BF2B48">
        <w:rPr>
          <w:sz w:val="26"/>
          <w:szCs w:val="26"/>
          <w:u w:val="single"/>
        </w:rPr>
        <w:t xml:space="preserve">b) nie je upravená v práve Európskej únie: </w:t>
      </w:r>
    </w:p>
    <w:p w:rsidR="00F87A26" w:rsidRPr="00BF2B48" w:rsidP="00F87A26">
      <w:pPr>
        <w:rPr>
          <w:sz w:val="26"/>
          <w:szCs w:val="26"/>
        </w:rPr>
      </w:pPr>
      <w:r w:rsidRPr="00BF2B48">
        <w:rPr>
          <w:sz w:val="26"/>
          <w:szCs w:val="26"/>
          <w:u w:val="single"/>
        </w:rPr>
        <w:t>c) nie je upravená v judikatúre Súdneho dvora Európskych spoločenstiev ani v judikatúre Súdu prvého stupňa</w:t>
      </w:r>
    </w:p>
    <w:p w:rsidR="00F87A26" w:rsidRPr="00BF2B48" w:rsidP="00F87A26">
      <w:pPr>
        <w:rPr>
          <w:sz w:val="26"/>
          <w:szCs w:val="26"/>
        </w:rPr>
      </w:pPr>
    </w:p>
    <w:p w:rsidR="00F87A26" w:rsidRPr="00BF2B48" w:rsidP="00F87A26">
      <w:pPr>
        <w:jc w:val="both"/>
        <w:rPr>
          <w:b/>
          <w:bCs/>
          <w:sz w:val="26"/>
          <w:szCs w:val="26"/>
        </w:rPr>
      </w:pPr>
      <w:r w:rsidRPr="00BF2B48">
        <w:rPr>
          <w:b/>
          <w:bCs/>
          <w:sz w:val="26"/>
          <w:szCs w:val="26"/>
        </w:rPr>
        <w:t>4. Záväzky   Slovenskej   republiky   vo   vzťahu   k  Európskym  spoločenstvám                    a  Európskej únii:</w:t>
      </w:r>
    </w:p>
    <w:p w:rsidR="00F87A26" w:rsidRPr="00BF2B48" w:rsidP="00F87A26">
      <w:pPr>
        <w:tabs>
          <w:tab w:val="left" w:pos="720"/>
        </w:tabs>
        <w:autoSpaceDE/>
        <w:autoSpaceDN/>
        <w:rPr>
          <w:sz w:val="26"/>
          <w:szCs w:val="26"/>
        </w:rPr>
      </w:pPr>
      <w:r w:rsidRPr="00BF2B48">
        <w:rPr>
          <w:sz w:val="26"/>
          <w:szCs w:val="26"/>
        </w:rPr>
        <w:t>irelevantné</w:t>
      </w:r>
    </w:p>
    <w:p w:rsidR="00F87A26" w:rsidRPr="00BF2B48" w:rsidP="00F87A26">
      <w:pPr>
        <w:tabs>
          <w:tab w:val="left" w:pos="720"/>
        </w:tabs>
        <w:autoSpaceDE/>
        <w:autoSpaceDN/>
        <w:rPr>
          <w:sz w:val="26"/>
          <w:szCs w:val="26"/>
        </w:rPr>
      </w:pPr>
    </w:p>
    <w:p w:rsidR="00F87A26" w:rsidRPr="00BF2B48" w:rsidP="00F87A26">
      <w:pPr>
        <w:jc w:val="both"/>
        <w:rPr>
          <w:b/>
          <w:bCs/>
          <w:sz w:val="26"/>
          <w:szCs w:val="26"/>
        </w:rPr>
      </w:pPr>
      <w:r w:rsidRPr="00BF2B48">
        <w:rPr>
          <w:b/>
          <w:bCs/>
          <w:sz w:val="26"/>
          <w:szCs w:val="26"/>
        </w:rPr>
        <w:t>5. Stupeň   zlučiteľnosti   návrhu   právneho   predpisu  s  právom   Európskych     spoločenstiev a právom Európskej únie:</w:t>
      </w:r>
    </w:p>
    <w:p w:rsidR="00F87A26" w:rsidRPr="00BF2B48" w:rsidP="00F87A26">
      <w:pPr>
        <w:tabs>
          <w:tab w:val="left" w:pos="720"/>
        </w:tabs>
        <w:autoSpaceDE/>
        <w:autoSpaceDN/>
        <w:rPr>
          <w:sz w:val="26"/>
          <w:szCs w:val="26"/>
        </w:rPr>
      </w:pPr>
      <w:r w:rsidRPr="00BF2B48">
        <w:rPr>
          <w:sz w:val="26"/>
          <w:szCs w:val="26"/>
        </w:rPr>
        <w:t>irelevantné</w:t>
      </w:r>
    </w:p>
    <w:p w:rsidR="00F87A26" w:rsidP="00F87A26">
      <w:pPr>
        <w:rPr>
          <w:sz w:val="26"/>
          <w:szCs w:val="26"/>
        </w:rPr>
      </w:pPr>
    </w:p>
    <w:p w:rsidR="00F87A26" w:rsidRPr="00BF2B48" w:rsidP="00F87A26">
      <w:pPr>
        <w:rPr>
          <w:sz w:val="26"/>
          <w:szCs w:val="26"/>
        </w:rPr>
      </w:pPr>
    </w:p>
    <w:p w:rsidR="00F87A26" w:rsidRPr="00BF2B48" w:rsidP="00F87A26">
      <w:pPr>
        <w:rPr>
          <w:b/>
          <w:bCs/>
          <w:sz w:val="26"/>
          <w:szCs w:val="26"/>
        </w:rPr>
      </w:pPr>
      <w:r w:rsidRPr="00BF2B48">
        <w:rPr>
          <w:b/>
          <w:bCs/>
          <w:sz w:val="26"/>
          <w:szCs w:val="26"/>
        </w:rPr>
        <w:t>6.  Gestor:</w:t>
      </w:r>
    </w:p>
    <w:p w:rsidR="00F87A26" w:rsidRPr="00BF2B48" w:rsidP="00F87A26">
      <w:pPr>
        <w:rPr>
          <w:sz w:val="26"/>
          <w:szCs w:val="26"/>
        </w:rPr>
      </w:pPr>
      <w:r w:rsidRPr="00BF2B48">
        <w:rPr>
          <w:sz w:val="26"/>
          <w:szCs w:val="26"/>
        </w:rPr>
        <w:t>irelevantné</w:t>
      </w:r>
    </w:p>
    <w:p w:rsidR="00F87A26" w:rsidP="00F87A26">
      <w:pPr>
        <w:rPr>
          <w:b/>
          <w:sz w:val="28"/>
          <w:szCs w:val="28"/>
        </w:rPr>
      </w:pPr>
    </w:p>
    <w:p w:rsidR="00F87A26" w:rsidRPr="00BF2B48" w:rsidP="009F7B9A">
      <w:pPr>
        <w:spacing w:after="200" w:line="276" w:lineRule="auto"/>
        <w:rPr>
          <w:b/>
          <w:sz w:val="28"/>
          <w:szCs w:val="28"/>
        </w:rPr>
      </w:pPr>
      <w:r>
        <w:rPr>
          <w:b/>
          <w:sz w:val="28"/>
          <w:szCs w:val="28"/>
        </w:rPr>
        <w:br w:type="page"/>
      </w:r>
      <w:r w:rsidRPr="00BF2B48">
        <w:rPr>
          <w:b/>
          <w:sz w:val="28"/>
          <w:szCs w:val="28"/>
        </w:rPr>
        <w:t>II. Osobitná časť</w:t>
      </w:r>
    </w:p>
    <w:p w:rsidR="00F87A26" w:rsidRPr="00BF2B48" w:rsidP="00F87A26">
      <w:pPr>
        <w:rPr>
          <w:sz w:val="26"/>
          <w:szCs w:val="26"/>
        </w:rPr>
      </w:pPr>
    </w:p>
    <w:p w:rsidR="00F87A26" w:rsidRPr="00BF2B48" w:rsidP="00F87A26">
      <w:pPr>
        <w:rPr>
          <w:b/>
          <w:sz w:val="26"/>
          <w:szCs w:val="26"/>
        </w:rPr>
      </w:pPr>
      <w:r w:rsidRPr="00BF2B48">
        <w:rPr>
          <w:b/>
          <w:sz w:val="26"/>
          <w:szCs w:val="26"/>
        </w:rPr>
        <w:t>K čl. I:</w:t>
      </w:r>
    </w:p>
    <w:p w:rsidR="00F87A26" w:rsidP="00F87A26">
      <w:pPr>
        <w:jc w:val="both"/>
        <w:rPr>
          <w:sz w:val="26"/>
          <w:szCs w:val="26"/>
        </w:rPr>
      </w:pPr>
      <w:r>
        <w:rPr>
          <w:sz w:val="26"/>
          <w:szCs w:val="26"/>
        </w:rPr>
        <w:t>K bodu 1:</w:t>
      </w:r>
    </w:p>
    <w:p w:rsidR="00F87A26" w:rsidRPr="00923E8F" w:rsidP="00F87A26">
      <w:pPr>
        <w:jc w:val="both"/>
        <w:rPr>
          <w:color w:val="000000"/>
          <w:sz w:val="26"/>
          <w:szCs w:val="26"/>
        </w:rPr>
      </w:pPr>
      <w:r>
        <w:rPr>
          <w:sz w:val="26"/>
          <w:szCs w:val="26"/>
        </w:rPr>
        <w:tab/>
      </w:r>
      <w:r w:rsidRPr="00923E8F">
        <w:rPr>
          <w:sz w:val="26"/>
          <w:szCs w:val="26"/>
        </w:rPr>
        <w:t xml:space="preserve">V súčastnosti je Policajný zbor oprávnený vykonávať bezpečnostné previerky len vo vzťahu k </w:t>
      </w:r>
      <w:r w:rsidRPr="00923E8F">
        <w:rPr>
          <w:color w:val="000000"/>
          <w:sz w:val="26"/>
          <w:szCs w:val="26"/>
        </w:rPr>
        <w:t xml:space="preserve">príslušníkom Policajného zboru alebo jeho zamestnancom, alebo uchádzačom o prijatie do pracovnoprávneho vzťahu alebo obdobného pracovného vzťahu vrátane služobného pomeru </w:t>
      </w:r>
      <w:r w:rsidRPr="00923E8F">
        <w:rPr>
          <w:sz w:val="26"/>
          <w:szCs w:val="26"/>
        </w:rPr>
        <w:t xml:space="preserve">ak </w:t>
      </w:r>
      <w:r w:rsidRPr="00923E8F">
        <w:rPr>
          <w:color w:val="000000"/>
          <w:sz w:val="26"/>
          <w:szCs w:val="26"/>
        </w:rPr>
        <w:t>plní alebo bude plniť úlohy kriminálneho spravodajstva.</w:t>
      </w:r>
    </w:p>
    <w:p w:rsidR="00F87A26" w:rsidRPr="00923E8F" w:rsidP="00F87A26">
      <w:pPr>
        <w:ind w:firstLine="708"/>
        <w:jc w:val="both"/>
        <w:rPr>
          <w:sz w:val="26"/>
          <w:szCs w:val="26"/>
        </w:rPr>
      </w:pPr>
      <w:r w:rsidRPr="00923E8F">
        <w:rPr>
          <w:color w:val="000000"/>
          <w:sz w:val="26"/>
          <w:szCs w:val="26"/>
        </w:rPr>
        <w:t xml:space="preserve">Navrhovaným </w:t>
      </w:r>
      <w:r w:rsidRPr="00923E8F">
        <w:rPr>
          <w:sz w:val="26"/>
          <w:szCs w:val="26"/>
        </w:rPr>
        <w:t>vypustením predmetného textu sa rozšíri pôsobnosť Policajného zboru vo veciach výkonu bezpečnostných previerok k vyššie uvedeným osobám bez ohľadu na to, v ktorej zložke Policajného zboru budú pôsobiť, resp. pôsobia.</w:t>
      </w:r>
    </w:p>
    <w:p w:rsidR="00F87A26" w:rsidP="00F87A26">
      <w:pPr>
        <w:jc w:val="both"/>
        <w:rPr>
          <w:sz w:val="26"/>
          <w:szCs w:val="26"/>
        </w:rPr>
      </w:pPr>
    </w:p>
    <w:p w:rsidR="00F87A26" w:rsidP="00F87A26">
      <w:pPr>
        <w:jc w:val="both"/>
        <w:rPr>
          <w:sz w:val="26"/>
          <w:szCs w:val="26"/>
        </w:rPr>
      </w:pPr>
      <w:r>
        <w:rPr>
          <w:sz w:val="26"/>
          <w:szCs w:val="26"/>
        </w:rPr>
        <w:t>K bodu 2:</w:t>
      </w:r>
    </w:p>
    <w:p w:rsidR="00F87A26" w:rsidP="00F87A26">
      <w:pPr>
        <w:jc w:val="both"/>
        <w:rPr>
          <w:sz w:val="26"/>
          <w:szCs w:val="26"/>
        </w:rPr>
      </w:pPr>
      <w:r>
        <w:rPr>
          <w:sz w:val="26"/>
          <w:szCs w:val="26"/>
        </w:rPr>
        <w:tab/>
        <w:t>Ide o upresnenie, ktoré vecne, obsahovo nemení rozsah dnes platného ustanovenia § 76 ods. 1 písm. a).</w:t>
      </w:r>
    </w:p>
    <w:p w:rsidR="00F87A26" w:rsidP="00F87A26">
      <w:pPr>
        <w:jc w:val="both"/>
        <w:rPr>
          <w:sz w:val="26"/>
          <w:szCs w:val="26"/>
        </w:rPr>
      </w:pPr>
    </w:p>
    <w:p w:rsidR="00F87A26" w:rsidP="00F87A26">
      <w:pPr>
        <w:jc w:val="both"/>
        <w:rPr>
          <w:sz w:val="26"/>
          <w:szCs w:val="26"/>
        </w:rPr>
      </w:pPr>
      <w:r>
        <w:rPr>
          <w:sz w:val="26"/>
          <w:szCs w:val="26"/>
        </w:rPr>
        <w:t>K bodu 3:</w:t>
      </w:r>
    </w:p>
    <w:p w:rsidR="00F87A26" w:rsidP="00F87A26">
      <w:pPr>
        <w:jc w:val="both"/>
        <w:rPr>
          <w:sz w:val="26"/>
          <w:szCs w:val="26"/>
        </w:rPr>
      </w:pPr>
      <w:r>
        <w:rPr>
          <w:sz w:val="26"/>
          <w:szCs w:val="26"/>
        </w:rPr>
        <w:tab/>
        <w:t>Vzhľadom na rozšírenie oprávnenia Policajného zboru, navrhované v bode 1, navrhujeme doplniť ustanovenie § 76 ods. 1 obdobne, ako je ustanovené v § 75 ods. 1 písm. a) vo vzťahu k Slovenskej informačnej službe a Vojenskému spravodajstvu.</w:t>
      </w:r>
    </w:p>
    <w:p w:rsidR="00F87A26" w:rsidP="00F87A26">
      <w:pPr>
        <w:jc w:val="both"/>
        <w:rPr>
          <w:sz w:val="26"/>
          <w:szCs w:val="26"/>
        </w:rPr>
      </w:pPr>
    </w:p>
    <w:p w:rsidR="00F87A26" w:rsidP="00F87A26">
      <w:pPr>
        <w:jc w:val="both"/>
        <w:rPr>
          <w:sz w:val="26"/>
          <w:szCs w:val="26"/>
        </w:rPr>
      </w:pPr>
      <w:r>
        <w:rPr>
          <w:sz w:val="26"/>
          <w:szCs w:val="26"/>
        </w:rPr>
        <w:t xml:space="preserve">K bodom </w:t>
      </w:r>
      <w:smartTag w:uri="urn:schemas-microsoft-com:office:smarttags" w:element="metricconverter">
        <w:smartTagPr>
          <w:attr w:name="ProductID" w:val="4 a"/>
        </w:smartTagPr>
        <w:r>
          <w:rPr>
            <w:sz w:val="26"/>
            <w:szCs w:val="26"/>
          </w:rPr>
          <w:t>4 a</w:t>
        </w:r>
      </w:smartTag>
      <w:r>
        <w:rPr>
          <w:sz w:val="26"/>
          <w:szCs w:val="26"/>
        </w:rPr>
        <w:t xml:space="preserve"> 5:</w:t>
      </w:r>
    </w:p>
    <w:p w:rsidR="00F87A26" w:rsidP="00F87A26">
      <w:pPr>
        <w:jc w:val="both"/>
        <w:rPr>
          <w:sz w:val="26"/>
          <w:szCs w:val="26"/>
        </w:rPr>
      </w:pPr>
      <w:r>
        <w:rPr>
          <w:sz w:val="26"/>
          <w:szCs w:val="26"/>
        </w:rPr>
        <w:tab/>
        <w:t>Navrhované doplnenie § 76 ods. 2 kopíruje dnes platné oprávnenia Slovenskej informačnej služby a Vojenského spravodajstva. Vzhľadom na navrhované zrovnoprávnenie a zjednotenie oprávnení Policajného zboru s týmito orgánmi, navrhujeme doplniť tieto kompetencie aj pre Policajný zbor.</w:t>
      </w:r>
    </w:p>
    <w:p w:rsidR="00F87A26" w:rsidP="00F87A26">
      <w:pPr>
        <w:jc w:val="both"/>
        <w:rPr>
          <w:sz w:val="26"/>
          <w:szCs w:val="26"/>
        </w:rPr>
      </w:pPr>
    </w:p>
    <w:p w:rsidR="00F87A26" w:rsidP="00F87A26">
      <w:pPr>
        <w:jc w:val="both"/>
        <w:rPr>
          <w:sz w:val="26"/>
          <w:szCs w:val="26"/>
        </w:rPr>
      </w:pPr>
      <w:r>
        <w:rPr>
          <w:sz w:val="26"/>
          <w:szCs w:val="26"/>
        </w:rPr>
        <w:t>K bodu 6:</w:t>
      </w:r>
    </w:p>
    <w:p w:rsidR="00F87A26" w:rsidP="00F87A26">
      <w:pPr>
        <w:jc w:val="both"/>
        <w:rPr>
          <w:sz w:val="26"/>
          <w:szCs w:val="26"/>
        </w:rPr>
      </w:pPr>
      <w:r>
        <w:rPr>
          <w:sz w:val="26"/>
          <w:szCs w:val="26"/>
        </w:rPr>
        <w:tab/>
        <w:t xml:space="preserve">Podľa platného právneho stavu bol Policajný zbor oprávnený používať informačno-technické prostriedky pri vykonávaní bezpečnostných previerok. Vzhľadom na rozšírenie osobnej pôsobnosti Policajného zboru pri vykonávaní bezpečnostných previerok (§ 18 ods. 4) navrhujeme, aby bol Policajný zbor aj naďalej oprávnený používať informačno-technické prostriedky len pri bezpečnostných previerkach osôb, ktoré plnia, alebo majú plniť úlohy kriminálneho spravodajstva. </w:t>
      </w:r>
    </w:p>
    <w:p w:rsidR="00F87A26" w:rsidP="00F87A26">
      <w:pPr>
        <w:jc w:val="both"/>
        <w:rPr>
          <w:sz w:val="26"/>
          <w:szCs w:val="26"/>
        </w:rPr>
      </w:pPr>
    </w:p>
    <w:p w:rsidR="00F87A26" w:rsidP="00F87A26">
      <w:pPr>
        <w:jc w:val="both"/>
        <w:rPr>
          <w:sz w:val="26"/>
          <w:szCs w:val="26"/>
        </w:rPr>
      </w:pPr>
      <w:r>
        <w:rPr>
          <w:sz w:val="26"/>
          <w:szCs w:val="26"/>
        </w:rPr>
        <w:t>K bodu 7:</w:t>
      </w:r>
    </w:p>
    <w:p w:rsidR="00F87A26" w:rsidRPr="00BF2B48" w:rsidP="00F87A26">
      <w:pPr>
        <w:jc w:val="both"/>
        <w:rPr>
          <w:sz w:val="26"/>
          <w:szCs w:val="26"/>
        </w:rPr>
      </w:pPr>
      <w:r>
        <w:rPr>
          <w:sz w:val="26"/>
          <w:szCs w:val="26"/>
        </w:rPr>
        <w:tab/>
        <w:t xml:space="preserve">Prechodným ustanovením sa navrhuje upraviť právny režim bezpečnostných previerok, ktoré začali pred účinnosťou navrhovanej novely. Navrhujeme, aby sa dokončili podľa tohto zákona, teda so zohľadnením zmien v tejto novele navrhnutých. V praxi pôjde teda najmä o dokončenie bezpečnostných previerok </w:t>
      </w:r>
      <w:r w:rsidRPr="00923E8F">
        <w:rPr>
          <w:color w:val="000000"/>
          <w:sz w:val="26"/>
          <w:szCs w:val="26"/>
        </w:rPr>
        <w:t>príslušníko</w:t>
      </w:r>
      <w:r>
        <w:rPr>
          <w:color w:val="000000"/>
          <w:sz w:val="26"/>
          <w:szCs w:val="26"/>
        </w:rPr>
        <w:t>v</w:t>
      </w:r>
      <w:r w:rsidRPr="00923E8F">
        <w:rPr>
          <w:color w:val="000000"/>
          <w:sz w:val="26"/>
          <w:szCs w:val="26"/>
        </w:rPr>
        <w:t xml:space="preserve"> Policajného zboru alebo jeho zamestnanco</w:t>
      </w:r>
      <w:r>
        <w:rPr>
          <w:color w:val="000000"/>
          <w:sz w:val="26"/>
          <w:szCs w:val="26"/>
        </w:rPr>
        <w:t>v</w:t>
      </w:r>
      <w:r w:rsidRPr="00923E8F">
        <w:rPr>
          <w:color w:val="000000"/>
          <w:sz w:val="26"/>
          <w:szCs w:val="26"/>
        </w:rPr>
        <w:t>, alebo uchádzačo</w:t>
      </w:r>
      <w:r>
        <w:rPr>
          <w:color w:val="000000"/>
          <w:sz w:val="26"/>
          <w:szCs w:val="26"/>
        </w:rPr>
        <w:t>v</w:t>
      </w:r>
      <w:r w:rsidRPr="00923E8F">
        <w:rPr>
          <w:color w:val="000000"/>
          <w:sz w:val="26"/>
          <w:szCs w:val="26"/>
        </w:rPr>
        <w:t xml:space="preserve"> o prijatie do pracovnoprávneho vzťahu alebo obdobného pracovného vzťahu vrátane služobného pomeru</w:t>
      </w:r>
      <w:r>
        <w:rPr>
          <w:color w:val="000000"/>
          <w:sz w:val="26"/>
          <w:szCs w:val="26"/>
        </w:rPr>
        <w:t>, ktorí neplnia alebo nebudú plniť úlohy kriminálneho spravodajstva.</w:t>
      </w:r>
    </w:p>
    <w:p w:rsidR="00F87A26" w:rsidRPr="00BF2B48" w:rsidP="00F87A26">
      <w:pPr>
        <w:rPr>
          <w:sz w:val="26"/>
          <w:szCs w:val="26"/>
        </w:rPr>
      </w:pPr>
    </w:p>
    <w:p w:rsidR="00F87A26" w:rsidRPr="00BF2B48" w:rsidP="00F87A26">
      <w:pPr>
        <w:rPr>
          <w:b/>
          <w:sz w:val="26"/>
          <w:szCs w:val="26"/>
        </w:rPr>
      </w:pPr>
      <w:r w:rsidRPr="00BF2B48">
        <w:rPr>
          <w:b/>
          <w:sz w:val="26"/>
          <w:szCs w:val="26"/>
        </w:rPr>
        <w:t>K čl. II:</w:t>
      </w:r>
    </w:p>
    <w:p w:rsidR="00F87A26" w:rsidP="00F87A26">
      <w:r w:rsidRPr="00BF2B48">
        <w:rPr>
          <w:sz w:val="26"/>
          <w:szCs w:val="26"/>
        </w:rPr>
        <w:tab/>
        <w:t xml:space="preserve">Účinnosť sa navrhuje ustanoviť od 1. </w:t>
      </w:r>
      <w:r w:rsidR="007777F8">
        <w:rPr>
          <w:sz w:val="26"/>
          <w:szCs w:val="26"/>
        </w:rPr>
        <w:t>februára</w:t>
      </w:r>
      <w:r w:rsidRPr="00BF2B48">
        <w:rPr>
          <w:sz w:val="26"/>
          <w:szCs w:val="26"/>
        </w:rPr>
        <w:t xml:space="preserve"> 200</w:t>
      </w:r>
      <w:r w:rsidR="007777F8">
        <w:rPr>
          <w:sz w:val="26"/>
          <w:szCs w:val="26"/>
        </w:rPr>
        <w:t>7</w:t>
      </w:r>
      <w:r w:rsidRPr="00BF2B48">
        <w:rPr>
          <w:sz w:val="26"/>
          <w:szCs w:val="26"/>
        </w:rPr>
        <w:t>.</w:t>
      </w:r>
    </w:p>
    <w:p w:rsidR="00B3419F"/>
    <w:sectPr>
      <w:footerReference w:type="even" r:id="rId4"/>
      <w:footerReference w:type="default" r:id="rId5"/>
      <w:pgSz w:w="11906" w:h="16838" w:code="9"/>
      <w:pgMar w:top="1438" w:right="1134" w:bottom="1438" w:left="1134" w:header="709" w:footer="709" w:gutter="0"/>
      <w:cols w:space="708"/>
      <w:bidi w:val="0"/>
      <w:docGrid w:linePitch="326"/>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MS Mincho">
    <w:altName w:val="MS ??"/>
    <w:panose1 w:val="02020609040205080304"/>
    <w:charset w:val="00"/>
    <w:family w:val="roman"/>
    <w:pitch w:val="fixed"/>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A26" w:rsidP="00F87A26">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7A26" w:rsidP="00F87A2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A26" w:rsidP="00F87A26">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194D"/>
    <w:multiLevelType w:val="hybridMultilevel"/>
    <w:tmpl w:val="F01AC36A"/>
    <w:lvl w:ilvl="0">
      <w:start w:val="1"/>
      <w:numFmt w:val="decimal"/>
      <w:lvlText w:val="%1."/>
      <w:lvlJc w:val="left"/>
      <w:pPr>
        <w:tabs>
          <w:tab w:val="num" w:pos="720"/>
        </w:tabs>
        <w:ind w:left="720" w:hanging="360"/>
      </w:pPr>
      <w:rPr>
        <w:b/>
        <w:color w:val="auto"/>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DF53A0B"/>
    <w:multiLevelType w:val="hybridMultilevel"/>
    <w:tmpl w:val="DBEA4650"/>
    <w:lvl w:ilvl="0">
      <w:start w:val="7"/>
      <w:numFmt w:val="decimal"/>
      <w:lvlText w:val="%1."/>
      <w:lvlJc w:val="left"/>
      <w:pPr>
        <w:tabs>
          <w:tab w:val="num" w:pos="720"/>
        </w:tabs>
        <w:ind w:left="720" w:hanging="360"/>
      </w:pPr>
      <w:rPr>
        <w:b/>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74187FF1"/>
    <w:multiLevelType w:val="hybridMultilevel"/>
    <w:tmpl w:val="E8B03DAE"/>
    <w:lvl w:ilvl="0">
      <w:start w:val="1"/>
      <w:numFmt w:val="decimal"/>
      <w:lvlText w:val="%1."/>
      <w:lvlJc w:val="left"/>
      <w:pPr>
        <w:tabs>
          <w:tab w:val="num" w:pos="720"/>
        </w:tabs>
        <w:ind w:left="720" w:hanging="360"/>
      </w:pPr>
      <w:rPr>
        <w:rFonts w:cs="Times New Roman"/>
        <w:b/>
        <w:i w:val="0"/>
        <w:sz w:val="24"/>
        <w:szCs w:val="24"/>
        <w:rtl w:val="0"/>
      </w:rPr>
    </w:lvl>
    <w:lvl w:ilvl="1">
      <w:start w:val="1"/>
      <w:numFmt w:val="lowerLetter"/>
      <w:lvlText w:val="%2)"/>
      <w:lvlJc w:val="left"/>
      <w:pPr>
        <w:tabs>
          <w:tab w:val="num" w:pos="1440"/>
        </w:tabs>
        <w:ind w:left="1440" w:hanging="360"/>
      </w:pPr>
      <w:rPr>
        <w:rFonts w:cs="Times New Roman"/>
        <w:b w:val="0"/>
        <w:i w:val="0"/>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doNotUseIndentAsNumberingTabStop/>
    <w:allowSpaceOfSameStyleInTable/>
    <w:splitPgBreakAndParaMark/>
    <w:useAnsiKerningPairs/>
  </w:compat>
  <w:rsids>
    <w:rsidRoot w:val="00000000"/>
    <w:rsid w:val="00020081"/>
    <w:rsid w:val="003641C9"/>
    <w:rsid w:val="00676904"/>
    <w:rsid w:val="0069748B"/>
    <w:rsid w:val="007777F8"/>
    <w:rsid w:val="008729F9"/>
    <w:rsid w:val="00873871"/>
    <w:rsid w:val="00923E8F"/>
    <w:rsid w:val="009F7B9A"/>
    <w:rsid w:val="00B3419F"/>
    <w:rsid w:val="00B55394"/>
    <w:rsid w:val="00BF2B48"/>
    <w:rsid w:val="00D11742"/>
    <w:rsid w:val="00E64B70"/>
    <w:rsid w:val="00E66CA1"/>
    <w:rsid w:val="00F87A26"/>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99" w:unhideWhenUsed="1"/>
    <w:lsdException w:name="footnote text" w:semiHidden="1" w:uiPriority="99" w:unhideWhenUsed="1"/>
    <w:lsdException w:name="annotation text" w:semiHidden="1" w:uiPriority="99" w:unhideWhenUsed="1"/>
    <w:lsdException w:name="index heading" w:semiHidden="1" w:uiPriority="99" w:unhideWhenUsed="1"/>
    <w:lsdException w:name="caption" w:uiPriority="35"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Body Text Indent 2" w:uiPriority="99"/>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iPriority="99" w:unhideWhenUsed="1"/>
    <w:lsdException w:name="No List" w:uiPriority="99"/>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lsdException w:name="Table Grid" w:uiPriority="40"/>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7A26"/>
    <w:pPr>
      <w:widowControl w:val="0"/>
      <w:autoSpaceDE w:val="0"/>
      <w:autoSpaceDN w:val="0"/>
      <w:bidi w:val="0"/>
      <w:adjustRightInd w:val="0"/>
      <w:ind w:left="0" w:right="0"/>
      <w:jc w:val="left"/>
      <w:textAlignment w:val="auto"/>
    </w:pPr>
    <w:rPr>
      <w:rFonts w:ascii="Times New Roman" w:hAnsi="Times New Roman" w:cs="Times New Roman"/>
      <w:sz w:val="24"/>
      <w:szCs w:val="24"/>
      <w:rtl w:val="0"/>
      <w:lang w:val="sk-SK" w:bidi="ar-SA"/>
    </w:rPr>
  </w:style>
  <w:style w:type="character" w:default="1" w:styleId="DefaultParagraphFont">
    <w:name w:val="Default Paragraph Font"/>
    <w:uiPriority w:val="99"/>
    <w:semiHidden/>
    <w:unhideWhenUsed/>
  </w:style>
  <w:style w:type="paragraph" w:styleId="BodyText3">
    <w:name w:val="Body Text 3"/>
    <w:basedOn w:val="Normal"/>
    <w:link w:val="CharChar5"/>
    <w:rsid w:val="00F87A26"/>
    <w:pPr>
      <w:jc w:val="right"/>
    </w:pPr>
  </w:style>
  <w:style w:type="character" w:customStyle="1" w:styleId="CharChar5">
    <w:name w:val="Char Char5"/>
    <w:basedOn w:val="DefaultParagraphFont"/>
    <w:link w:val="BodyText3"/>
    <w:rsid w:val="00F87A26"/>
    <w:rPr>
      <w:rFonts w:ascii="Times New Roman" w:hAnsi="Times New Roman" w:cs="Times New Roman"/>
      <w:sz w:val="24"/>
      <w:szCs w:val="24"/>
      <w:rtl w:val="0"/>
    </w:rPr>
  </w:style>
  <w:style w:type="paragraph" w:styleId="BodyText">
    <w:name w:val="Body Text"/>
    <w:basedOn w:val="Normal"/>
    <w:link w:val="CharChar4"/>
    <w:rsid w:val="00F87A26"/>
    <w:pPr>
      <w:jc w:val="center"/>
    </w:pPr>
    <w:rPr>
      <w:b/>
      <w:bCs/>
    </w:rPr>
  </w:style>
  <w:style w:type="character" w:customStyle="1" w:styleId="CharChar4">
    <w:name w:val="Char Char4"/>
    <w:basedOn w:val="DefaultParagraphFont"/>
    <w:link w:val="BodyText"/>
    <w:rsid w:val="00F87A26"/>
    <w:rPr>
      <w:rFonts w:ascii="Times New Roman" w:hAnsi="Times New Roman" w:cs="Times New Roman"/>
      <w:b/>
      <w:bCs/>
      <w:sz w:val="24"/>
      <w:szCs w:val="24"/>
      <w:rtl w:val="0"/>
    </w:rPr>
  </w:style>
  <w:style w:type="paragraph" w:styleId="Footer">
    <w:name w:val="footer"/>
    <w:basedOn w:val="Normal"/>
    <w:link w:val="CharChar3"/>
    <w:rsid w:val="00F87A26"/>
    <w:pPr>
      <w:tabs>
        <w:tab w:val="center" w:pos="4536"/>
        <w:tab w:val="right" w:pos="9072"/>
      </w:tabs>
      <w:jc w:val="left"/>
    </w:pPr>
  </w:style>
  <w:style w:type="character" w:customStyle="1" w:styleId="CharChar3">
    <w:name w:val="Char Char3"/>
    <w:basedOn w:val="DefaultParagraphFont"/>
    <w:link w:val="Footer"/>
    <w:rsid w:val="00F87A26"/>
    <w:rPr>
      <w:rFonts w:ascii="Times New Roman" w:hAnsi="Times New Roman" w:cs="Times New Roman"/>
      <w:sz w:val="24"/>
      <w:szCs w:val="24"/>
      <w:rtl w:val="0"/>
    </w:rPr>
  </w:style>
  <w:style w:type="character" w:styleId="PageNumber">
    <w:name w:val="page number"/>
    <w:basedOn w:val="DefaultParagraphFont"/>
    <w:rsid w:val="00F87A26"/>
    <w:rPr>
      <w:rFonts w:cs="Times New Roman"/>
      <w:rtl w:val="0"/>
    </w:rPr>
  </w:style>
  <w:style w:type="paragraph" w:styleId="BalloonText">
    <w:name w:val="Balloon Text"/>
    <w:basedOn w:val="Normal"/>
    <w:link w:val="CharChar2"/>
    <w:uiPriority w:val="99"/>
    <w:rsid w:val="00F87A26"/>
    <w:pPr>
      <w:jc w:val="left"/>
    </w:pPr>
    <w:rPr>
      <w:rFonts w:ascii="Tahoma" w:hAnsi="Tahoma" w:cs="Tahoma"/>
      <w:sz w:val="16"/>
      <w:szCs w:val="16"/>
    </w:rPr>
  </w:style>
  <w:style w:type="character" w:customStyle="1" w:styleId="CharChar2">
    <w:name w:val="Char Char2"/>
    <w:basedOn w:val="DefaultParagraphFont"/>
    <w:link w:val="BalloonText"/>
    <w:uiPriority w:val="99"/>
    <w:semiHidden/>
    <w:rsid w:val="00F87A26"/>
    <w:rPr>
      <w:rFonts w:ascii="Tahoma" w:hAnsi="Tahoma" w:cs="Tahoma"/>
      <w:sz w:val="16"/>
      <w:szCs w:val="16"/>
      <w:rtl w:val="0"/>
    </w:rPr>
  </w:style>
  <w:style w:type="paragraph" w:styleId="Title">
    <w:name w:val="Title"/>
    <w:basedOn w:val="Normal"/>
    <w:link w:val="CharChar1"/>
    <w:qFormat/>
    <w:rsid w:val="00F87A26"/>
    <w:pPr>
      <w:autoSpaceDE/>
      <w:autoSpaceDN/>
      <w:jc w:val="center"/>
    </w:pPr>
    <w:rPr>
      <w:b/>
      <w:bCs/>
      <w:sz w:val="20"/>
      <w:szCs w:val="20"/>
    </w:rPr>
  </w:style>
  <w:style w:type="character" w:customStyle="1" w:styleId="CharChar1">
    <w:name w:val="Char Char1"/>
    <w:basedOn w:val="DefaultParagraphFont"/>
    <w:link w:val="Title"/>
    <w:rsid w:val="00F87A26"/>
    <w:rPr>
      <w:rFonts w:ascii="Times New Roman" w:hAnsi="Times New Roman" w:cs="Times New Roman"/>
      <w:b/>
      <w:bCs/>
      <w:sz w:val="20"/>
      <w:szCs w:val="20"/>
      <w:rtl w:val="0"/>
    </w:rPr>
  </w:style>
  <w:style w:type="paragraph" w:styleId="BodyTextIndent2">
    <w:name w:val="Body Text Indent 2"/>
    <w:basedOn w:val="Normal"/>
    <w:link w:val="CharChar"/>
    <w:uiPriority w:val="99"/>
    <w:rsid w:val="00F87A26"/>
    <w:pPr>
      <w:spacing w:after="120" w:line="480" w:lineRule="auto"/>
      <w:ind w:left="283"/>
      <w:jc w:val="left"/>
    </w:pPr>
  </w:style>
  <w:style w:type="character" w:customStyle="1" w:styleId="CharChar">
    <w:name w:val="Char Char"/>
    <w:basedOn w:val="DefaultParagraphFont"/>
    <w:link w:val="BodyTextIndent2"/>
    <w:uiPriority w:val="99"/>
    <w:semiHidden/>
    <w:rsid w:val="00F87A26"/>
    <w:rPr>
      <w:rFonts w:ascii="Times New Roman" w:hAnsi="Times New Roman" w:cs="Times New Roman"/>
      <w:sz w:val="24"/>
      <w:szCs w:val="24"/>
      <w:rtl w:val="0"/>
    </w:rPr>
  </w:style>
  <w:style w:type="paragraph" w:styleId="ListParagraph">
    <w:name w:val="List Paragraph"/>
    <w:basedOn w:val="Normal"/>
    <w:uiPriority w:val="34"/>
    <w:qFormat/>
    <w:rsid w:val="00F87A26"/>
    <w:pPr>
      <w:ind w:left="720"/>
      <w:contextualSpacing/>
      <w:jc w:val="left"/>
    </w:pPr>
  </w:style>
  <w:style w:type="paragraph" w:styleId="Header">
    <w:name w:val="header"/>
    <w:basedOn w:val="Normal"/>
    <w:uiPriority w:val="99"/>
    <w:rsid w:val="00287A81"/>
    <w:pPr>
      <w:tabs>
        <w:tab w:val="center" w:pos="4536"/>
        <w:tab w:val="right" w:pos="9072"/>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6</Pages>
  <Words>978</Words>
  <Characters>5575</Characters>
  <Application>Microsoft Office Word</Application>
  <DocSecurity>0</DocSecurity>
  <Lines>0</Lines>
  <Paragraphs>0</Paragraphs>
  <ScaleCrop>false</ScaleCrop>
  <Company>individual</Company>
  <LinksUpToDate>false</LinksUpToDate>
  <CharactersWithSpaces>6540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Marek Kalavsky</dc:creator>
  <cp:lastModifiedBy>gaspjarm</cp:lastModifiedBy>
  <cp:revision>3</cp:revision>
  <cp:lastPrinted>2006-09-25T13:48:00Z</cp:lastPrinted>
  <dcterms:created xsi:type="dcterms:W3CDTF">2006-09-25T13:48:00Z</dcterms:created>
  <dcterms:modified xsi:type="dcterms:W3CDTF">2006-10-02T14:10:00Z</dcterms:modified>
</cp:coreProperties>
</file>