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3AB1" w:rsidRPr="00084B17" w:rsidP="004C68A0">
      <w:pPr>
        <w:jc w:val="center"/>
        <w:rPr>
          <w:rFonts w:ascii="Times New Roman" w:hAnsi="Times New Roman" w:cs="Times New Roman"/>
          <w:b/>
        </w:rPr>
      </w:pPr>
      <w:r w:rsidRPr="00084B17" w:rsidR="006704DB">
        <w:rPr>
          <w:rFonts w:ascii="Times New Roman" w:hAnsi="Times New Roman" w:cs="Times New Roman"/>
          <w:b/>
        </w:rPr>
        <w:t>Dôvodová správa</w:t>
      </w:r>
    </w:p>
    <w:p w:rsidR="006704DB" w:rsidP="004C68A0">
      <w:pPr>
        <w:jc w:val="both"/>
        <w:rPr>
          <w:rFonts w:ascii="Times New Roman" w:hAnsi="Times New Roman" w:cs="Times New Roman"/>
        </w:rPr>
      </w:pPr>
    </w:p>
    <w:p w:rsidR="006704DB" w:rsidP="004C68A0">
      <w:pPr>
        <w:jc w:val="both"/>
        <w:rPr>
          <w:rFonts w:ascii="Times New Roman" w:hAnsi="Times New Roman" w:cs="Times New Roman"/>
        </w:rPr>
      </w:pPr>
    </w:p>
    <w:p w:rsidR="006704DB" w:rsidRPr="00084B17" w:rsidP="004C68A0">
      <w:pPr>
        <w:jc w:val="both"/>
        <w:rPr>
          <w:rFonts w:ascii="Times New Roman" w:hAnsi="Times New Roman" w:cs="Times New Roman"/>
          <w:b/>
          <w:u w:val="single"/>
        </w:rPr>
      </w:pPr>
      <w:r w:rsidRPr="00084B17">
        <w:rPr>
          <w:rFonts w:ascii="Times New Roman" w:hAnsi="Times New Roman" w:cs="Times New Roman"/>
          <w:b/>
          <w:u w:val="single"/>
        </w:rPr>
        <w:t>Všeobecná časť:</w:t>
      </w:r>
    </w:p>
    <w:p w:rsidR="006704DB" w:rsidP="004C68A0">
      <w:pPr>
        <w:jc w:val="both"/>
        <w:rPr>
          <w:rFonts w:ascii="Times New Roman" w:hAnsi="Times New Roman" w:cs="Times New Roman"/>
        </w:rPr>
      </w:pPr>
    </w:p>
    <w:p w:rsidR="006704DB" w:rsidP="004C68A0">
      <w:pPr>
        <w:jc w:val="both"/>
        <w:rPr>
          <w:rFonts w:ascii="Times New Roman" w:hAnsi="Times New Roman" w:cs="Times New Roman"/>
        </w:rPr>
      </w:pPr>
      <w:r w:rsidR="00713BB7">
        <w:rPr>
          <w:rFonts w:ascii="Times New Roman" w:hAnsi="Times New Roman" w:cs="Times New Roman"/>
        </w:rPr>
        <w:tab/>
        <w:t xml:space="preserve">Predložený návrh ústavného zákona zrušuje neštandardné amnestie udelené bývalým predsedom vlády V. Mečiarom, </w:t>
      </w:r>
      <w:r w:rsidR="00B540E5">
        <w:rPr>
          <w:rFonts w:ascii="Times New Roman" w:hAnsi="Times New Roman" w:cs="Times New Roman"/>
        </w:rPr>
        <w:t>ktorý</w:t>
      </w:r>
      <w:r w:rsidR="00713BB7">
        <w:rPr>
          <w:rFonts w:ascii="Times New Roman" w:hAnsi="Times New Roman" w:cs="Times New Roman"/>
        </w:rPr>
        <w:t xml:space="preserve"> vykonával </w:t>
      </w:r>
      <w:r w:rsidR="00B540E5">
        <w:rPr>
          <w:rFonts w:ascii="Times New Roman" w:hAnsi="Times New Roman" w:cs="Times New Roman"/>
        </w:rPr>
        <w:t>niektoré</w:t>
      </w:r>
      <w:r w:rsidR="00713BB7">
        <w:rPr>
          <w:rFonts w:ascii="Times New Roman" w:hAnsi="Times New Roman" w:cs="Times New Roman"/>
        </w:rPr>
        <w:t xml:space="preserve"> oprávnenie prezidenta republiky. Tieto amnestie – v časti týkajúcej sa zavlečenia M. Kováča ml. do cudziny a zmareného referenda, ktoré malo byť vykonané v dňoch 23. a 24. mája 1997 – sú zmätočné a ako také nezodpovedajú princípu právnej istoty, ktorý je neoddeliteľnou súčasťou princípov právneho štátu.</w:t>
      </w:r>
    </w:p>
    <w:p w:rsidR="00713BB7" w:rsidP="004C6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Podľa </w:t>
      </w:r>
      <w:r w:rsidR="00B540E5">
        <w:rPr>
          <w:rFonts w:ascii="Times New Roman" w:hAnsi="Times New Roman" w:cs="Times New Roman"/>
        </w:rPr>
        <w:t>rozhodnutia</w:t>
      </w:r>
      <w:r>
        <w:rPr>
          <w:rFonts w:ascii="Times New Roman" w:hAnsi="Times New Roman" w:cs="Times New Roman"/>
        </w:rPr>
        <w:t xml:space="preserve"> Ústavného súdu Slovenskej republiky (ďalej len „ústavný súd“) z 31. októbra 1996 (sp. Zn. I. </w:t>
      </w:r>
      <w:r w:rsidR="00B540E5">
        <w:rPr>
          <w:rFonts w:ascii="Times New Roman" w:hAnsi="Times New Roman" w:cs="Times New Roman"/>
        </w:rPr>
        <w:t>ÚS 61/1996) „jediné ustanovenie Ústavy Slovenskej republiky limitujúce právomoci prezidenta Slovenskej republiky je obsiahnuté v sľube, ktorý skladá pred Národnou radou Slovenskej republiky a v ktorom sa zaväzuje, že svoje povinnosti bude vykonávať v záujme občanov a zachovávať i obhajovať Ústavu a ostatné zákony.“</w:t>
      </w:r>
    </w:p>
    <w:p w:rsidR="00713BB7" w:rsidP="004C6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vlády V. </w:t>
      </w:r>
      <w:r w:rsidR="00B540E5">
        <w:rPr>
          <w:rFonts w:ascii="Times New Roman" w:hAnsi="Times New Roman" w:cs="Times New Roman"/>
        </w:rPr>
        <w:t>Mečiar svojimi rozhodnutiami o amnestii, ktoré sa v jednej časti týkali konkrétneho skutku zavlečenia slovenského občana do cudziny a konkrétneho skutku zmarenia riadne vyhláseného referenda, nezohľadňoval záujmy občanov, ani zachovávanie a obhajobu ústavy, ktoré predstavujú jediné ústavne upravené dôvody, ktoré musí prezident republiky (zastupovaný predsedom vlády) zohľadňovať pri výkone ktorejkoľvek zo svojich ústavných právomocí. Svojimi rozhodnutiami negatívne zasiahol do prirodzenej spravodlivosti a slušnosti v práve a zneužil právo.</w:t>
      </w:r>
    </w:p>
    <w:p w:rsidR="00713BB7" w:rsidP="004C68A0">
      <w:pPr>
        <w:ind w:firstLine="708"/>
        <w:jc w:val="both"/>
        <w:rPr>
          <w:rFonts w:ascii="Times New Roman" w:hAnsi="Times New Roman" w:cs="Times New Roman"/>
        </w:rPr>
      </w:pPr>
      <w:r w:rsidR="004D6FED">
        <w:rPr>
          <w:rFonts w:ascii="Times New Roman" w:hAnsi="Times New Roman" w:cs="Times New Roman"/>
        </w:rPr>
        <w:t xml:space="preserve">Z uvedeného dôvodu zrušil predseda vlády M. Dzurinda svojim </w:t>
      </w:r>
      <w:r w:rsidR="00B540E5">
        <w:rPr>
          <w:rFonts w:ascii="Times New Roman" w:hAnsi="Times New Roman" w:cs="Times New Roman"/>
        </w:rPr>
        <w:t>rozhodnutí</w:t>
      </w:r>
      <w:r w:rsidR="00B540E5">
        <w:rPr>
          <w:rFonts w:ascii="Times New Roman" w:hAnsi="Times New Roman" w:cs="Times New Roman"/>
        </w:rPr>
        <w:t>m</w:t>
      </w:r>
      <w:r w:rsidR="004D6FED">
        <w:rPr>
          <w:rFonts w:ascii="Times New Roman" w:hAnsi="Times New Roman" w:cs="Times New Roman"/>
        </w:rPr>
        <w:t xml:space="preserve"> zo dňa 8. decembra 1998 príslušné články dvoch amnestií udelených v roku 1998 bývalým </w:t>
      </w:r>
      <w:r w:rsidR="00B540E5">
        <w:rPr>
          <w:rFonts w:ascii="Times New Roman" w:hAnsi="Times New Roman" w:cs="Times New Roman"/>
        </w:rPr>
        <w:t>premiérom</w:t>
      </w:r>
      <w:r w:rsidR="004D6FED">
        <w:rPr>
          <w:rFonts w:ascii="Times New Roman" w:hAnsi="Times New Roman" w:cs="Times New Roman"/>
        </w:rPr>
        <w:t xml:space="preserve"> V. Mečiarom. Ústavný súd však dňa 28. júna 1999 (sp.zn.I.ÚS 30/1999)vyslovil, že: „Právom prezidenta Slovenskej republiky upraveným článkom 102 ods. 1 písm. i) Ústavy Slovenskej republiky je udeliť amnestiu niektorou z foriem, ktoré sú v tomto článku uvedené. </w:t>
      </w:r>
      <w:r w:rsidR="00B540E5">
        <w:rPr>
          <w:rFonts w:ascii="Times New Roman" w:hAnsi="Times New Roman" w:cs="Times New Roman"/>
        </w:rPr>
        <w:t>Súčasťou</w:t>
      </w:r>
      <w:r w:rsidR="004D6FED">
        <w:rPr>
          <w:rFonts w:ascii="Times New Roman" w:hAnsi="Times New Roman" w:cs="Times New Roman"/>
        </w:rPr>
        <w:t xml:space="preserve"> tohto práva však nie je oprávnenie prezidenta Slovenskej republiky akýmkoľvek spôsobom meniť rozhodnutie o amnestii už uverejnené v Zbierke zákon</w:t>
      </w:r>
      <w:r w:rsidR="004D6FED">
        <w:rPr>
          <w:rFonts w:ascii="Times New Roman" w:hAnsi="Times New Roman" w:cs="Times New Roman"/>
        </w:rPr>
        <w:t>ov Slovenskej republiky“. Na základe tohto uznesenia o </w:t>
      </w:r>
      <w:r w:rsidR="00B540E5">
        <w:rPr>
          <w:rFonts w:ascii="Times New Roman" w:hAnsi="Times New Roman" w:cs="Times New Roman"/>
        </w:rPr>
        <w:t>výklade</w:t>
      </w:r>
      <w:r w:rsidR="004D6FED">
        <w:rPr>
          <w:rFonts w:ascii="Times New Roman" w:hAnsi="Times New Roman" w:cs="Times New Roman"/>
        </w:rPr>
        <w:t xml:space="preserve"> čl. 102 ods. 1 písm. i) ústavy (teraz písm. j), ktorému I. senát ústavného súdu následne priznal retroaktívny účinok, rozhodol I. </w:t>
      </w:r>
      <w:r w:rsidR="00B540E5">
        <w:rPr>
          <w:rFonts w:ascii="Times New Roman" w:hAnsi="Times New Roman" w:cs="Times New Roman"/>
        </w:rPr>
        <w:t>senát</w:t>
      </w:r>
      <w:r w:rsidR="004D6FED">
        <w:rPr>
          <w:rFonts w:ascii="Times New Roman" w:hAnsi="Times New Roman" w:cs="Times New Roman"/>
        </w:rPr>
        <w:t xml:space="preserve"> ústavného súdu dňa 20. decembra 1999 o </w:t>
      </w:r>
      <w:r w:rsidR="00B540E5">
        <w:rPr>
          <w:rFonts w:ascii="Times New Roman" w:hAnsi="Times New Roman" w:cs="Times New Roman"/>
        </w:rPr>
        <w:t>porušení</w:t>
      </w:r>
      <w:r w:rsidR="004D6FED">
        <w:rPr>
          <w:rFonts w:ascii="Times New Roman" w:hAnsi="Times New Roman" w:cs="Times New Roman"/>
        </w:rPr>
        <w:t xml:space="preserve"> ústavných práv obvineného J. Svěchotu a zrušil uznesenie </w:t>
      </w:r>
      <w:r w:rsidR="00B540E5">
        <w:rPr>
          <w:rFonts w:ascii="Times New Roman" w:hAnsi="Times New Roman" w:cs="Times New Roman"/>
        </w:rPr>
        <w:t>vyšetrovateľa</w:t>
      </w:r>
      <w:r w:rsidR="004D6FED">
        <w:rPr>
          <w:rFonts w:ascii="Times New Roman" w:hAnsi="Times New Roman" w:cs="Times New Roman"/>
        </w:rPr>
        <w:t xml:space="preserve"> o vznesení obvinenia J. Svěchotovi.</w:t>
      </w:r>
    </w:p>
    <w:p w:rsidR="004D6FED" w:rsidP="004C6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Prvý senát ústavného súdu svojim rozhodovaním, ktoré </w:t>
      </w:r>
      <w:r w:rsidR="00B540E5">
        <w:rPr>
          <w:rFonts w:ascii="Times New Roman" w:hAnsi="Times New Roman" w:cs="Times New Roman"/>
        </w:rPr>
        <w:t>vyvrcholilo</w:t>
      </w:r>
      <w:r>
        <w:rPr>
          <w:rFonts w:ascii="Times New Roman" w:hAnsi="Times New Roman" w:cs="Times New Roman"/>
        </w:rPr>
        <w:t xml:space="preserve"> dňa </w:t>
      </w:r>
      <w:r w:rsidR="00DF21F0">
        <w:rPr>
          <w:rFonts w:ascii="Times New Roman" w:hAnsi="Times New Roman" w:cs="Times New Roman"/>
        </w:rPr>
        <w:t xml:space="preserve">20. </w:t>
      </w:r>
      <w:r w:rsidR="00B540E5">
        <w:rPr>
          <w:rFonts w:ascii="Times New Roman" w:hAnsi="Times New Roman" w:cs="Times New Roman"/>
        </w:rPr>
        <w:t xml:space="preserve">decembra 1999, nielen nerešpektoval celú predchádzajúcu judikatúru ústavného súdu, či samotný text ústavy, ale porušil aj mnohé princípy právneho štátu – princíp právnej istoty a dôvery v právo, princíp zákazu zneužívania práva a princíp vylúčenia štátnych funkcionárov z udelenia amnestie. </w:t>
      </w:r>
      <w:r w:rsidR="00DF21F0">
        <w:rPr>
          <w:rFonts w:ascii="Times New Roman" w:hAnsi="Times New Roman" w:cs="Times New Roman"/>
        </w:rPr>
        <w:t>Svojím rozhodnutím umožnil, aby bývalý vysoký štát</w:t>
      </w:r>
      <w:r w:rsidR="00DF21F0">
        <w:rPr>
          <w:rFonts w:ascii="Times New Roman" w:hAnsi="Times New Roman" w:cs="Times New Roman"/>
        </w:rPr>
        <w:t xml:space="preserve">ny </w:t>
      </w:r>
      <w:r w:rsidR="00B540E5">
        <w:rPr>
          <w:rFonts w:ascii="Times New Roman" w:hAnsi="Times New Roman" w:cs="Times New Roman"/>
        </w:rPr>
        <w:t>funkcionár</w:t>
      </w:r>
      <w:r w:rsidR="00DF21F0">
        <w:rPr>
          <w:rFonts w:ascii="Times New Roman" w:hAnsi="Times New Roman" w:cs="Times New Roman"/>
        </w:rPr>
        <w:t xml:space="preserve">, ktorý je dôvodne </w:t>
      </w:r>
      <w:r w:rsidR="00B540E5">
        <w:rPr>
          <w:rFonts w:ascii="Times New Roman" w:hAnsi="Times New Roman" w:cs="Times New Roman"/>
        </w:rPr>
        <w:t>podozrivý</w:t>
      </w:r>
      <w:r w:rsidR="00DF21F0">
        <w:rPr>
          <w:rFonts w:ascii="Times New Roman" w:hAnsi="Times New Roman" w:cs="Times New Roman"/>
        </w:rPr>
        <w:t xml:space="preserve"> zo </w:t>
      </w:r>
      <w:r w:rsidR="00B540E5">
        <w:rPr>
          <w:rFonts w:ascii="Times New Roman" w:hAnsi="Times New Roman" w:cs="Times New Roman"/>
        </w:rPr>
        <w:t>spáchania</w:t>
      </w:r>
      <w:r w:rsidR="00DF21F0">
        <w:rPr>
          <w:rFonts w:ascii="Times New Roman" w:hAnsi="Times New Roman" w:cs="Times New Roman"/>
        </w:rPr>
        <w:t xml:space="preserve"> aktu </w:t>
      </w:r>
      <w:r w:rsidR="00B540E5">
        <w:rPr>
          <w:rFonts w:ascii="Times New Roman" w:hAnsi="Times New Roman" w:cs="Times New Roman"/>
        </w:rPr>
        <w:t>štátneho</w:t>
      </w:r>
      <w:r w:rsidR="00DF21F0">
        <w:rPr>
          <w:rFonts w:ascii="Times New Roman" w:hAnsi="Times New Roman" w:cs="Times New Roman"/>
        </w:rPr>
        <w:t xml:space="preserve"> terorizmu (a ktorý sa k jeho spáchaniu aj verejne priznal) unikol spravodlivosti. Takýto stav je pre právny štát nepríp</w:t>
      </w:r>
      <w:r w:rsidR="00084B17">
        <w:rPr>
          <w:rFonts w:ascii="Times New Roman" w:hAnsi="Times New Roman" w:cs="Times New Roman"/>
        </w:rPr>
        <w:t>ust</w:t>
      </w:r>
      <w:r w:rsidR="00DF21F0">
        <w:rPr>
          <w:rFonts w:ascii="Times New Roman" w:hAnsi="Times New Roman" w:cs="Times New Roman"/>
        </w:rPr>
        <w:t>ný.</w:t>
      </w:r>
    </w:p>
    <w:p w:rsidR="00DF21F0" w:rsidP="004C6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právnom štáte je možné revokovať rozhodnutie ústavného súdu jedine zmenou ústavy alebo schválením ústavného zákona. V žiadnom prípade nemôže ísť o prípad zasahovania zákonodarnej moci do moci súdnej, pretože v uvedenom prípade neprichádza k revokácii rozhodnutia súdu zo strany zákonodarcu, ale ústavodarcu. Uvedený postup je úplne legitímny (ústava a ústavný zákon je normatívnym právnym aktom najvyššej právnej sily) a bol použitý aj v ústavnom systéme Slovenskej republiky, kedy novelou ústavy zo 14. januára 1999 (ústavný zákon č. 9/1999 Z. z.) prišlo v čl. 111 ústavy k prelomeniu rozhodnutia ústavného súdu z 2.6.1993 (sp.zn.I. ÚS 39/1993), podľa ktorého „čl. 116 ods. 4 ústavy prezidentovi neukladá povinnosť odvolať člena vlády, ak to </w:t>
      </w:r>
      <w:r w:rsidR="00B540E5">
        <w:rPr>
          <w:rFonts w:ascii="Times New Roman" w:hAnsi="Times New Roman" w:cs="Times New Roman"/>
        </w:rPr>
        <w:t>predseda</w:t>
      </w:r>
      <w:r>
        <w:rPr>
          <w:rFonts w:ascii="Times New Roman" w:hAnsi="Times New Roman" w:cs="Times New Roman"/>
        </w:rPr>
        <w:t xml:space="preserve"> vlády navrhne“. </w:t>
      </w:r>
      <w:r w:rsidR="00B540E5">
        <w:rPr>
          <w:rFonts w:ascii="Times New Roman" w:hAnsi="Times New Roman" w:cs="Times New Roman"/>
        </w:rPr>
        <w:t>Keďže Slovenská republika má parlamentnú formu vlády, zodpo</w:t>
      </w:r>
      <w:r w:rsidR="00B540E5">
        <w:rPr>
          <w:rFonts w:ascii="Times New Roman" w:hAnsi="Times New Roman" w:cs="Times New Roman"/>
        </w:rPr>
        <w:t>vedá za výkon funkcií vlády predseda vlády. Bolo</w:t>
      </w:r>
      <w:r>
        <w:rPr>
          <w:rFonts w:ascii="Times New Roman" w:hAnsi="Times New Roman" w:cs="Times New Roman"/>
        </w:rPr>
        <w:t xml:space="preserve"> by preto v rozpore s princípmi fungovania </w:t>
      </w:r>
      <w:r w:rsidR="00B540E5">
        <w:rPr>
          <w:rFonts w:ascii="Times New Roman" w:hAnsi="Times New Roman" w:cs="Times New Roman"/>
        </w:rPr>
        <w:t>parlamentnej</w:t>
      </w:r>
      <w:r>
        <w:rPr>
          <w:rFonts w:ascii="Times New Roman" w:hAnsi="Times New Roman" w:cs="Times New Roman"/>
        </w:rPr>
        <w:t xml:space="preserve"> vládnej formy, aby prezident mohol ingerovať do personálneho zloženia vlády. Z uvedeného dôvodu sa ústavodarca rozhodol revokovať rozhodnutie ústavného súdu zmenou príslušného článku ústavy.</w:t>
      </w:r>
    </w:p>
    <w:p w:rsidR="00DF21F0" w:rsidP="004C6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 je v súlade s Ústavou </w:t>
      </w:r>
      <w:r w:rsidR="00B540E5">
        <w:rPr>
          <w:rFonts w:ascii="Times New Roman" w:hAnsi="Times New Roman" w:cs="Times New Roman"/>
        </w:rPr>
        <w:t>Slovenskej</w:t>
      </w:r>
      <w:r>
        <w:rPr>
          <w:rFonts w:ascii="Times New Roman" w:hAnsi="Times New Roman" w:cs="Times New Roman"/>
        </w:rPr>
        <w:t xml:space="preserve"> </w:t>
      </w:r>
      <w:r w:rsidR="00B540E5">
        <w:rPr>
          <w:rFonts w:ascii="Times New Roman" w:hAnsi="Times New Roman" w:cs="Times New Roman"/>
        </w:rPr>
        <w:t>republiky</w:t>
      </w:r>
      <w:r>
        <w:rPr>
          <w:rFonts w:ascii="Times New Roman" w:hAnsi="Times New Roman" w:cs="Times New Roman"/>
        </w:rPr>
        <w:t xml:space="preserve"> a medzinárodnými zmluvami.</w:t>
      </w:r>
    </w:p>
    <w:p w:rsidR="00DF21F0" w:rsidP="004C6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Podľa čl. 1 Ústavy SR „</w:t>
      </w:r>
      <w:r w:rsidR="00B540E5">
        <w:rPr>
          <w:rFonts w:ascii="Times New Roman" w:hAnsi="Times New Roman" w:cs="Times New Roman"/>
        </w:rPr>
        <w:t>Slovenská</w:t>
      </w:r>
      <w:r>
        <w:rPr>
          <w:rFonts w:ascii="Times New Roman" w:hAnsi="Times New Roman" w:cs="Times New Roman"/>
        </w:rPr>
        <w:t xml:space="preserve"> republika je zvrchovaný, demokratický a právny štát“. Základnou </w:t>
      </w:r>
      <w:r w:rsidR="00B540E5">
        <w:rPr>
          <w:rFonts w:ascii="Times New Roman" w:hAnsi="Times New Roman" w:cs="Times New Roman"/>
        </w:rPr>
        <w:t>charakteristikou</w:t>
      </w:r>
      <w:r>
        <w:rPr>
          <w:rFonts w:ascii="Times New Roman" w:hAnsi="Times New Roman" w:cs="Times New Roman"/>
        </w:rPr>
        <w:t xml:space="preserve"> právneho štátu je:</w:t>
      </w:r>
    </w:p>
    <w:p w:rsidR="00DF21F0" w:rsidP="004C68A0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bezvýnimočné panstvo zákona, </w:t>
      </w:r>
      <w:r w:rsidR="00B540E5">
        <w:rPr>
          <w:rFonts w:ascii="Times New Roman" w:hAnsi="Times New Roman" w:cs="Times New Roman"/>
        </w:rPr>
        <w:t>ktorý</w:t>
      </w:r>
      <w:r>
        <w:rPr>
          <w:rFonts w:ascii="Times New Roman" w:hAnsi="Times New Roman" w:cs="Times New Roman"/>
        </w:rPr>
        <w:t xml:space="preserve"> zaväzuje štát, t.j. všetky štátne orgány,</w:t>
      </w:r>
    </w:p>
    <w:p w:rsidR="00DF21F0" w:rsidP="004C68A0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zákonnosť realizácie štátnej moci.</w:t>
      </w:r>
    </w:p>
    <w:p w:rsidR="00DF21F0" w:rsidP="004C6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skutkov, v súvislosti s ktorými boli udelené </w:t>
      </w:r>
      <w:r w:rsidR="00B540E5">
        <w:rPr>
          <w:rFonts w:ascii="Times New Roman" w:hAnsi="Times New Roman" w:cs="Times New Roman"/>
        </w:rPr>
        <w:t>predmetné</w:t>
      </w:r>
      <w:r>
        <w:rPr>
          <w:rFonts w:ascii="Times New Roman" w:hAnsi="Times New Roman" w:cs="Times New Roman"/>
        </w:rPr>
        <w:t xml:space="preserve"> amnestie, je vážne podozrenie, že sa na trestnej činnosti </w:t>
      </w:r>
      <w:r w:rsidR="00B540E5">
        <w:rPr>
          <w:rFonts w:ascii="Times New Roman" w:hAnsi="Times New Roman" w:cs="Times New Roman"/>
        </w:rPr>
        <w:t>podieľali</w:t>
      </w:r>
      <w:r>
        <w:rPr>
          <w:rFonts w:ascii="Times New Roman" w:hAnsi="Times New Roman" w:cs="Times New Roman"/>
        </w:rPr>
        <w:t xml:space="preserve"> štátne orgány. Využitím prezidentského </w:t>
      </w:r>
      <w:r w:rsidR="00B540E5">
        <w:rPr>
          <w:rFonts w:ascii="Times New Roman" w:hAnsi="Times New Roman" w:cs="Times New Roman"/>
        </w:rPr>
        <w:t>oprávnenia</w:t>
      </w:r>
      <w:r>
        <w:rPr>
          <w:rFonts w:ascii="Times New Roman" w:hAnsi="Times New Roman" w:cs="Times New Roman"/>
        </w:rPr>
        <w:t xml:space="preserve"> </w:t>
      </w:r>
      <w:r w:rsidR="00B540E5">
        <w:rPr>
          <w:rFonts w:ascii="Times New Roman" w:hAnsi="Times New Roman" w:cs="Times New Roman"/>
        </w:rPr>
        <w:t>udeliť</w:t>
      </w:r>
      <w:r>
        <w:rPr>
          <w:rFonts w:ascii="Times New Roman" w:hAnsi="Times New Roman" w:cs="Times New Roman"/>
        </w:rPr>
        <w:t xml:space="preserve"> amnestiu došlo k potlačeniu </w:t>
      </w:r>
      <w:r w:rsidR="00B540E5">
        <w:rPr>
          <w:rFonts w:ascii="Times New Roman" w:hAnsi="Times New Roman" w:cs="Times New Roman"/>
        </w:rPr>
        <w:t>princípov</w:t>
      </w:r>
      <w:r>
        <w:rPr>
          <w:rFonts w:ascii="Times New Roman" w:hAnsi="Times New Roman" w:cs="Times New Roman"/>
        </w:rPr>
        <w:t xml:space="preserve"> právneho štátu a k zneužitiu práva. Udelenie </w:t>
      </w:r>
      <w:r w:rsidR="00B540E5">
        <w:rPr>
          <w:rFonts w:ascii="Times New Roman" w:hAnsi="Times New Roman" w:cs="Times New Roman"/>
        </w:rPr>
        <w:t>amnestie</w:t>
      </w:r>
      <w:r>
        <w:rPr>
          <w:rFonts w:ascii="Times New Roman" w:hAnsi="Times New Roman" w:cs="Times New Roman"/>
        </w:rPr>
        <w:t xml:space="preserve"> malo za následok nemožnosť trestného </w:t>
      </w:r>
      <w:r w:rsidR="00B540E5">
        <w:rPr>
          <w:rFonts w:ascii="Times New Roman" w:hAnsi="Times New Roman" w:cs="Times New Roman"/>
        </w:rPr>
        <w:t>stíhania</w:t>
      </w:r>
      <w:r>
        <w:rPr>
          <w:rFonts w:ascii="Times New Roman" w:hAnsi="Times New Roman" w:cs="Times New Roman"/>
        </w:rPr>
        <w:t xml:space="preserve"> </w:t>
      </w:r>
      <w:r w:rsidR="00B540E5">
        <w:rPr>
          <w:rFonts w:ascii="Times New Roman" w:hAnsi="Times New Roman" w:cs="Times New Roman"/>
        </w:rPr>
        <w:t>páchateľov</w:t>
      </w:r>
      <w:r>
        <w:rPr>
          <w:rFonts w:ascii="Times New Roman" w:hAnsi="Times New Roman" w:cs="Times New Roman"/>
        </w:rPr>
        <w:t xml:space="preserve"> </w:t>
      </w:r>
      <w:r w:rsidR="00B540E5">
        <w:rPr>
          <w:rFonts w:ascii="Times New Roman" w:hAnsi="Times New Roman" w:cs="Times New Roman"/>
        </w:rPr>
        <w:t>dotknutých</w:t>
      </w:r>
      <w:r>
        <w:rPr>
          <w:rFonts w:ascii="Times New Roman" w:hAnsi="Times New Roman" w:cs="Times New Roman"/>
        </w:rPr>
        <w:t xml:space="preserve"> skutkov.</w:t>
      </w:r>
    </w:p>
    <w:p w:rsidR="00DF21F0" w:rsidP="004C6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Právna úprava platí v zásade do budúcnosti</w:t>
      </w:r>
      <w:r>
        <w:rPr>
          <w:rFonts w:ascii="Times New Roman" w:hAnsi="Times New Roman" w:cs="Times New Roman"/>
        </w:rPr>
        <w:t xml:space="preserve"> (princíp zákazu retroaktivity). </w:t>
      </w:r>
      <w:r w:rsidR="00B540E5">
        <w:rPr>
          <w:rFonts w:ascii="Times New Roman" w:hAnsi="Times New Roman" w:cs="Times New Roman"/>
        </w:rPr>
        <w:t>Sú</w:t>
      </w:r>
      <w:r>
        <w:rPr>
          <w:rFonts w:ascii="Times New Roman" w:hAnsi="Times New Roman" w:cs="Times New Roman"/>
        </w:rPr>
        <w:t xml:space="preserve"> však určité princípy, resp. zásady, ktoré konkurujú zákazu retroaktivity. Sú spôsobilé vylúčiť jeho </w:t>
      </w:r>
      <w:r w:rsidR="00B540E5">
        <w:rPr>
          <w:rFonts w:ascii="Times New Roman" w:hAnsi="Times New Roman" w:cs="Times New Roman"/>
        </w:rPr>
        <w:t>aplikáciu</w:t>
      </w:r>
      <w:r>
        <w:rPr>
          <w:rFonts w:ascii="Times New Roman" w:hAnsi="Times New Roman" w:cs="Times New Roman"/>
        </w:rPr>
        <w:t xml:space="preserve"> a nastoliť uplatnenie iného právneho princípu. </w:t>
      </w:r>
      <w:r w:rsidR="00B540E5">
        <w:rPr>
          <w:rFonts w:ascii="Times New Roman" w:hAnsi="Times New Roman" w:cs="Times New Roman"/>
        </w:rPr>
        <w:t>Medzi najvýznamnejšie konkurujúce princípy treba zaradiť princíp dôvery v právo, princíp zákazu zneužívania práva, účel udelenia amnestie, účel vylúčenia štátnych funkcionárov z udelenia amnestie a zákaz potlačiť základné práva a slobody.</w:t>
      </w:r>
    </w:p>
    <w:p w:rsidR="00960773" w:rsidP="004C6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Právna istota a dôvera v právo má v demokratickej </w:t>
      </w:r>
      <w:r w:rsidR="00B540E5">
        <w:rPr>
          <w:rFonts w:ascii="Times New Roman" w:hAnsi="Times New Roman" w:cs="Times New Roman"/>
        </w:rPr>
        <w:t>spoločnosti</w:t>
      </w:r>
      <w:r>
        <w:rPr>
          <w:rFonts w:ascii="Times New Roman" w:hAnsi="Times New Roman" w:cs="Times New Roman"/>
        </w:rPr>
        <w:t xml:space="preserve"> </w:t>
      </w:r>
      <w:r w:rsidR="00B540E5">
        <w:rPr>
          <w:rFonts w:ascii="Times New Roman" w:hAnsi="Times New Roman" w:cs="Times New Roman"/>
        </w:rPr>
        <w:t>miesto</w:t>
      </w:r>
      <w:r>
        <w:rPr>
          <w:rFonts w:ascii="Times New Roman" w:hAnsi="Times New Roman" w:cs="Times New Roman"/>
        </w:rPr>
        <w:t xml:space="preserve"> aj vo vzťah</w:t>
      </w:r>
      <w:r>
        <w:rPr>
          <w:rFonts w:ascii="Times New Roman" w:hAnsi="Times New Roman" w:cs="Times New Roman"/>
        </w:rPr>
        <w:t xml:space="preserve">u k zákonom a iným právnym aktom, vrátane </w:t>
      </w:r>
      <w:r w:rsidR="00B540E5">
        <w:rPr>
          <w:rFonts w:ascii="Times New Roman" w:hAnsi="Times New Roman" w:cs="Times New Roman"/>
        </w:rPr>
        <w:t>rozhodnutí</w:t>
      </w:r>
      <w:r>
        <w:rPr>
          <w:rFonts w:ascii="Times New Roman" w:hAnsi="Times New Roman" w:cs="Times New Roman"/>
        </w:rPr>
        <w:t xml:space="preserve"> o amnestii. Požiadavkou právnej istoty je, aby sa </w:t>
      </w:r>
      <w:r w:rsidR="00B540E5">
        <w:rPr>
          <w:rFonts w:ascii="Times New Roman" w:hAnsi="Times New Roman" w:cs="Times New Roman"/>
        </w:rPr>
        <w:t>amnestia</w:t>
      </w:r>
      <w:r>
        <w:rPr>
          <w:rFonts w:ascii="Times New Roman" w:hAnsi="Times New Roman" w:cs="Times New Roman"/>
        </w:rPr>
        <w:t xml:space="preserve"> nestala nástrojom stálej derogácie Trestného zákona a aby sa politicky nezneužívala.</w:t>
      </w:r>
    </w:p>
    <w:p w:rsidR="00960773" w:rsidP="004C6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Princíp zákazu retroaktivity konkuruje vyššie uvedeným práv</w:t>
      </w:r>
      <w:r>
        <w:rPr>
          <w:rFonts w:ascii="Times New Roman" w:hAnsi="Times New Roman" w:cs="Times New Roman"/>
        </w:rPr>
        <w:t xml:space="preserve">nym princípom, t.j. princípu dôvery v právo, princípu zákazu zneužívania práva, uznávaným účelom udelenia amnestie, účelu vylúčenia štátnych funkcionárov z udelenia amnestie, princípu zákazu potlačenia základných práv a slobôd. Riešenie konkurencie uvedených princípov je možné len ich zvážením so zreteľom na spravodlivosť a slušnosť v práve. Je pritom evidentné, že z hľadiska požiadaviek ústavnosti a aj zákonnosti nemôže v konkurencii uvedených princípov získať prevahu princíp zákazu </w:t>
      </w:r>
      <w:r w:rsidR="00B540E5">
        <w:rPr>
          <w:rFonts w:ascii="Times New Roman" w:hAnsi="Times New Roman" w:cs="Times New Roman"/>
        </w:rPr>
        <w:t>retroaktivity</w:t>
      </w:r>
      <w:r>
        <w:rPr>
          <w:rFonts w:ascii="Times New Roman" w:hAnsi="Times New Roman" w:cs="Times New Roman"/>
        </w:rPr>
        <w:t>, ale je potrebné dôvodne požadovať prioritu iných právnych princípov, najmä princípu zákazu zneužívania práva.</w:t>
      </w:r>
    </w:p>
    <w:p w:rsidR="00960773" w:rsidP="004C6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Taktiež podľa čl. 7 ods. 2 Dohovoru o ochrane </w:t>
      </w:r>
      <w:r w:rsidR="00B540E5">
        <w:rPr>
          <w:rFonts w:ascii="Times New Roman" w:hAnsi="Times New Roman" w:cs="Times New Roman"/>
        </w:rPr>
        <w:t>ľudských</w:t>
      </w:r>
      <w:r>
        <w:rPr>
          <w:rFonts w:ascii="Times New Roman" w:hAnsi="Times New Roman" w:cs="Times New Roman"/>
        </w:rPr>
        <w:t xml:space="preserve"> práv a základných slobôd sa „nebráni súdeniu a potrestaniu osoby za konanie alebo opomenutie, ktoré v čase, keď bolo spáchané, bolo trestné podľa všeobecných právnych zásad uznávaných civilizovanými </w:t>
      </w:r>
      <w:r w:rsidR="00B540E5">
        <w:rPr>
          <w:rFonts w:ascii="Times New Roman" w:hAnsi="Times New Roman" w:cs="Times New Roman"/>
        </w:rPr>
        <w:t>národmi</w:t>
      </w:r>
      <w:r>
        <w:rPr>
          <w:rFonts w:ascii="Times New Roman" w:hAnsi="Times New Roman" w:cs="Times New Roman"/>
        </w:rPr>
        <w:t xml:space="preserve">“. </w:t>
      </w:r>
    </w:p>
    <w:p w:rsidR="00960773" w:rsidP="004C68A0">
      <w:pPr>
        <w:ind w:firstLine="708"/>
        <w:jc w:val="both"/>
        <w:rPr>
          <w:rFonts w:ascii="Times New Roman" w:hAnsi="Times New Roman" w:cs="Times New Roman"/>
        </w:rPr>
      </w:pPr>
      <w:r w:rsidR="00B540E5">
        <w:rPr>
          <w:rFonts w:ascii="Times New Roman" w:hAnsi="Times New Roman" w:cs="Times New Roman"/>
        </w:rPr>
        <w:t>Na záver tejto problematiky ešte citujeme medzinárodne uznávanú Radb</w:t>
      </w:r>
      <w:r w:rsidR="00067EB1">
        <w:rPr>
          <w:rFonts w:ascii="Times New Roman" w:hAnsi="Times New Roman" w:cs="Times New Roman"/>
        </w:rPr>
        <w:t>ruchovu formulu, podľa ktorej „K</w:t>
      </w:r>
      <w:r w:rsidR="00B540E5">
        <w:rPr>
          <w:rFonts w:ascii="Times New Roman" w:hAnsi="Times New Roman" w:cs="Times New Roman"/>
        </w:rPr>
        <w:t>onflikt medzi spravodlivosťou a právnou istotou je možné riešiť len tak, že pozitívne právo reprezentované zákonmi a mocou má prednosť aj vtedy, ak je obsah</w:t>
      </w:r>
      <w:r w:rsidR="00EB78A4">
        <w:rPr>
          <w:rFonts w:ascii="Times New Roman" w:hAnsi="Times New Roman" w:cs="Times New Roman"/>
        </w:rPr>
        <w:t>ovo</w:t>
      </w:r>
      <w:r w:rsidR="00B540E5">
        <w:rPr>
          <w:rFonts w:ascii="Times New Roman" w:hAnsi="Times New Roman" w:cs="Times New Roman"/>
        </w:rPr>
        <w:t xml:space="preserve"> nespravodlivé a neúčelné, vyjmúc prípad, keď rozpor medzi pozitívnym právom a spravodlivosťou dosiahne takú neznesiteľnú mieru, že zákon musí ako „nenáležité právo“ (unrich</w:t>
      </w:r>
      <w:r w:rsidR="00EB78A4">
        <w:rPr>
          <w:rFonts w:ascii="Times New Roman" w:hAnsi="Times New Roman" w:cs="Times New Roman"/>
        </w:rPr>
        <w:t>t</w:t>
      </w:r>
      <w:r w:rsidR="00B540E5">
        <w:rPr>
          <w:rFonts w:ascii="Times New Roman" w:hAnsi="Times New Roman" w:cs="Times New Roman"/>
        </w:rPr>
        <w:t>iges Recht) spravodlivosti ustúpiť.</w:t>
      </w:r>
    </w:p>
    <w:p w:rsidR="008F339B" w:rsidP="004C68A0">
      <w:pPr>
        <w:ind w:firstLine="708"/>
        <w:jc w:val="both"/>
        <w:rPr>
          <w:rFonts w:ascii="Times New Roman" w:hAnsi="Times New Roman" w:cs="Times New Roman"/>
        </w:rPr>
      </w:pPr>
      <w:r w:rsidR="00BD66FF">
        <w:rPr>
          <w:rFonts w:ascii="Times New Roman" w:hAnsi="Times New Roman" w:cs="Times New Roman"/>
        </w:rPr>
        <w:t xml:space="preserve">Podľa čl. 86 písm. a) patrí do </w:t>
      </w:r>
      <w:r w:rsidR="00B540E5">
        <w:rPr>
          <w:rFonts w:ascii="Times New Roman" w:hAnsi="Times New Roman" w:cs="Times New Roman"/>
        </w:rPr>
        <w:t>pôsobnosti</w:t>
      </w:r>
      <w:r w:rsidR="00BD66FF">
        <w:rPr>
          <w:rFonts w:ascii="Times New Roman" w:hAnsi="Times New Roman" w:cs="Times New Roman"/>
        </w:rPr>
        <w:t xml:space="preserve"> Národnej rady SR „uznášať sa na ústave, ústavných a ostatných zákonoch a kontrolovať, ako sa dodržiavajú“. Z tohto </w:t>
      </w:r>
      <w:r w:rsidR="00B540E5">
        <w:rPr>
          <w:rFonts w:ascii="Times New Roman" w:hAnsi="Times New Roman" w:cs="Times New Roman"/>
        </w:rPr>
        <w:t>ustanovenia</w:t>
      </w:r>
      <w:r w:rsidR="00BD66FF">
        <w:rPr>
          <w:rFonts w:ascii="Times New Roman" w:hAnsi="Times New Roman" w:cs="Times New Roman"/>
        </w:rPr>
        <w:t xml:space="preserve"> vyplýva možnosť </w:t>
      </w:r>
      <w:r w:rsidR="00B540E5">
        <w:rPr>
          <w:rFonts w:ascii="Times New Roman" w:hAnsi="Times New Roman" w:cs="Times New Roman"/>
        </w:rPr>
        <w:t>Národnej</w:t>
      </w:r>
      <w:r w:rsidR="001D19AA">
        <w:rPr>
          <w:rFonts w:ascii="Times New Roman" w:hAnsi="Times New Roman" w:cs="Times New Roman"/>
        </w:rPr>
        <w:t xml:space="preserve"> rady SR </w:t>
      </w:r>
      <w:r w:rsidR="00B540E5">
        <w:rPr>
          <w:rFonts w:ascii="Times New Roman" w:hAnsi="Times New Roman" w:cs="Times New Roman"/>
        </w:rPr>
        <w:t>uzniesť</w:t>
      </w:r>
      <w:r w:rsidR="001D19AA">
        <w:rPr>
          <w:rFonts w:ascii="Times New Roman" w:hAnsi="Times New Roman" w:cs="Times New Roman"/>
        </w:rPr>
        <w:t xml:space="preserve"> sa na ústavnom zákone. Pritom, okrem čl. 3 ods. 2, čl. 7, čl. 86 písm. b) a čl. 99</w:t>
      </w:r>
      <w:r w:rsidR="00D03812">
        <w:rPr>
          <w:rFonts w:ascii="Times New Roman" w:hAnsi="Times New Roman" w:cs="Times New Roman"/>
        </w:rPr>
        <w:t xml:space="preserve">, nie je nikde v ústave vymedzený možný predmet úpravy ústavného zákona. Domnievame sa, že uvedené štyri </w:t>
      </w:r>
      <w:r w:rsidR="00B540E5">
        <w:rPr>
          <w:rFonts w:ascii="Times New Roman" w:hAnsi="Times New Roman" w:cs="Times New Roman"/>
        </w:rPr>
        <w:t>ustanovenia</w:t>
      </w:r>
      <w:r w:rsidR="00D03812">
        <w:rPr>
          <w:rFonts w:ascii="Times New Roman" w:hAnsi="Times New Roman" w:cs="Times New Roman"/>
        </w:rPr>
        <w:t xml:space="preserve"> ústavy nie sú </w:t>
      </w:r>
      <w:r w:rsidR="00B540E5">
        <w:rPr>
          <w:rFonts w:ascii="Times New Roman" w:hAnsi="Times New Roman" w:cs="Times New Roman"/>
        </w:rPr>
        <w:t>limitom</w:t>
      </w:r>
      <w:r w:rsidR="00D03812">
        <w:rPr>
          <w:rFonts w:ascii="Times New Roman" w:hAnsi="Times New Roman" w:cs="Times New Roman"/>
        </w:rPr>
        <w:t xml:space="preserve"> možného predmetu úpravy ústavného zákona.</w:t>
      </w:r>
    </w:p>
    <w:p w:rsidR="00D03812" w:rsidP="004C6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Možnosť udeliť amnestiu vypláva pre prezidenta z čl. 102 ods. 1 písm. j) ústavy. Nemožno súhlasiť s tým, že návrh ústavného zákona nie je v </w:t>
      </w:r>
      <w:r w:rsidR="00B540E5">
        <w:rPr>
          <w:rFonts w:ascii="Times New Roman" w:hAnsi="Times New Roman" w:cs="Times New Roman"/>
        </w:rPr>
        <w:t>súlade</w:t>
      </w:r>
      <w:r>
        <w:rPr>
          <w:rFonts w:ascii="Times New Roman" w:hAnsi="Times New Roman" w:cs="Times New Roman"/>
        </w:rPr>
        <w:t xml:space="preserve"> s týmto ustanovením, ako aj s výkladom Ústavného súdu z 28. júna 1999 podľa ktorého „právom prezidenta SR upraveným čl. 102 ods. 1 písm. i) ústavy (teraz písm. j</w:t>
      </w:r>
      <w:r w:rsidR="00AA7AB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je udeliť </w:t>
      </w:r>
      <w:r w:rsidR="00AA7AB7">
        <w:rPr>
          <w:rFonts w:ascii="Times New Roman" w:hAnsi="Times New Roman" w:cs="Times New Roman"/>
        </w:rPr>
        <w:t xml:space="preserve">amnestiu niektorou z foriem, ktoré sú v tomto článku uvedené. Súčasťou tohto práva však nie je aj oprávnenie prezidenta SR akýmkoľvek spôsobom meniť rozhodnutie o amnestii už uverejnené v Zbierke zákonov SR“, </w:t>
      </w:r>
      <w:r w:rsidR="00B540E5">
        <w:rPr>
          <w:rFonts w:ascii="Times New Roman" w:hAnsi="Times New Roman" w:cs="Times New Roman"/>
        </w:rPr>
        <w:t>keďže</w:t>
      </w:r>
      <w:r w:rsidR="00AA7AB7">
        <w:rPr>
          <w:rFonts w:ascii="Times New Roman" w:hAnsi="Times New Roman" w:cs="Times New Roman"/>
        </w:rPr>
        <w:t xml:space="preserve"> podľa tohto výkladu </w:t>
      </w:r>
      <w:r w:rsidR="00B540E5">
        <w:rPr>
          <w:rFonts w:ascii="Times New Roman" w:hAnsi="Times New Roman" w:cs="Times New Roman"/>
        </w:rPr>
        <w:t>nie je</w:t>
      </w:r>
      <w:r w:rsidR="00AA7AB7">
        <w:rPr>
          <w:rFonts w:ascii="Times New Roman" w:hAnsi="Times New Roman" w:cs="Times New Roman"/>
        </w:rPr>
        <w:t xml:space="preserve"> možnosť meniť rozhodnutie o amnestii zo strany prezidenta SR, čo však nevylučuje možnosť zrušenia amnestie zo strany ústavodarcu.</w:t>
      </w:r>
    </w:p>
    <w:p w:rsidR="00AA7AB7" w:rsidP="004C68A0">
      <w:pPr>
        <w:jc w:val="both"/>
        <w:rPr>
          <w:rFonts w:ascii="Times New Roman" w:hAnsi="Times New Roman" w:cs="Times New Roman"/>
        </w:rPr>
      </w:pPr>
    </w:p>
    <w:p w:rsidR="00AA7AB7" w:rsidP="004C6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ústavného zákona nepredpokladá zvýšené nároky na štátny rozpočet, rozpočty obcí alebo rozpočty vyšších územných celkov a nezakladá </w:t>
      </w:r>
      <w:r w:rsidR="00B540E5">
        <w:rPr>
          <w:rFonts w:ascii="Times New Roman" w:hAnsi="Times New Roman" w:cs="Times New Roman"/>
        </w:rPr>
        <w:t>nároky</w:t>
      </w:r>
      <w:r>
        <w:rPr>
          <w:rFonts w:ascii="Times New Roman" w:hAnsi="Times New Roman" w:cs="Times New Roman"/>
        </w:rPr>
        <w:t xml:space="preserve"> na pracovné sily a </w:t>
      </w:r>
      <w:r w:rsidR="00B540E5">
        <w:rPr>
          <w:rFonts w:ascii="Times New Roman" w:hAnsi="Times New Roman" w:cs="Times New Roman"/>
        </w:rPr>
        <w:t>organizačné</w:t>
      </w:r>
      <w:r>
        <w:rPr>
          <w:rFonts w:ascii="Times New Roman" w:hAnsi="Times New Roman" w:cs="Times New Roman"/>
        </w:rPr>
        <w:t xml:space="preserve"> </w:t>
      </w:r>
      <w:r w:rsidR="00B540E5">
        <w:rPr>
          <w:rFonts w:ascii="Times New Roman" w:hAnsi="Times New Roman" w:cs="Times New Roman"/>
        </w:rPr>
        <w:t>zabezpečenie</w:t>
      </w:r>
      <w:r>
        <w:rPr>
          <w:rFonts w:ascii="Times New Roman" w:hAnsi="Times New Roman" w:cs="Times New Roman"/>
        </w:rPr>
        <w:t>.</w:t>
      </w:r>
    </w:p>
    <w:p w:rsidR="00AA7AB7" w:rsidP="004C6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Prerokovanie návrhu ústavného zákona v Rade </w:t>
      </w:r>
      <w:r w:rsidR="00B540E5">
        <w:rPr>
          <w:rFonts w:ascii="Times New Roman" w:hAnsi="Times New Roman" w:cs="Times New Roman"/>
        </w:rPr>
        <w:t>hospodárskej</w:t>
      </w:r>
      <w:r>
        <w:rPr>
          <w:rFonts w:ascii="Times New Roman" w:hAnsi="Times New Roman" w:cs="Times New Roman"/>
        </w:rPr>
        <w:t xml:space="preserve"> a sociálnej dohody SR, vzhľadom na jeho obsah, nie je potrebné.</w:t>
      </w:r>
    </w:p>
    <w:p w:rsidR="00AA7AB7" w:rsidP="004C6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Problematika návrhu </w:t>
      </w:r>
      <w:r w:rsidR="00B540E5">
        <w:rPr>
          <w:rFonts w:ascii="Times New Roman" w:hAnsi="Times New Roman" w:cs="Times New Roman"/>
        </w:rPr>
        <w:t>ústavného</w:t>
      </w:r>
      <w:r>
        <w:rPr>
          <w:rFonts w:ascii="Times New Roman" w:hAnsi="Times New Roman" w:cs="Times New Roman"/>
        </w:rPr>
        <w:t xml:space="preserve"> zákona je upravená len primárnym právom EÚ. Z tohto dôvodu sa k návrhu nevypracováva tabuľka zhody a otázka zhody je dostatočne vyjadrená v doložke zlučiteľnosti.</w:t>
      </w:r>
    </w:p>
    <w:p w:rsidR="00AA7AB7" w:rsidP="004C68A0">
      <w:pPr>
        <w:jc w:val="both"/>
        <w:rPr>
          <w:rFonts w:ascii="Times New Roman" w:hAnsi="Times New Roman" w:cs="Times New Roman"/>
        </w:rPr>
      </w:pPr>
    </w:p>
    <w:p w:rsidR="00AA7AB7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05645B" w:rsidP="004C68A0">
      <w:pPr>
        <w:jc w:val="both"/>
        <w:rPr>
          <w:rFonts w:ascii="Times New Roman" w:hAnsi="Times New Roman" w:cs="Times New Roman"/>
        </w:rPr>
      </w:pPr>
    </w:p>
    <w:p w:rsidR="00DF21F0" w:rsidP="004C68A0">
      <w:pPr>
        <w:ind w:left="360"/>
        <w:jc w:val="both"/>
        <w:rPr>
          <w:rFonts w:ascii="Times New Roman" w:hAnsi="Times New Roman" w:cs="Times New Roman"/>
        </w:rPr>
      </w:pPr>
    </w:p>
    <w:p w:rsidR="0005645B" w:rsidP="0005645B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DOLOŽKA ZLUČITEĽNOSTI</w:t>
      </w:r>
    </w:p>
    <w:p w:rsidR="0005645B" w:rsidP="0005645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právom Európskych spoločenstiev a právom Európskej únie</w:t>
      </w:r>
    </w:p>
    <w:p w:rsidR="0005645B" w:rsidP="000564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45B" w:rsidP="0005645B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Navrhovateľ právneho predpisu</w:t>
      </w:r>
      <w:r>
        <w:rPr>
          <w:rFonts w:ascii="Times New Roman" w:hAnsi="Times New Roman" w:cs="Times New Roman"/>
        </w:rPr>
        <w:t xml:space="preserve">: </w:t>
      </w:r>
    </w:p>
    <w:p w:rsidR="0005645B" w:rsidP="0005645B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poslancov Národnej rady Slovenskej republiky</w:t>
      </w:r>
    </w:p>
    <w:p w:rsidR="0005645B" w:rsidP="0005645B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05645B" w:rsidRPr="00665071" w:rsidP="0005645B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Názov právneho predpisu: </w:t>
      </w:r>
    </w:p>
    <w:p w:rsidR="0005645B" w:rsidP="0005645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ústavného zákona</w:t>
      </w:r>
      <w:r w:rsidR="00637578">
        <w:rPr>
          <w:rFonts w:ascii="Times New Roman" w:hAnsi="Times New Roman" w:cs="Times New Roman"/>
        </w:rPr>
        <w:t xml:space="preserve"> o zrušení niektorých rozhodnutí o amnestii</w:t>
      </w:r>
    </w:p>
    <w:p w:rsidR="0005645B" w:rsidP="0005645B">
      <w:pPr>
        <w:rPr>
          <w:rFonts w:ascii="Times New Roman" w:hAnsi="Times New Roman" w:cs="Times New Roman"/>
          <w:b/>
          <w:bCs/>
        </w:rPr>
      </w:pPr>
    </w:p>
    <w:p w:rsidR="0005645B" w:rsidP="0005645B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Záväzky Slovenskej republiky vo vzťahu k Európskym spoločenstvám a Európskej únii:</w:t>
      </w:r>
    </w:p>
    <w:p w:rsidR="0005645B" w:rsidRPr="00637578" w:rsidP="00637578">
      <w:pPr>
        <w:ind w:left="708"/>
        <w:rPr>
          <w:rFonts w:ascii="Times New Roman" w:hAnsi="Times New Roman" w:cs="Times New Roman"/>
          <w:bCs/>
        </w:rPr>
      </w:pPr>
      <w:r w:rsidRPr="00637578" w:rsidR="00637578">
        <w:rPr>
          <w:rFonts w:ascii="Times New Roman" w:hAnsi="Times New Roman" w:cs="Times New Roman"/>
          <w:bCs/>
        </w:rPr>
        <w:t>irelevantné</w:t>
      </w:r>
    </w:p>
    <w:p w:rsidR="00637578" w:rsidP="0005645B">
      <w:pPr>
        <w:rPr>
          <w:rFonts w:ascii="Times New Roman" w:hAnsi="Times New Roman" w:cs="Times New Roman"/>
          <w:b/>
          <w:bCs/>
        </w:rPr>
      </w:pPr>
    </w:p>
    <w:p w:rsidR="0005645B" w:rsidP="0005645B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Problematika návrhu právneho predpisu:</w:t>
      </w:r>
    </w:p>
    <w:p w:rsidR="0005645B" w:rsidP="00637578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637578">
        <w:rPr>
          <w:rFonts w:ascii="Times New Roman" w:hAnsi="Times New Roman" w:cs="Times New Roman"/>
        </w:rPr>
        <w:t xml:space="preserve"> je upravená v čl. 6 ods. 2 Zmluvy o Európskej únii, ktorý ustanovuje, že únia rešpektuje práva zabezpečené Európskym dohovorom o ochrane ľudských práv a základných slobôd z roku 1950 ako všeobecné právne princípy,</w:t>
      </w:r>
    </w:p>
    <w:p w:rsidR="0005645B" w:rsidP="000564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b) nie je upravená v práve Európskych spoločenstiev </w:t>
      </w:r>
    </w:p>
    <w:p w:rsidR="0005645B" w:rsidP="000564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c)</w:t>
      </w:r>
    </w:p>
    <w:p w:rsidR="0005645B" w:rsidP="000564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d) nie je upravená v práve Európskej únie</w:t>
      </w:r>
    </w:p>
    <w:p w:rsidR="0005645B" w:rsidP="0005645B">
      <w:pPr>
        <w:rPr>
          <w:rFonts w:ascii="Times New Roman" w:hAnsi="Times New Roman" w:cs="Times New Roman"/>
        </w:rPr>
      </w:pPr>
    </w:p>
    <w:p w:rsidR="0005645B" w:rsidP="0005645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  <w:bCs/>
        </w:rPr>
        <w:t>5.</w:t>
        <w:tab/>
        <w:t>Stupeň zlučiteľnosti návrhu vyhlášky s právnymi normami Európskej únie:</w:t>
        <w:tab/>
      </w:r>
    </w:p>
    <w:p w:rsidR="0005645B" w:rsidP="0005645B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vnútroštátny charakter upravenej problematiky je vyjadrovanie stupňa zlučiteľnosti s právom ES/EÚ bezpredmetné.</w:t>
      </w:r>
    </w:p>
    <w:p w:rsidR="0005645B" w:rsidP="0005645B">
      <w:pPr>
        <w:ind w:left="720"/>
        <w:rPr>
          <w:rFonts w:ascii="Times New Roman" w:hAnsi="Times New Roman" w:cs="Times New Roman"/>
        </w:rPr>
      </w:pPr>
    </w:p>
    <w:p w:rsidR="0005645B" w:rsidP="000564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  <w:bCs/>
        </w:rPr>
        <w:t>6.</w:t>
        <w:tab/>
        <w:t>Gestor (spolupracujúce rezorty)</w:t>
      </w:r>
    </w:p>
    <w:p w:rsidR="0005645B" w:rsidRPr="00665071" w:rsidP="0005645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665071">
        <w:rPr>
          <w:rFonts w:ascii="Times New Roman" w:hAnsi="Times New Roman" w:cs="Times New Roman"/>
          <w:bCs/>
        </w:rPr>
        <w:t>Bezpredmetné.</w:t>
      </w:r>
    </w:p>
    <w:p w:rsidR="0005645B" w:rsidP="0005645B">
      <w:pPr>
        <w:rPr>
          <w:rFonts w:ascii="Times New Roman" w:hAnsi="Times New Roman" w:cs="Times New Roman"/>
          <w:b/>
          <w:bCs/>
        </w:rPr>
      </w:pPr>
    </w:p>
    <w:p w:rsidR="0005645B" w:rsidP="0005645B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Účasť expertov pri príprave návrhu právneho predpisu a ich stanovisko k zlučiteľnosti  návrhu právneho predpisu s právom Európskych spoločenstiev a právom Európskej únie (špecifikácia úrovne a spôsobu expertnej účasti, napr. konzultácie a pod.):</w:t>
      </w:r>
    </w:p>
    <w:p w:rsidR="0005645B" w:rsidP="0005645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príprave návrhu zákona sa nezúčastnili experti.</w:t>
      </w:r>
    </w:p>
    <w:p w:rsidR="0005645B" w:rsidP="0005645B">
      <w:pPr>
        <w:ind w:firstLine="360"/>
        <w:jc w:val="both"/>
        <w:rPr>
          <w:rFonts w:ascii="Times New Roman" w:hAnsi="Times New Roman" w:cs="Times New Roman"/>
        </w:rPr>
      </w:pPr>
    </w:p>
    <w:p w:rsidR="0005645B" w:rsidP="0005645B">
      <w:pPr>
        <w:ind w:firstLine="360"/>
        <w:jc w:val="both"/>
        <w:rPr>
          <w:rFonts w:ascii="Times New Roman" w:hAnsi="Times New Roman" w:cs="Times New Roman"/>
        </w:rPr>
      </w:pPr>
    </w:p>
    <w:p w:rsidR="0005645B" w:rsidP="0005645B">
      <w:pPr>
        <w:ind w:firstLine="360"/>
        <w:jc w:val="both"/>
        <w:rPr>
          <w:rFonts w:ascii="Times New Roman" w:hAnsi="Times New Roman" w:cs="Times New Roman"/>
        </w:rPr>
      </w:pPr>
    </w:p>
    <w:p w:rsidR="0005645B" w:rsidP="0005645B">
      <w:pPr>
        <w:ind w:firstLine="360"/>
        <w:jc w:val="both"/>
        <w:rPr>
          <w:rFonts w:ascii="Times New Roman" w:hAnsi="Times New Roman" w:cs="Times New Roman"/>
        </w:rPr>
      </w:pPr>
    </w:p>
    <w:p w:rsidR="0005645B" w:rsidP="0005645B">
      <w:pPr>
        <w:ind w:firstLine="360"/>
        <w:jc w:val="both"/>
        <w:rPr>
          <w:rFonts w:ascii="Times New Roman" w:hAnsi="Times New Roman" w:cs="Times New Roman"/>
        </w:rPr>
      </w:pPr>
    </w:p>
    <w:p w:rsidR="0005645B" w:rsidP="0005645B">
      <w:pPr>
        <w:ind w:firstLine="360"/>
        <w:jc w:val="both"/>
        <w:rPr>
          <w:rFonts w:ascii="Times New Roman" w:hAnsi="Times New Roman" w:cs="Times New Roman"/>
        </w:rPr>
      </w:pPr>
    </w:p>
    <w:p w:rsidR="0005645B" w:rsidP="0005645B">
      <w:pPr>
        <w:ind w:firstLine="360"/>
        <w:jc w:val="both"/>
        <w:rPr>
          <w:rFonts w:ascii="Times New Roman" w:hAnsi="Times New Roman" w:cs="Times New Roman"/>
        </w:rPr>
      </w:pPr>
    </w:p>
    <w:p w:rsidR="0005645B" w:rsidP="0005645B">
      <w:pPr>
        <w:ind w:firstLine="360"/>
        <w:jc w:val="both"/>
        <w:rPr>
          <w:rFonts w:ascii="Times New Roman" w:hAnsi="Times New Roman" w:cs="Times New Roman"/>
        </w:rPr>
      </w:pPr>
    </w:p>
    <w:p w:rsidR="0005645B" w:rsidP="0005645B">
      <w:pPr>
        <w:ind w:firstLine="360"/>
        <w:jc w:val="both"/>
        <w:rPr>
          <w:rFonts w:ascii="Times New Roman" w:hAnsi="Times New Roman" w:cs="Times New Roman"/>
        </w:rPr>
      </w:pPr>
    </w:p>
    <w:p w:rsidR="0072092A" w:rsidP="0005645B">
      <w:pPr>
        <w:ind w:firstLine="360"/>
        <w:jc w:val="both"/>
        <w:rPr>
          <w:rFonts w:ascii="Times New Roman" w:hAnsi="Times New Roman" w:cs="Times New Roman"/>
        </w:rPr>
      </w:pPr>
    </w:p>
    <w:p w:rsidR="0072092A" w:rsidP="0005645B">
      <w:pPr>
        <w:ind w:firstLine="360"/>
        <w:jc w:val="both"/>
        <w:rPr>
          <w:rFonts w:ascii="Times New Roman" w:hAnsi="Times New Roman" w:cs="Times New Roman"/>
        </w:rPr>
      </w:pPr>
    </w:p>
    <w:p w:rsidR="0072092A" w:rsidP="0005645B">
      <w:pPr>
        <w:ind w:firstLine="360"/>
        <w:jc w:val="both"/>
        <w:rPr>
          <w:rFonts w:ascii="Times New Roman" w:hAnsi="Times New Roman" w:cs="Times New Roman"/>
        </w:rPr>
      </w:pPr>
    </w:p>
    <w:p w:rsidR="0072092A" w:rsidP="0005645B">
      <w:pPr>
        <w:ind w:firstLine="360"/>
        <w:jc w:val="both"/>
        <w:rPr>
          <w:rFonts w:ascii="Times New Roman" w:hAnsi="Times New Roman" w:cs="Times New Roman"/>
        </w:rPr>
      </w:pPr>
    </w:p>
    <w:p w:rsidR="0072092A" w:rsidP="0005645B">
      <w:pPr>
        <w:ind w:firstLine="360"/>
        <w:jc w:val="both"/>
        <w:rPr>
          <w:rFonts w:ascii="Times New Roman" w:hAnsi="Times New Roman" w:cs="Times New Roman"/>
        </w:rPr>
      </w:pPr>
    </w:p>
    <w:p w:rsidR="0072092A" w:rsidP="0005645B">
      <w:pPr>
        <w:ind w:firstLine="360"/>
        <w:jc w:val="both"/>
        <w:rPr>
          <w:rFonts w:ascii="Times New Roman" w:hAnsi="Times New Roman" w:cs="Times New Roman"/>
        </w:rPr>
      </w:pPr>
    </w:p>
    <w:p w:rsidR="0072092A" w:rsidP="0005645B">
      <w:pPr>
        <w:ind w:firstLine="360"/>
        <w:jc w:val="both"/>
        <w:rPr>
          <w:rFonts w:ascii="Times New Roman" w:hAnsi="Times New Roman" w:cs="Times New Roman"/>
        </w:rPr>
      </w:pPr>
    </w:p>
    <w:p w:rsidR="0072092A" w:rsidP="0005645B">
      <w:pPr>
        <w:ind w:firstLine="360"/>
        <w:jc w:val="both"/>
        <w:rPr>
          <w:rFonts w:ascii="Times New Roman" w:hAnsi="Times New Roman" w:cs="Times New Roman"/>
        </w:rPr>
      </w:pPr>
    </w:p>
    <w:p w:rsidR="0072092A" w:rsidRPr="0072092A" w:rsidP="0005645B">
      <w:pPr>
        <w:ind w:firstLine="360"/>
        <w:jc w:val="both"/>
        <w:rPr>
          <w:rFonts w:ascii="Times New Roman" w:hAnsi="Times New Roman" w:cs="Times New Roman"/>
          <w:b/>
          <w:u w:val="single"/>
        </w:rPr>
      </w:pPr>
      <w:r w:rsidRPr="0072092A">
        <w:rPr>
          <w:rFonts w:ascii="Times New Roman" w:hAnsi="Times New Roman" w:cs="Times New Roman"/>
          <w:b/>
          <w:u w:val="single"/>
        </w:rPr>
        <w:t>Osobitná časť:</w:t>
      </w:r>
    </w:p>
    <w:p w:rsidR="0072092A" w:rsidP="0005645B">
      <w:pPr>
        <w:ind w:firstLine="360"/>
        <w:jc w:val="both"/>
        <w:rPr>
          <w:rFonts w:ascii="Times New Roman" w:hAnsi="Times New Roman" w:cs="Times New Roman"/>
        </w:rPr>
      </w:pPr>
    </w:p>
    <w:p w:rsidR="0072092A" w:rsidRPr="0072092A" w:rsidP="0005645B">
      <w:pPr>
        <w:ind w:firstLine="360"/>
        <w:jc w:val="both"/>
        <w:rPr>
          <w:rFonts w:ascii="Times New Roman" w:hAnsi="Times New Roman" w:cs="Times New Roman"/>
          <w:u w:val="single"/>
        </w:rPr>
      </w:pPr>
      <w:r w:rsidRPr="0072092A">
        <w:rPr>
          <w:rFonts w:ascii="Times New Roman" w:hAnsi="Times New Roman" w:cs="Times New Roman"/>
          <w:u w:val="single"/>
        </w:rPr>
        <w:t xml:space="preserve">K článku I. </w:t>
      </w:r>
    </w:p>
    <w:p w:rsidR="0072092A" w:rsidP="0005645B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Zrušujú sa články rozhodnutí o amnestii, ktoré sa týkajú zavlečenia Michala Kováča ml. do cuzdiny a zmareného referenda, ktoré malo byť vykonané v dňoch 23. a 24. mája 1997. Prvé dva body tohto článku obsahovo korešpondujú s rozhodnutím o amnestii z 8. decembra 1998. Zrušením príslušných článkov amnestií uvedených ad 1. a 2. stráca opodstatnenie existencia amnestie z 8. decembra 1998, ktorá vypustila články, ktoré sa navrhujú v tomto ústavnom zákone zrušiť.</w:t>
      </w:r>
    </w:p>
    <w:p w:rsidR="00B83678" w:rsidP="0005645B">
      <w:pPr>
        <w:ind w:firstLine="360"/>
        <w:jc w:val="both"/>
        <w:rPr>
          <w:rFonts w:ascii="Times New Roman" w:hAnsi="Times New Roman" w:cs="Times New Roman"/>
        </w:rPr>
      </w:pPr>
    </w:p>
    <w:p w:rsidR="00B83678" w:rsidRPr="00B83678" w:rsidP="0005645B">
      <w:pPr>
        <w:ind w:firstLine="360"/>
        <w:jc w:val="both"/>
        <w:rPr>
          <w:rFonts w:ascii="Times New Roman" w:hAnsi="Times New Roman" w:cs="Times New Roman"/>
          <w:u w:val="single"/>
        </w:rPr>
      </w:pPr>
      <w:r w:rsidRPr="00B83678">
        <w:rPr>
          <w:rFonts w:ascii="Times New Roman" w:hAnsi="Times New Roman" w:cs="Times New Roman"/>
          <w:u w:val="single"/>
        </w:rPr>
        <w:t>K článku II.</w:t>
      </w:r>
    </w:p>
    <w:p w:rsidR="00B83678" w:rsidP="0005645B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Upravuje sa účinok predchádzajúceho článku na prípadné trestné stíhanie páchateľov skutkov spáchaných v súvislosti so zavlečením M. Kováča ml. do cudziny a v súvislosti so zmareným referendom.</w:t>
      </w:r>
    </w:p>
    <w:p w:rsidR="00B83678" w:rsidP="0005645B">
      <w:pPr>
        <w:ind w:firstLine="360"/>
        <w:jc w:val="both"/>
        <w:rPr>
          <w:rFonts w:ascii="Times New Roman" w:hAnsi="Times New Roman" w:cs="Times New Roman"/>
        </w:rPr>
      </w:pPr>
    </w:p>
    <w:p w:rsidR="00B83678" w:rsidRPr="005A6EF5" w:rsidP="0005645B">
      <w:pPr>
        <w:ind w:firstLine="360"/>
        <w:jc w:val="both"/>
        <w:rPr>
          <w:rFonts w:ascii="Times New Roman" w:hAnsi="Times New Roman" w:cs="Times New Roman"/>
          <w:u w:val="single"/>
        </w:rPr>
      </w:pPr>
      <w:r w:rsidRPr="005A6EF5">
        <w:rPr>
          <w:rFonts w:ascii="Times New Roman" w:hAnsi="Times New Roman" w:cs="Times New Roman"/>
          <w:u w:val="single"/>
        </w:rPr>
        <w:t>K článku III.</w:t>
      </w:r>
    </w:p>
    <w:p w:rsidR="00B83678" w:rsidP="0005645B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Účinnosť ústavného zákona sa navrhuje dňom jeho vyhlásenia v Zbierke zákonov SR.</w:t>
      </w:r>
    </w:p>
    <w:p w:rsidR="0072092A" w:rsidP="0005645B">
      <w:pPr>
        <w:ind w:firstLine="360"/>
        <w:jc w:val="both"/>
        <w:rPr>
          <w:rFonts w:ascii="Times New Roman" w:hAnsi="Times New Roman" w:cs="Times New Roman"/>
        </w:rPr>
      </w:pPr>
    </w:p>
    <w:p w:rsidR="0072092A" w:rsidP="0005645B">
      <w:pPr>
        <w:ind w:firstLine="360"/>
        <w:jc w:val="both"/>
        <w:rPr>
          <w:rFonts w:ascii="Times New Roman" w:hAnsi="Times New Roman" w:cs="Times New Roman"/>
        </w:rPr>
      </w:pPr>
    </w:p>
    <w:p w:rsidR="0005645B" w:rsidP="0005645B">
      <w:pPr>
        <w:ind w:firstLine="360"/>
        <w:jc w:val="both"/>
        <w:rPr>
          <w:rFonts w:ascii="Times New Roman" w:hAnsi="Times New Roman" w:cs="Times New Roman"/>
        </w:rPr>
      </w:pPr>
    </w:p>
    <w:p w:rsidR="0005645B" w:rsidP="0005645B">
      <w:pPr>
        <w:ind w:firstLine="360"/>
        <w:jc w:val="both"/>
        <w:rPr>
          <w:rFonts w:ascii="Times New Roman" w:hAnsi="Times New Roman" w:cs="Times New Roman"/>
        </w:rPr>
      </w:pPr>
    </w:p>
    <w:p w:rsidR="0005645B" w:rsidP="0005645B">
      <w:pPr>
        <w:ind w:firstLine="360"/>
        <w:jc w:val="both"/>
        <w:rPr>
          <w:rFonts w:ascii="Times New Roman" w:hAnsi="Times New Roman" w:cs="Times New Roman"/>
        </w:rPr>
      </w:pPr>
    </w:p>
    <w:p w:rsidR="0005645B" w:rsidP="0005645B">
      <w:pPr>
        <w:ind w:firstLine="360"/>
        <w:jc w:val="both"/>
        <w:rPr>
          <w:rFonts w:ascii="Times New Roman" w:hAnsi="Times New Roman" w:cs="Times New Roman"/>
        </w:rPr>
      </w:pPr>
    </w:p>
    <w:p w:rsidR="0005645B" w:rsidP="0005645B">
      <w:pPr>
        <w:ind w:firstLine="360"/>
        <w:jc w:val="both"/>
        <w:rPr>
          <w:rFonts w:ascii="Times New Roman" w:hAnsi="Times New Roman" w:cs="Times New Roman"/>
        </w:rPr>
      </w:pPr>
    </w:p>
    <w:p w:rsidR="0005645B" w:rsidRPr="0005645B" w:rsidP="0005645B">
      <w:pPr>
        <w:ind w:firstLine="360"/>
        <w:jc w:val="both"/>
        <w:rPr>
          <w:rFonts w:ascii="Times New Roman" w:hAnsi="Times New Roman" w:cs="Times New Roman"/>
        </w:rPr>
      </w:pPr>
    </w:p>
    <w:p w:rsidR="00DF21F0" w:rsidRPr="0005645B" w:rsidP="004C68A0">
      <w:pPr>
        <w:ind w:left="360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230B"/>
    <w:multiLevelType w:val="hybridMultilevel"/>
    <w:tmpl w:val="B164D2AA"/>
    <w:lvl w:ilvl="0">
      <w:start w:val="5"/>
      <w:numFmt w:val="decimal"/>
      <w:lvlText w:val="%1."/>
      <w:lvlJc w:val="left"/>
      <w:pPr>
        <w:tabs>
          <w:tab w:val="num" w:pos="640"/>
        </w:tabs>
        <w:ind w:left="640" w:hanging="360"/>
      </w:pPr>
      <w:rPr>
        <w:i/>
        <w:rtl w:val="0"/>
      </w:rPr>
    </w:lvl>
    <w:lvl w:ilvl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">
    <w:nsid w:val="2384340B"/>
    <w:multiLevelType w:val="hybridMultilevel"/>
    <w:tmpl w:val="41C6AB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97A8F"/>
    <w:multiLevelType w:val="hybridMultilevel"/>
    <w:tmpl w:val="E5E2B04C"/>
    <w:lvl w:ilvl="0">
      <w:start w:val="4"/>
      <w:numFmt w:val="decimal"/>
      <w:lvlText w:val="%1."/>
      <w:lvlJc w:val="left"/>
      <w:pPr>
        <w:tabs>
          <w:tab w:val="num" w:pos="710"/>
        </w:tabs>
        <w:ind w:left="710" w:hanging="450"/>
      </w:pPr>
      <w:rPr>
        <w:i/>
        <w:rtl w:val="0"/>
      </w:rPr>
    </w:lvl>
    <w:lvl w:ilvl="1">
      <w:start w:val="1"/>
      <w:numFmt w:val="lowerLetter"/>
      <w:lvlText w:val="%2)"/>
      <w:lvlJc w:val="left"/>
      <w:pPr>
        <w:tabs>
          <w:tab w:val="num" w:pos="1340"/>
        </w:tabs>
        <w:ind w:left="1340" w:hanging="360"/>
      </w:pPr>
    </w:lvl>
    <w:lvl w:ilvl="2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3">
    <w:nsid w:val="3D8977F2"/>
    <w:multiLevelType w:val="hybridMultilevel"/>
    <w:tmpl w:val="AC722A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497057"/>
    <w:multiLevelType w:val="hybridMultilevel"/>
    <w:tmpl w:val="ADAE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rtl w:val="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Times New Roman" w:hAnsi="Times New Roman"/>
        <w:rtl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bCs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645B"/>
    <w:rsid w:val="00067EB1"/>
    <w:rsid w:val="00084B17"/>
    <w:rsid w:val="001D19AA"/>
    <w:rsid w:val="004C68A0"/>
    <w:rsid w:val="004D6FED"/>
    <w:rsid w:val="005A6EF5"/>
    <w:rsid w:val="00633AB1"/>
    <w:rsid w:val="00637578"/>
    <w:rsid w:val="00665071"/>
    <w:rsid w:val="006704DB"/>
    <w:rsid w:val="00713BB7"/>
    <w:rsid w:val="0072092A"/>
    <w:rsid w:val="008F339B"/>
    <w:rsid w:val="00960773"/>
    <w:rsid w:val="00AA7AB7"/>
    <w:rsid w:val="00B540E5"/>
    <w:rsid w:val="00B83678"/>
    <w:rsid w:val="00BD66FF"/>
    <w:rsid w:val="00D03812"/>
    <w:rsid w:val="00DF21F0"/>
    <w:rsid w:val="00EB78A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05645B"/>
    <w:pPr>
      <w:keepNext/>
      <w:jc w:val="left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084B17"/>
    <w:pPr>
      <w:jc w:val="lef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5645B"/>
    <w:pPr>
      <w:jc w:val="center"/>
    </w:pPr>
    <w:rPr>
      <w:rFonts w:ascii="Verdana" w:hAnsi="Verdana" w:cs="Verdana"/>
      <w:b/>
      <w:bCs/>
    </w:rPr>
  </w:style>
  <w:style w:type="paragraph" w:styleId="BodyTextIndent">
    <w:name w:val="Body Text Indent"/>
    <w:basedOn w:val="Normal"/>
    <w:rsid w:val="0005645B"/>
    <w:pPr>
      <w:spacing w:after="120"/>
      <w:ind w:left="283"/>
      <w:jc w:val="left"/>
    </w:pPr>
  </w:style>
  <w:style w:type="paragraph" w:styleId="BodyTextIndent3">
    <w:name w:val="Body Text Indent 3"/>
    <w:basedOn w:val="Normal"/>
    <w:rsid w:val="0005645B"/>
    <w:pPr>
      <w:spacing w:after="120"/>
      <w:ind w:left="283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82</TotalTime>
  <Pages>1</Pages>
  <Words>1610</Words>
  <Characters>9183</Characters>
  <Application>Microsoft Office Word</Application>
  <DocSecurity>0</DocSecurity>
  <Lines>0</Lines>
  <Paragraphs>0</Paragraphs>
  <ScaleCrop>false</ScaleCrop>
  <Company>Kancelaria NR SR</Company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Odbor IT</cp:lastModifiedBy>
  <cp:revision>19</cp:revision>
  <cp:lastPrinted>2006-09-26T07:03:00Z</cp:lastPrinted>
  <dcterms:created xsi:type="dcterms:W3CDTF">2006-09-25T13:02:00Z</dcterms:created>
  <dcterms:modified xsi:type="dcterms:W3CDTF">2006-09-26T07:25:00Z</dcterms:modified>
</cp:coreProperties>
</file>